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6A" w:rsidRDefault="0010026A" w:rsidP="0010026A">
      <w:pPr>
        <w:jc w:val="center"/>
        <w:rPr>
          <w:b/>
          <w:sz w:val="28"/>
          <w:szCs w:val="28"/>
        </w:rPr>
      </w:pPr>
      <w:r>
        <w:rPr>
          <w:rFonts w:hint="eastAsia"/>
          <w:b/>
          <w:sz w:val="28"/>
          <w:szCs w:val="28"/>
        </w:rPr>
        <w:t>The influences of corporate governance</w:t>
      </w:r>
      <w:r w:rsidRPr="00FE6473">
        <w:rPr>
          <w:b/>
          <w:sz w:val="28"/>
          <w:szCs w:val="28"/>
        </w:rPr>
        <w:t xml:space="preserve"> on </w:t>
      </w:r>
      <w:r w:rsidRPr="00FE6473">
        <w:rPr>
          <w:rFonts w:hint="eastAsia"/>
          <w:b/>
          <w:sz w:val="28"/>
          <w:szCs w:val="28"/>
        </w:rPr>
        <w:t>management</w:t>
      </w:r>
      <w:r>
        <w:rPr>
          <w:b/>
          <w:sz w:val="28"/>
          <w:szCs w:val="28"/>
        </w:rPr>
        <w:t>’</w:t>
      </w:r>
      <w:r>
        <w:rPr>
          <w:rFonts w:hint="eastAsia"/>
          <w:b/>
          <w:sz w:val="28"/>
          <w:szCs w:val="28"/>
        </w:rPr>
        <w:t>s</w:t>
      </w:r>
      <w:r w:rsidRPr="00FE6473">
        <w:rPr>
          <w:rFonts w:hint="eastAsia"/>
          <w:b/>
          <w:sz w:val="28"/>
          <w:szCs w:val="28"/>
        </w:rPr>
        <w:t xml:space="preserve"> opportunistic v</w:t>
      </w:r>
      <w:r w:rsidRPr="00FE6473">
        <w:rPr>
          <w:b/>
          <w:sz w:val="28"/>
          <w:szCs w:val="28"/>
        </w:rPr>
        <w:t xml:space="preserve">oluntary </w:t>
      </w:r>
      <w:r w:rsidRPr="00FE6473">
        <w:rPr>
          <w:rFonts w:hint="eastAsia"/>
          <w:b/>
          <w:sz w:val="28"/>
          <w:szCs w:val="28"/>
        </w:rPr>
        <w:t>d</w:t>
      </w:r>
      <w:r w:rsidRPr="00FE6473">
        <w:rPr>
          <w:b/>
          <w:sz w:val="28"/>
          <w:szCs w:val="28"/>
        </w:rPr>
        <w:t>isclosure</w:t>
      </w:r>
      <w:r w:rsidRPr="00FE6473">
        <w:rPr>
          <w:rFonts w:hint="eastAsia"/>
          <w:b/>
          <w:sz w:val="28"/>
          <w:szCs w:val="28"/>
        </w:rPr>
        <w:t xml:space="preserve"> behavior</w:t>
      </w:r>
      <w:r w:rsidRPr="00FE6473">
        <w:rPr>
          <w:b/>
          <w:sz w:val="28"/>
          <w:szCs w:val="28"/>
        </w:rPr>
        <w:t xml:space="preserve"> before </w:t>
      </w:r>
      <w:r w:rsidRPr="00FE6473">
        <w:rPr>
          <w:rFonts w:hint="eastAsia"/>
          <w:b/>
          <w:sz w:val="28"/>
          <w:szCs w:val="28"/>
        </w:rPr>
        <w:t>s</w:t>
      </w:r>
      <w:r w:rsidRPr="00FE6473">
        <w:rPr>
          <w:b/>
          <w:sz w:val="28"/>
          <w:szCs w:val="28"/>
        </w:rPr>
        <w:t xml:space="preserve">hare </w:t>
      </w:r>
      <w:r w:rsidRPr="00FE6473">
        <w:rPr>
          <w:rFonts w:hint="eastAsia"/>
          <w:b/>
          <w:sz w:val="28"/>
          <w:szCs w:val="28"/>
        </w:rPr>
        <w:t>r</w:t>
      </w:r>
      <w:r w:rsidRPr="00FE6473">
        <w:rPr>
          <w:b/>
          <w:sz w:val="28"/>
          <w:szCs w:val="28"/>
        </w:rPr>
        <w:t>epurchases</w:t>
      </w:r>
    </w:p>
    <w:p w:rsidR="00EC53DE" w:rsidRPr="0010026A" w:rsidRDefault="00EC53DE" w:rsidP="00EC53DE">
      <w:pPr>
        <w:snapToGrid w:val="0"/>
        <w:ind w:left="1"/>
        <w:jc w:val="center"/>
        <w:rPr>
          <w:b/>
          <w:sz w:val="28"/>
          <w:szCs w:val="28"/>
        </w:rPr>
      </w:pPr>
      <w:bookmarkStart w:id="0" w:name="_GoBack"/>
      <w:bookmarkEnd w:id="0"/>
    </w:p>
    <w:p w:rsidR="00EC53DE" w:rsidRDefault="00EC53DE" w:rsidP="00EC53DE">
      <w:pPr>
        <w:tabs>
          <w:tab w:val="right" w:pos="-720"/>
        </w:tabs>
        <w:spacing w:line="300" w:lineRule="atLeast"/>
        <w:jc w:val="center"/>
        <w:rPr>
          <w:b/>
          <w:sz w:val="28"/>
        </w:rPr>
      </w:pPr>
    </w:p>
    <w:p w:rsidR="00EC53DE" w:rsidRDefault="00EC53DE" w:rsidP="00EC53DE">
      <w:pPr>
        <w:tabs>
          <w:tab w:val="right" w:pos="-720"/>
        </w:tabs>
        <w:spacing w:line="300" w:lineRule="atLeast"/>
        <w:jc w:val="center"/>
        <w:rPr>
          <w:b/>
          <w:sz w:val="28"/>
        </w:rPr>
      </w:pPr>
    </w:p>
    <w:p w:rsidR="00EC53DE" w:rsidRDefault="00EC53DE" w:rsidP="00EC53DE">
      <w:pPr>
        <w:tabs>
          <w:tab w:val="right" w:pos="-720"/>
        </w:tabs>
        <w:spacing w:line="300" w:lineRule="atLeast"/>
        <w:jc w:val="center"/>
        <w:rPr>
          <w:b/>
          <w:sz w:val="28"/>
        </w:rPr>
      </w:pPr>
    </w:p>
    <w:p w:rsidR="00EC53DE" w:rsidRDefault="00EC53DE" w:rsidP="00EC53DE">
      <w:pPr>
        <w:tabs>
          <w:tab w:val="right" w:pos="-720"/>
        </w:tabs>
        <w:jc w:val="center"/>
        <w:rPr>
          <w:b/>
          <w:sz w:val="28"/>
        </w:rPr>
      </w:pPr>
    </w:p>
    <w:p w:rsidR="00EC53DE" w:rsidRDefault="00EC53DE" w:rsidP="00EC53DE">
      <w:pPr>
        <w:tabs>
          <w:tab w:val="right" w:pos="-720"/>
        </w:tabs>
        <w:jc w:val="center"/>
        <w:rPr>
          <w:rFonts w:eastAsia="????"/>
          <w:vertAlign w:val="superscript"/>
        </w:rPr>
      </w:pPr>
      <w:r>
        <w:rPr>
          <w:rFonts w:eastAsia="????"/>
        </w:rPr>
        <w:t>Sheng-Syan Chen</w:t>
      </w:r>
      <w:r>
        <w:rPr>
          <w:rFonts w:eastAsia="????"/>
          <w:vertAlign w:val="superscript"/>
        </w:rPr>
        <w:t>a</w:t>
      </w:r>
    </w:p>
    <w:p w:rsidR="00EC53DE" w:rsidRDefault="00EC53DE" w:rsidP="00EC53DE">
      <w:pPr>
        <w:tabs>
          <w:tab w:val="right" w:pos="-720"/>
        </w:tabs>
        <w:jc w:val="center"/>
      </w:pPr>
    </w:p>
    <w:p w:rsidR="00EC53DE" w:rsidRDefault="00EC53DE" w:rsidP="00EC53DE">
      <w:pPr>
        <w:tabs>
          <w:tab w:val="right" w:pos="-720"/>
        </w:tabs>
        <w:jc w:val="center"/>
      </w:pPr>
    </w:p>
    <w:p w:rsidR="00EC53DE" w:rsidRDefault="00EC53DE" w:rsidP="00EC53DE">
      <w:pPr>
        <w:tabs>
          <w:tab w:val="right" w:pos="-720"/>
        </w:tabs>
        <w:jc w:val="center"/>
        <w:rPr>
          <w:rFonts w:eastAsia="????"/>
          <w:vertAlign w:val="superscript"/>
        </w:rPr>
      </w:pPr>
      <w:r>
        <w:t>Robin K. Chou</w:t>
      </w:r>
      <w:r w:rsidR="005F68CE">
        <w:rPr>
          <w:rFonts w:eastAsia="????"/>
          <w:vertAlign w:val="superscript"/>
        </w:rPr>
        <w:t>b</w:t>
      </w:r>
    </w:p>
    <w:p w:rsidR="00EC53DE" w:rsidRDefault="00EC53DE" w:rsidP="00EC53DE">
      <w:pPr>
        <w:tabs>
          <w:tab w:val="right" w:pos="-720"/>
        </w:tabs>
        <w:jc w:val="center"/>
      </w:pPr>
    </w:p>
    <w:p w:rsidR="00EC53DE" w:rsidRDefault="00EC53DE" w:rsidP="00EC53DE">
      <w:pPr>
        <w:tabs>
          <w:tab w:val="right" w:pos="-720"/>
        </w:tabs>
        <w:jc w:val="center"/>
      </w:pPr>
    </w:p>
    <w:p w:rsidR="00EC53DE" w:rsidRPr="00971150" w:rsidRDefault="00EC53DE" w:rsidP="00EC53DE">
      <w:pPr>
        <w:widowControl w:val="0"/>
        <w:autoSpaceDE w:val="0"/>
        <w:autoSpaceDN w:val="0"/>
        <w:adjustRightInd w:val="0"/>
        <w:jc w:val="center"/>
      </w:pPr>
      <w:r w:rsidRPr="00971150">
        <w:rPr>
          <w:szCs w:val="24"/>
        </w:rPr>
        <w:t>Yun-Chi Lee</w:t>
      </w:r>
      <w:r>
        <w:rPr>
          <w:rFonts w:hint="eastAsia"/>
          <w:vertAlign w:val="superscript"/>
        </w:rPr>
        <w:t>c</w:t>
      </w:r>
      <w:r w:rsidR="005F68CE">
        <w:rPr>
          <w:rFonts w:eastAsia="????"/>
          <w:vertAlign w:val="superscript"/>
        </w:rPr>
        <w:t>,*</w:t>
      </w:r>
    </w:p>
    <w:p w:rsidR="00EC53DE" w:rsidRDefault="00EC53DE" w:rsidP="00EC53DE">
      <w:pPr>
        <w:tabs>
          <w:tab w:val="right" w:pos="-720"/>
        </w:tabs>
        <w:jc w:val="center"/>
      </w:pPr>
    </w:p>
    <w:p w:rsidR="00EC53DE" w:rsidRDefault="00EC53DE" w:rsidP="00EC53DE">
      <w:pPr>
        <w:tabs>
          <w:tab w:val="right" w:pos="-720"/>
        </w:tabs>
        <w:jc w:val="center"/>
      </w:pPr>
    </w:p>
    <w:p w:rsidR="00EC53DE" w:rsidRDefault="00EC53DE" w:rsidP="00EC53DE">
      <w:pPr>
        <w:tabs>
          <w:tab w:val="right" w:pos="-720"/>
        </w:tabs>
        <w:jc w:val="center"/>
        <w:rPr>
          <w:b/>
        </w:rPr>
      </w:pPr>
    </w:p>
    <w:p w:rsidR="00EC53DE" w:rsidRDefault="00EC53DE" w:rsidP="00EC53DE">
      <w:pPr>
        <w:tabs>
          <w:tab w:val="right" w:pos="-720"/>
        </w:tabs>
        <w:jc w:val="center"/>
        <w:rPr>
          <w:b/>
        </w:rPr>
      </w:pPr>
    </w:p>
    <w:p w:rsidR="00EC53DE" w:rsidRDefault="00EC53DE" w:rsidP="00EC53DE">
      <w:pPr>
        <w:tabs>
          <w:tab w:val="right" w:pos="-720"/>
        </w:tabs>
        <w:jc w:val="center"/>
        <w:rPr>
          <w:b/>
        </w:rPr>
      </w:pPr>
    </w:p>
    <w:p w:rsidR="00EC53DE" w:rsidRDefault="00EC53DE" w:rsidP="00EC53DE">
      <w:pPr>
        <w:pStyle w:val="a6"/>
        <w:adjustRightInd w:val="0"/>
        <w:rPr>
          <w:i/>
          <w:iCs/>
          <w:sz w:val="24"/>
          <w:szCs w:val="24"/>
        </w:rPr>
      </w:pPr>
      <w:r>
        <w:rPr>
          <w:i/>
          <w:sz w:val="24"/>
          <w:szCs w:val="24"/>
          <w:vertAlign w:val="superscript"/>
        </w:rPr>
        <w:t>a</w:t>
      </w:r>
      <w:r>
        <w:rPr>
          <w:i/>
          <w:sz w:val="24"/>
          <w:szCs w:val="24"/>
        </w:rPr>
        <w:t xml:space="preserve">Department of Finance, College of Management, National Taiwan University, </w:t>
      </w:r>
      <w:smartTag w:uri="urn:schemas-microsoft-com:office:smarttags" w:element="country-region">
        <w:smartTag w:uri="urn:schemas-microsoft-com:office:smarttags" w:element="place">
          <w:r>
            <w:rPr>
              <w:i/>
              <w:sz w:val="24"/>
              <w:szCs w:val="24"/>
            </w:rPr>
            <w:t>Taiwan</w:t>
          </w:r>
        </w:smartTag>
      </w:smartTag>
    </w:p>
    <w:p w:rsidR="00EC53DE" w:rsidRDefault="00EC53DE" w:rsidP="00EC53DE">
      <w:pPr>
        <w:pStyle w:val="a6"/>
        <w:adjustRightInd w:val="0"/>
        <w:rPr>
          <w:i/>
          <w:iCs/>
          <w:sz w:val="24"/>
          <w:szCs w:val="24"/>
        </w:rPr>
      </w:pPr>
    </w:p>
    <w:p w:rsidR="00EC53DE" w:rsidRDefault="00EC53DE" w:rsidP="00EC53DE">
      <w:pPr>
        <w:pStyle w:val="a6"/>
        <w:adjustRightInd w:val="0"/>
        <w:rPr>
          <w:i/>
          <w:iCs/>
          <w:sz w:val="24"/>
          <w:szCs w:val="24"/>
        </w:rPr>
      </w:pPr>
    </w:p>
    <w:p w:rsidR="00EC53DE" w:rsidRDefault="00EC53DE" w:rsidP="00EC53DE">
      <w:pPr>
        <w:pStyle w:val="a6"/>
        <w:adjustRightInd w:val="0"/>
        <w:rPr>
          <w:i/>
          <w:iCs/>
          <w:sz w:val="24"/>
          <w:szCs w:val="24"/>
        </w:rPr>
      </w:pPr>
      <w:r>
        <w:rPr>
          <w:rFonts w:hint="eastAsia"/>
          <w:i/>
          <w:sz w:val="24"/>
          <w:szCs w:val="24"/>
          <w:vertAlign w:val="superscript"/>
        </w:rPr>
        <w:t>b</w:t>
      </w:r>
      <w:r>
        <w:rPr>
          <w:i/>
          <w:sz w:val="24"/>
          <w:szCs w:val="24"/>
        </w:rPr>
        <w:t xml:space="preserve">Department of Finance, College </w:t>
      </w:r>
      <w:r>
        <w:rPr>
          <w:rFonts w:hint="eastAsia"/>
          <w:i/>
          <w:sz w:val="24"/>
          <w:szCs w:val="24"/>
        </w:rPr>
        <w:t>Commerce</w:t>
      </w:r>
      <w:r>
        <w:rPr>
          <w:i/>
          <w:sz w:val="24"/>
          <w:szCs w:val="24"/>
        </w:rPr>
        <w:t xml:space="preserve">, National </w:t>
      </w:r>
      <w:r>
        <w:rPr>
          <w:rFonts w:hint="eastAsia"/>
          <w:i/>
          <w:sz w:val="24"/>
          <w:szCs w:val="24"/>
        </w:rPr>
        <w:t>Chengchi</w:t>
      </w:r>
      <w:r>
        <w:rPr>
          <w:i/>
          <w:sz w:val="24"/>
          <w:szCs w:val="24"/>
        </w:rPr>
        <w:t xml:space="preserve"> University, Taiwan</w:t>
      </w:r>
    </w:p>
    <w:p w:rsidR="00EC53DE" w:rsidRDefault="00EC53DE" w:rsidP="00EC53DE">
      <w:pPr>
        <w:pStyle w:val="a6"/>
        <w:adjustRightInd w:val="0"/>
        <w:rPr>
          <w:i/>
          <w:iCs/>
          <w:sz w:val="24"/>
          <w:szCs w:val="24"/>
        </w:rPr>
      </w:pPr>
    </w:p>
    <w:p w:rsidR="00EC53DE" w:rsidRDefault="00EC53DE" w:rsidP="00EC53DE">
      <w:pPr>
        <w:pStyle w:val="a6"/>
        <w:adjustRightInd w:val="0"/>
        <w:rPr>
          <w:i/>
          <w:iCs/>
          <w:sz w:val="24"/>
          <w:szCs w:val="24"/>
        </w:rPr>
      </w:pPr>
    </w:p>
    <w:p w:rsidR="00EC53DE" w:rsidRDefault="00EC53DE" w:rsidP="00EC53DE">
      <w:pPr>
        <w:pStyle w:val="a6"/>
        <w:adjustRightInd w:val="0"/>
        <w:rPr>
          <w:i/>
          <w:sz w:val="24"/>
          <w:szCs w:val="24"/>
        </w:rPr>
      </w:pPr>
      <w:r>
        <w:rPr>
          <w:rFonts w:hint="eastAsia"/>
          <w:i/>
          <w:sz w:val="24"/>
          <w:szCs w:val="24"/>
          <w:vertAlign w:val="superscript"/>
        </w:rPr>
        <w:t>c</w:t>
      </w:r>
      <w:r>
        <w:rPr>
          <w:i/>
          <w:iCs/>
          <w:sz w:val="24"/>
          <w:szCs w:val="24"/>
        </w:rPr>
        <w:t>Department of Finance, School of Management, National Central University, Taiwan</w:t>
      </w:r>
    </w:p>
    <w:p w:rsidR="00EC53DE" w:rsidRDefault="00EC53DE" w:rsidP="00EC53DE">
      <w:pPr>
        <w:adjustRightInd w:val="0"/>
        <w:snapToGrid w:val="0"/>
        <w:rPr>
          <w:i/>
          <w:szCs w:val="24"/>
        </w:rPr>
      </w:pPr>
    </w:p>
    <w:p w:rsidR="00EC53DE" w:rsidRDefault="00EC53DE" w:rsidP="00EC53DE">
      <w:pPr>
        <w:tabs>
          <w:tab w:val="right" w:pos="-720"/>
        </w:tabs>
        <w:jc w:val="center"/>
        <w:rPr>
          <w:b/>
          <w:sz w:val="28"/>
        </w:rPr>
      </w:pPr>
    </w:p>
    <w:p w:rsidR="00EC53DE" w:rsidRDefault="00EC53DE" w:rsidP="00EC53DE">
      <w:pPr>
        <w:tabs>
          <w:tab w:val="right" w:pos="-720"/>
        </w:tabs>
        <w:jc w:val="center"/>
        <w:rPr>
          <w:b/>
          <w:sz w:val="28"/>
        </w:rPr>
      </w:pPr>
    </w:p>
    <w:p w:rsidR="00EC53DE" w:rsidRDefault="00EC53DE" w:rsidP="00EC53DE">
      <w:pPr>
        <w:tabs>
          <w:tab w:val="right" w:pos="-720"/>
        </w:tabs>
        <w:jc w:val="center"/>
        <w:rPr>
          <w:b/>
          <w:sz w:val="28"/>
        </w:rPr>
      </w:pPr>
    </w:p>
    <w:p w:rsidR="00EC53DE" w:rsidRDefault="00EC53DE" w:rsidP="00EC53DE">
      <w:pPr>
        <w:tabs>
          <w:tab w:val="right" w:pos="-720"/>
        </w:tabs>
        <w:jc w:val="center"/>
        <w:rPr>
          <w:b/>
          <w:sz w:val="28"/>
        </w:rPr>
      </w:pPr>
    </w:p>
    <w:p w:rsidR="00EC53DE" w:rsidRDefault="00EC53DE" w:rsidP="00EC53DE">
      <w:pPr>
        <w:tabs>
          <w:tab w:val="right" w:pos="-720"/>
        </w:tabs>
        <w:rPr>
          <w:rFonts w:eastAsia="????"/>
          <w:b/>
          <w:sz w:val="28"/>
        </w:rPr>
      </w:pPr>
      <w:r>
        <w:rPr>
          <w:rFonts w:eastAsia="????"/>
          <w:b/>
          <w:sz w:val="28"/>
        </w:rPr>
        <w:t>_____________________</w:t>
      </w:r>
    </w:p>
    <w:p w:rsidR="00EC53DE" w:rsidRDefault="00EC53DE" w:rsidP="00EC53DE">
      <w:pPr>
        <w:pStyle w:val="af0"/>
        <w:adjustRightInd w:val="0"/>
        <w:snapToGrid w:val="0"/>
        <w:rPr>
          <w:rFonts w:eastAsia="????"/>
          <w:sz w:val="22"/>
        </w:rPr>
      </w:pPr>
      <w:r>
        <w:rPr>
          <w:rFonts w:eastAsia="????"/>
          <w:sz w:val="22"/>
        </w:rPr>
        <w:t xml:space="preserve">Address correspondence to </w:t>
      </w:r>
      <w:r w:rsidR="00103BC8" w:rsidRPr="00971150">
        <w:t>Yun-Chi Lee</w:t>
      </w:r>
      <w:r>
        <w:rPr>
          <w:rFonts w:eastAsia="????"/>
          <w:sz w:val="22"/>
        </w:rPr>
        <w:t xml:space="preserve">, </w:t>
      </w:r>
      <w:r w:rsidR="00103BC8">
        <w:rPr>
          <w:spacing w:val="-6"/>
        </w:rPr>
        <w:t>Department of Finance, School of Management, National Central University, 300 J</w:t>
      </w:r>
      <w:r w:rsidR="00103BC8">
        <w:rPr>
          <w:rFonts w:hint="eastAsia"/>
          <w:spacing w:val="-6"/>
        </w:rPr>
        <w:t>ho</w:t>
      </w:r>
      <w:r w:rsidR="00103BC8">
        <w:rPr>
          <w:spacing w:val="-6"/>
        </w:rPr>
        <w:t>ngda Road, Jhongli, Taoyuan, Taiwan.  Tel: 886-3-4227151; fax: 886-3-4252961; e-mail:</w:t>
      </w:r>
      <w:r w:rsidR="00103BC8" w:rsidRPr="004E1514">
        <w:t xml:space="preserve"> </w:t>
      </w:r>
      <w:r w:rsidR="00103BC8" w:rsidRPr="00024711">
        <w:t>92448001@cc.ncu.edu.tw</w:t>
      </w:r>
      <w:r w:rsidR="00103BC8">
        <w:rPr>
          <w:spacing w:val="-6"/>
        </w:rPr>
        <w:t>.</w:t>
      </w:r>
    </w:p>
    <w:p w:rsidR="005F68CE" w:rsidRDefault="005F68CE" w:rsidP="00EC53DE">
      <w:pPr>
        <w:pStyle w:val="af0"/>
        <w:adjustRightInd w:val="0"/>
        <w:snapToGrid w:val="0"/>
        <w:rPr>
          <w:rFonts w:eastAsia="????"/>
          <w:sz w:val="22"/>
        </w:rPr>
        <w:sectPr w:rsidR="005F68CE" w:rsidSect="00BE10D0">
          <w:footerReference w:type="default" r:id="rId8"/>
          <w:pgSz w:w="11906" w:h="16838"/>
          <w:pgMar w:top="1440" w:right="1440" w:bottom="1440" w:left="1440" w:header="851" w:footer="992" w:gutter="0"/>
          <w:cols w:space="425"/>
          <w:docGrid w:type="lines" w:linePitch="360"/>
        </w:sectPr>
      </w:pPr>
    </w:p>
    <w:p w:rsidR="00E90D6D" w:rsidRDefault="00E90D6D" w:rsidP="00713DBB">
      <w:pPr>
        <w:jc w:val="center"/>
        <w:rPr>
          <w:b/>
          <w:sz w:val="28"/>
          <w:szCs w:val="28"/>
        </w:rPr>
      </w:pPr>
      <w:r>
        <w:rPr>
          <w:rFonts w:hint="eastAsia"/>
          <w:b/>
          <w:sz w:val="28"/>
          <w:szCs w:val="28"/>
        </w:rPr>
        <w:lastRenderedPageBreak/>
        <w:t>The influences of corporate governance</w:t>
      </w:r>
      <w:r w:rsidRPr="00FE6473">
        <w:rPr>
          <w:b/>
          <w:sz w:val="28"/>
          <w:szCs w:val="28"/>
        </w:rPr>
        <w:t xml:space="preserve"> on </w:t>
      </w:r>
      <w:r w:rsidRPr="00FE6473">
        <w:rPr>
          <w:rFonts w:hint="eastAsia"/>
          <w:b/>
          <w:sz w:val="28"/>
          <w:szCs w:val="28"/>
        </w:rPr>
        <w:t>management</w:t>
      </w:r>
      <w:r>
        <w:rPr>
          <w:b/>
          <w:sz w:val="28"/>
          <w:szCs w:val="28"/>
        </w:rPr>
        <w:t>’</w:t>
      </w:r>
      <w:r>
        <w:rPr>
          <w:rFonts w:hint="eastAsia"/>
          <w:b/>
          <w:sz w:val="28"/>
          <w:szCs w:val="28"/>
        </w:rPr>
        <w:t>s</w:t>
      </w:r>
      <w:r w:rsidRPr="00FE6473">
        <w:rPr>
          <w:rFonts w:hint="eastAsia"/>
          <w:b/>
          <w:sz w:val="28"/>
          <w:szCs w:val="28"/>
        </w:rPr>
        <w:t xml:space="preserve"> opportunistic v</w:t>
      </w:r>
      <w:r w:rsidRPr="00FE6473">
        <w:rPr>
          <w:b/>
          <w:sz w:val="28"/>
          <w:szCs w:val="28"/>
        </w:rPr>
        <w:t xml:space="preserve">oluntary </w:t>
      </w:r>
      <w:r w:rsidRPr="00FE6473">
        <w:rPr>
          <w:rFonts w:hint="eastAsia"/>
          <w:b/>
          <w:sz w:val="28"/>
          <w:szCs w:val="28"/>
        </w:rPr>
        <w:t>d</w:t>
      </w:r>
      <w:r w:rsidRPr="00FE6473">
        <w:rPr>
          <w:b/>
          <w:sz w:val="28"/>
          <w:szCs w:val="28"/>
        </w:rPr>
        <w:t>isclosure</w:t>
      </w:r>
      <w:r w:rsidRPr="00FE6473">
        <w:rPr>
          <w:rFonts w:hint="eastAsia"/>
          <w:b/>
          <w:sz w:val="28"/>
          <w:szCs w:val="28"/>
        </w:rPr>
        <w:t xml:space="preserve"> behavior</w:t>
      </w:r>
      <w:r w:rsidRPr="00FE6473">
        <w:rPr>
          <w:b/>
          <w:sz w:val="28"/>
          <w:szCs w:val="28"/>
        </w:rPr>
        <w:t xml:space="preserve"> before </w:t>
      </w:r>
      <w:r w:rsidRPr="00FE6473">
        <w:rPr>
          <w:rFonts w:hint="eastAsia"/>
          <w:b/>
          <w:sz w:val="28"/>
          <w:szCs w:val="28"/>
        </w:rPr>
        <w:t>s</w:t>
      </w:r>
      <w:r w:rsidRPr="00FE6473">
        <w:rPr>
          <w:b/>
          <w:sz w:val="28"/>
          <w:szCs w:val="28"/>
        </w:rPr>
        <w:t xml:space="preserve">hare </w:t>
      </w:r>
      <w:r w:rsidRPr="00FE6473">
        <w:rPr>
          <w:rFonts w:hint="eastAsia"/>
          <w:b/>
          <w:sz w:val="28"/>
          <w:szCs w:val="28"/>
        </w:rPr>
        <w:t>r</w:t>
      </w:r>
      <w:r w:rsidRPr="00FE6473">
        <w:rPr>
          <w:b/>
          <w:sz w:val="28"/>
          <w:szCs w:val="28"/>
        </w:rPr>
        <w:t>epurchases</w:t>
      </w:r>
    </w:p>
    <w:p w:rsidR="00E90D6D" w:rsidRPr="00E90D6D" w:rsidRDefault="00E90D6D" w:rsidP="004D1213">
      <w:pPr>
        <w:jc w:val="center"/>
        <w:rPr>
          <w:b/>
          <w:sz w:val="28"/>
          <w:szCs w:val="28"/>
        </w:rPr>
      </w:pPr>
    </w:p>
    <w:p w:rsidR="00450EAA" w:rsidRPr="00E90D6D" w:rsidRDefault="006843FB" w:rsidP="004D1213">
      <w:pPr>
        <w:jc w:val="center"/>
        <w:rPr>
          <w:b/>
          <w:szCs w:val="24"/>
        </w:rPr>
      </w:pPr>
      <w:r w:rsidRPr="00E90D6D">
        <w:rPr>
          <w:b/>
          <w:szCs w:val="24"/>
        </w:rPr>
        <w:t>Abstract</w:t>
      </w:r>
    </w:p>
    <w:p w:rsidR="006843FB" w:rsidRPr="00F35662" w:rsidRDefault="006843FB" w:rsidP="004717F8">
      <w:pPr>
        <w:jc w:val="both"/>
        <w:rPr>
          <w:szCs w:val="24"/>
        </w:rPr>
      </w:pPr>
    </w:p>
    <w:p w:rsidR="004717F8" w:rsidRPr="004717F8" w:rsidRDefault="004717F8" w:rsidP="008B0526">
      <w:pPr>
        <w:ind w:firstLine="480"/>
        <w:jc w:val="both"/>
      </w:pPr>
      <w:r>
        <w:t xml:space="preserve">We set out in this project to study the effect of corporate governance on the opportunistic management behavior in the pre-share repurchase voluntary disclosures. Prior literature has devoted considerable attention to the impact of governance structures on corporate behavior, such as earnings management and voluntarily disclosure. However, there is no existing literature investigating whether the monitoring effect of corporate governance can diminish managers’ opportunistic behavior on manipulating stock prices through voluntary disclosures before share repurchases. We examine the effect of </w:t>
      </w:r>
      <w:r>
        <w:rPr>
          <w:rFonts w:hint="eastAsia"/>
        </w:rPr>
        <w:t>three</w:t>
      </w:r>
      <w:r>
        <w:t xml:space="preserve"> governance variables that are widely used in the literature: institutional ownership, board independence, and analyst coverage. We </w:t>
      </w:r>
      <w:r>
        <w:rPr>
          <w:rFonts w:hint="eastAsia"/>
        </w:rPr>
        <w:t xml:space="preserve">find </w:t>
      </w:r>
      <w:r>
        <w:t>that better corporate governance quality lower</w:t>
      </w:r>
      <w:r w:rsidR="006502FE">
        <w:rPr>
          <w:rFonts w:hint="eastAsia"/>
        </w:rPr>
        <w:t>s</w:t>
      </w:r>
      <w:r>
        <w:t xml:space="preserve"> the managerial opportunism before repurchasing shares. This is an important issue that has not been studied </w:t>
      </w:r>
      <w:r w:rsidR="00651170">
        <w:rPr>
          <w:rFonts w:hint="eastAsia"/>
        </w:rPr>
        <w:t xml:space="preserve">in the </w:t>
      </w:r>
      <w:r>
        <w:t>literature and our study shed light on the effect of corporate governance structure on the management voluntary disclosure decision and quality.</w:t>
      </w:r>
    </w:p>
    <w:p w:rsidR="004717F8" w:rsidRDefault="004717F8" w:rsidP="004717F8">
      <w:pPr>
        <w:jc w:val="both"/>
        <w:rPr>
          <w:szCs w:val="24"/>
        </w:rPr>
      </w:pPr>
    </w:p>
    <w:p w:rsidR="000B390D" w:rsidRDefault="001A4C4F" w:rsidP="004717F8">
      <w:pPr>
        <w:jc w:val="both"/>
      </w:pPr>
      <w:r>
        <w:rPr>
          <w:rFonts w:hint="eastAsia"/>
          <w:szCs w:val="24"/>
        </w:rPr>
        <w:t>Key Words:</w:t>
      </w:r>
      <w:r w:rsidR="00DC5BBA" w:rsidRPr="00DC5BBA">
        <w:t xml:space="preserve"> </w:t>
      </w:r>
      <w:r w:rsidR="00DC5BBA">
        <w:t>Acquisitions; Payment method; Timing strategy</w:t>
      </w:r>
      <w:r w:rsidR="00DC5BBA">
        <w:rPr>
          <w:rFonts w:hint="eastAsia"/>
        </w:rPr>
        <w:t>;</w:t>
      </w:r>
      <w:r w:rsidR="00DC5BBA" w:rsidRPr="00DC5BBA">
        <w:t xml:space="preserve"> </w:t>
      </w:r>
      <w:r w:rsidR="00DC5BBA">
        <w:t xml:space="preserve">Corporate Governance; </w:t>
      </w:r>
      <w:r w:rsidR="00DC5BBA">
        <w:rPr>
          <w:rFonts w:hint="eastAsia"/>
        </w:rPr>
        <w:t>Share Repurchases</w:t>
      </w:r>
      <w:r w:rsidR="00DC5BBA">
        <w:t>;</w:t>
      </w:r>
      <w:r w:rsidR="00B12096">
        <w:rPr>
          <w:rFonts w:hint="eastAsia"/>
        </w:rPr>
        <w:t xml:space="preserve"> Voluntary Disclosure</w:t>
      </w:r>
    </w:p>
    <w:p w:rsidR="001E1AA0" w:rsidRPr="001A02B8" w:rsidRDefault="001E1AA0" w:rsidP="004717F8">
      <w:pPr>
        <w:jc w:val="both"/>
        <w:rPr>
          <w:szCs w:val="24"/>
        </w:rPr>
        <w:sectPr w:rsidR="001E1AA0" w:rsidRPr="001A02B8" w:rsidSect="00BE10D0">
          <w:pgSz w:w="11906" w:h="16838"/>
          <w:pgMar w:top="1440" w:right="1440" w:bottom="1440" w:left="1440" w:header="851" w:footer="992" w:gutter="0"/>
          <w:cols w:space="425"/>
          <w:docGrid w:type="lines" w:linePitch="360"/>
        </w:sectPr>
      </w:pPr>
    </w:p>
    <w:p w:rsidR="00513D34" w:rsidRDefault="00513D34" w:rsidP="007724A1">
      <w:pPr>
        <w:jc w:val="center"/>
        <w:rPr>
          <w:b/>
          <w:sz w:val="28"/>
          <w:szCs w:val="28"/>
        </w:rPr>
      </w:pPr>
      <w:r>
        <w:rPr>
          <w:rFonts w:hint="eastAsia"/>
          <w:b/>
          <w:sz w:val="28"/>
          <w:szCs w:val="28"/>
        </w:rPr>
        <w:lastRenderedPageBreak/>
        <w:t>The influences of corporate governance</w:t>
      </w:r>
      <w:r w:rsidRPr="00FE6473">
        <w:rPr>
          <w:b/>
          <w:sz w:val="28"/>
          <w:szCs w:val="28"/>
        </w:rPr>
        <w:t xml:space="preserve"> on </w:t>
      </w:r>
      <w:r w:rsidRPr="00FE6473">
        <w:rPr>
          <w:rFonts w:hint="eastAsia"/>
          <w:b/>
          <w:sz w:val="28"/>
          <w:szCs w:val="28"/>
        </w:rPr>
        <w:t>management</w:t>
      </w:r>
      <w:r>
        <w:rPr>
          <w:b/>
          <w:sz w:val="28"/>
          <w:szCs w:val="28"/>
        </w:rPr>
        <w:t>’</w:t>
      </w:r>
      <w:r>
        <w:rPr>
          <w:rFonts w:hint="eastAsia"/>
          <w:b/>
          <w:sz w:val="28"/>
          <w:szCs w:val="28"/>
        </w:rPr>
        <w:t>s</w:t>
      </w:r>
      <w:r w:rsidRPr="00FE6473">
        <w:rPr>
          <w:rFonts w:hint="eastAsia"/>
          <w:b/>
          <w:sz w:val="28"/>
          <w:szCs w:val="28"/>
        </w:rPr>
        <w:t xml:space="preserve"> opportunistic v</w:t>
      </w:r>
      <w:r w:rsidRPr="00FE6473">
        <w:rPr>
          <w:b/>
          <w:sz w:val="28"/>
          <w:szCs w:val="28"/>
        </w:rPr>
        <w:t xml:space="preserve">oluntary </w:t>
      </w:r>
      <w:r w:rsidRPr="00FE6473">
        <w:rPr>
          <w:rFonts w:hint="eastAsia"/>
          <w:b/>
          <w:sz w:val="28"/>
          <w:szCs w:val="28"/>
        </w:rPr>
        <w:t>d</w:t>
      </w:r>
      <w:r w:rsidRPr="00FE6473">
        <w:rPr>
          <w:b/>
          <w:sz w:val="28"/>
          <w:szCs w:val="28"/>
        </w:rPr>
        <w:t>isclosure</w:t>
      </w:r>
      <w:r w:rsidRPr="00FE6473">
        <w:rPr>
          <w:rFonts w:hint="eastAsia"/>
          <w:b/>
          <w:sz w:val="28"/>
          <w:szCs w:val="28"/>
        </w:rPr>
        <w:t xml:space="preserve"> behavior</w:t>
      </w:r>
      <w:r w:rsidRPr="00FE6473">
        <w:rPr>
          <w:b/>
          <w:sz w:val="28"/>
          <w:szCs w:val="28"/>
        </w:rPr>
        <w:t xml:space="preserve"> before </w:t>
      </w:r>
      <w:r w:rsidRPr="00FE6473">
        <w:rPr>
          <w:rFonts w:hint="eastAsia"/>
          <w:b/>
          <w:sz w:val="28"/>
          <w:szCs w:val="28"/>
        </w:rPr>
        <w:t>s</w:t>
      </w:r>
      <w:r w:rsidRPr="00FE6473">
        <w:rPr>
          <w:b/>
          <w:sz w:val="28"/>
          <w:szCs w:val="28"/>
        </w:rPr>
        <w:t xml:space="preserve">hare </w:t>
      </w:r>
      <w:r w:rsidRPr="00FE6473">
        <w:rPr>
          <w:rFonts w:hint="eastAsia"/>
          <w:b/>
          <w:sz w:val="28"/>
          <w:szCs w:val="28"/>
        </w:rPr>
        <w:t>r</w:t>
      </w:r>
      <w:r w:rsidRPr="00FE6473">
        <w:rPr>
          <w:b/>
          <w:sz w:val="28"/>
          <w:szCs w:val="28"/>
        </w:rPr>
        <w:t>epurchases</w:t>
      </w:r>
    </w:p>
    <w:p w:rsidR="00513D34" w:rsidRPr="00512508" w:rsidRDefault="00513D34" w:rsidP="00513D34">
      <w:pPr>
        <w:jc w:val="both"/>
        <w:rPr>
          <w:b/>
          <w:sz w:val="28"/>
          <w:szCs w:val="28"/>
        </w:rPr>
      </w:pPr>
    </w:p>
    <w:p w:rsidR="00513D34" w:rsidRDefault="00513D34" w:rsidP="00513D34">
      <w:pPr>
        <w:pStyle w:val="1"/>
        <w:snapToGrid w:val="0"/>
        <w:spacing w:before="0" w:after="0" w:line="480" w:lineRule="auto"/>
        <w:jc w:val="both"/>
        <w:rPr>
          <w:rFonts w:ascii="Times New Roman" w:hAnsi="Times New Roman"/>
          <w:kern w:val="2"/>
          <w:sz w:val="24"/>
          <w:szCs w:val="24"/>
        </w:rPr>
      </w:pPr>
      <w:r>
        <w:rPr>
          <w:rFonts w:ascii="Times New Roman" w:hAnsi="Times New Roman"/>
          <w:kern w:val="2"/>
          <w:sz w:val="24"/>
          <w:szCs w:val="24"/>
        </w:rPr>
        <w:t>1. Introduction</w:t>
      </w:r>
    </w:p>
    <w:p w:rsidR="00513D34" w:rsidRPr="00F36ADD" w:rsidRDefault="00513D34" w:rsidP="00513D34">
      <w:pPr>
        <w:snapToGrid w:val="0"/>
        <w:spacing w:line="480" w:lineRule="auto"/>
        <w:ind w:firstLine="480"/>
        <w:jc w:val="both"/>
      </w:pPr>
      <w:r w:rsidRPr="00F36ADD">
        <w:rPr>
          <w:rFonts w:hint="eastAsia"/>
        </w:rPr>
        <w:t xml:space="preserve">We set out in this project to study the effect of corporate governance on the opportunistic management behavior in the pre-share repurchase voluntary disclosures. </w:t>
      </w:r>
      <w:r w:rsidRPr="00F36ADD">
        <w:t>Prior literature has devoted considerable attention to the impact of governance structures on corporate behavior, such as earnings managem</w:t>
      </w:r>
      <w:r>
        <w:t>ent and voluntarily disclosure.</w:t>
      </w:r>
      <w:r w:rsidRPr="00F36ADD">
        <w:rPr>
          <w:rFonts w:hint="eastAsia"/>
        </w:rPr>
        <w:t xml:space="preserve"> </w:t>
      </w:r>
      <w:r w:rsidRPr="00F36ADD">
        <w:t xml:space="preserve">These studies document that corporate governance variables, </w:t>
      </w:r>
      <w:r w:rsidRPr="00F36ADD">
        <w:rPr>
          <w:rFonts w:hint="eastAsia"/>
        </w:rPr>
        <w:t>such as</w:t>
      </w:r>
      <w:r w:rsidRPr="00F36ADD">
        <w:t xml:space="preserve"> institutional ownership </w:t>
      </w:r>
      <w:r w:rsidRPr="00F36ADD">
        <w:rPr>
          <w:rFonts w:hint="eastAsia"/>
        </w:rPr>
        <w:t>of</w:t>
      </w:r>
      <w:r w:rsidRPr="00F36ADD">
        <w:t xml:space="preserve"> the firm, board of director characteristics, and analyst coverage, can mitigate earnings management and enhance </w:t>
      </w:r>
      <w:r w:rsidRPr="00F36ADD">
        <w:rPr>
          <w:rFonts w:hint="eastAsia"/>
        </w:rPr>
        <w:t xml:space="preserve">the quality of </w:t>
      </w:r>
      <w:r w:rsidRPr="00F36ADD">
        <w:t>financial disclosure</w:t>
      </w:r>
      <w:r>
        <w:rPr>
          <w:rFonts w:hint="eastAsia"/>
        </w:rPr>
        <w:t xml:space="preserve"> (Klein, 2002; Ajinkya, Bhojraj, and Sengupta, 2005; Karamanou and Vafeas, 2005; Cornett, Marcus, Tehranian, 2008; Yu, 2008)</w:t>
      </w:r>
      <w:r w:rsidRPr="00F36ADD">
        <w:t>. Therefore, managers’</w:t>
      </w:r>
      <w:r>
        <w:rPr>
          <w:rFonts w:hint="eastAsia"/>
        </w:rPr>
        <w:t xml:space="preserve"> </w:t>
      </w:r>
      <w:r w:rsidRPr="00F36ADD">
        <w:t>self-interested or opportunistic behavior seems</w:t>
      </w:r>
      <w:r w:rsidRPr="00F36ADD">
        <w:rPr>
          <w:rFonts w:hint="eastAsia"/>
        </w:rPr>
        <w:t xml:space="preserve"> to be</w:t>
      </w:r>
      <w:r w:rsidRPr="00F36ADD">
        <w:t xml:space="preserve"> discouraged by these governance mechanisms. </w:t>
      </w:r>
      <w:r>
        <w:rPr>
          <w:rFonts w:hint="eastAsia"/>
        </w:rPr>
        <w:t xml:space="preserve">However, previous studies indicate that managers </w:t>
      </w:r>
      <w:r w:rsidRPr="00F36ADD">
        <w:t>manipulat</w:t>
      </w:r>
      <w:r>
        <w:rPr>
          <w:rFonts w:hint="eastAsia"/>
        </w:rPr>
        <w:t>e</w:t>
      </w:r>
      <w:r w:rsidRPr="00F36ADD">
        <w:t xml:space="preserve"> stock prices through voluntary disclosures (Frankel, McNichols, and Wilson, 1995; Yermack, 1997; Aboody and Kasznik, 2000; Lang and Lundholm, 2000; Cheng and Lo, 2006; Brockman, Khurana, and Martin, 2008)</w:t>
      </w:r>
      <w:r>
        <w:rPr>
          <w:rFonts w:hint="eastAsia"/>
        </w:rPr>
        <w:t xml:space="preserve">, </w:t>
      </w:r>
      <w:r>
        <w:t>but</w:t>
      </w:r>
      <w:r>
        <w:rPr>
          <w:rFonts w:hint="eastAsia"/>
        </w:rPr>
        <w:t xml:space="preserve"> </w:t>
      </w:r>
      <w:r w:rsidRPr="00F36ADD">
        <w:t>there is no existing literature investigating whether the monitoring effect of cor</w:t>
      </w:r>
      <w:r>
        <w:t xml:space="preserve">porate governance can diminish </w:t>
      </w:r>
      <w:r>
        <w:rPr>
          <w:rFonts w:hint="eastAsia"/>
        </w:rPr>
        <w:t>this management</w:t>
      </w:r>
      <w:r>
        <w:t xml:space="preserve"> opportunistic behavior</w:t>
      </w:r>
      <w:r>
        <w:rPr>
          <w:rFonts w:hint="eastAsia"/>
        </w:rPr>
        <w:t>.</w:t>
      </w:r>
    </w:p>
    <w:p w:rsidR="00513D34" w:rsidRPr="002A3DFC" w:rsidRDefault="00513D34" w:rsidP="00513D34">
      <w:pPr>
        <w:snapToGrid w:val="0"/>
        <w:spacing w:line="480" w:lineRule="auto"/>
        <w:ind w:firstLine="480"/>
        <w:jc w:val="both"/>
      </w:pPr>
      <w:r w:rsidRPr="002A3DFC">
        <w:t>Stock repurchases are a remarkably important corporate payout policy. Several studies indicate that managers are likely to have private incentives to deflate the repurchase price in order to effectively transfer wealth from the shareholders who sell their stock</w:t>
      </w:r>
      <w:r w:rsidRPr="002A3DFC">
        <w:rPr>
          <w:rFonts w:hint="eastAsia"/>
        </w:rPr>
        <w:t xml:space="preserve"> to </w:t>
      </w:r>
      <w:r w:rsidRPr="002A3DFC">
        <w:t xml:space="preserve">the remaining shareholders who choose not to sell (Barclay and Smith, 1988; Gong, Louis, and Sun, 2008; Brockman, Khurana, and Martin, 2008). Managers can benefit from this wealth transfer because their interests are more likely to be </w:t>
      </w:r>
      <w:r w:rsidRPr="002A3DFC">
        <w:lastRenderedPageBreak/>
        <w:t>aligned with those of the remaining shareholders through their equity stakes in the firm, career concerns, and their future compensation.</w:t>
      </w:r>
      <w:r w:rsidRPr="002A3DFC">
        <w:rPr>
          <w:rFonts w:hint="eastAsia"/>
        </w:rPr>
        <w:t xml:space="preserve"> </w:t>
      </w:r>
      <w:r w:rsidRPr="002A3DFC">
        <w:t>Brockman, Khurana, and Martin (2008) find supportive evidence that managers actively manipulate voluntary disclosures before share repurchases. During the one month period prior to repurchasing shares, managers increase the frequency and magnitude of bad news announcements and provide downward-biased earnings forecasts.</w:t>
      </w:r>
    </w:p>
    <w:p w:rsidR="00513D34" w:rsidRDefault="00513D34" w:rsidP="00513D34">
      <w:pPr>
        <w:snapToGrid w:val="0"/>
        <w:spacing w:line="480" w:lineRule="auto"/>
        <w:ind w:firstLine="480"/>
        <w:jc w:val="both"/>
      </w:pPr>
      <w:r w:rsidRPr="002A3DFC">
        <w:t>Although the results of Brockman, Khurana, and Martin (2008) are insightful, they do not consider the governance mechanisms</w:t>
      </w:r>
      <w:r w:rsidRPr="002A3DFC">
        <w:rPr>
          <w:rFonts w:hint="eastAsia"/>
        </w:rPr>
        <w:t xml:space="preserve"> on the effect of share repurchase voluntary disclosures</w:t>
      </w:r>
      <w:r w:rsidRPr="002A3DFC">
        <w:t>.</w:t>
      </w:r>
      <w:r w:rsidRPr="002A3DFC">
        <w:rPr>
          <w:rFonts w:hint="eastAsia"/>
        </w:rPr>
        <w:t xml:space="preserve"> </w:t>
      </w:r>
      <w:r w:rsidRPr="002A3DFC">
        <w:t xml:space="preserve">In this </w:t>
      </w:r>
      <w:r>
        <w:t>chapter</w:t>
      </w:r>
      <w:r w:rsidRPr="002A3DFC">
        <w:t xml:space="preserve">, we examine </w:t>
      </w:r>
      <w:r w:rsidRPr="002A3DFC">
        <w:rPr>
          <w:rFonts w:hint="eastAsia"/>
        </w:rPr>
        <w:t>whether</w:t>
      </w:r>
      <w:r w:rsidRPr="002A3DFC">
        <w:t xml:space="preserve"> governance mechanisms can restrain managers’ opportunistic behavior in response to share repurchases</w:t>
      </w:r>
      <w:r w:rsidRPr="002A3DFC">
        <w:rPr>
          <w:rFonts w:hint="eastAsia"/>
        </w:rPr>
        <w:t xml:space="preserve">. We </w:t>
      </w:r>
      <w:r>
        <w:rPr>
          <w:rFonts w:hint="eastAsia"/>
        </w:rPr>
        <w:t>mainly focus on three</w:t>
      </w:r>
      <w:r w:rsidRPr="002A3DFC">
        <w:t xml:space="preserve"> governance variables</w:t>
      </w:r>
      <w:r w:rsidRPr="0066327E">
        <w:rPr>
          <w:rFonts w:hint="eastAsia"/>
        </w:rPr>
        <w:t>－</w:t>
      </w:r>
      <w:r w:rsidRPr="002A3DFC">
        <w:t>institutional ownership, board independence, and analyst coverage</w:t>
      </w:r>
      <w:r w:rsidRPr="0066327E">
        <w:rPr>
          <w:rFonts w:hint="eastAsia"/>
        </w:rPr>
        <w:t>－</w:t>
      </w:r>
      <w:r>
        <w:rPr>
          <w:rFonts w:hint="eastAsia"/>
        </w:rPr>
        <w:t>because these</w:t>
      </w:r>
      <w:r w:rsidRPr="002A3DFC">
        <w:rPr>
          <w:rFonts w:hint="eastAsia"/>
        </w:rPr>
        <w:t xml:space="preserve"> are widely used </w:t>
      </w:r>
      <w:r>
        <w:rPr>
          <w:rFonts w:hint="eastAsia"/>
        </w:rPr>
        <w:t xml:space="preserve">to study the impact of governance structures on management behavior about earnings management and voluntary disclosure </w:t>
      </w:r>
      <w:r>
        <w:t>practice</w:t>
      </w:r>
      <w:r w:rsidRPr="001346EC">
        <w:rPr>
          <w:rFonts w:hint="eastAsia"/>
        </w:rPr>
        <w:t xml:space="preserve"> </w:t>
      </w:r>
      <w:r w:rsidRPr="002A3DFC">
        <w:rPr>
          <w:rFonts w:hint="eastAsia"/>
        </w:rPr>
        <w:t>in the literature</w:t>
      </w:r>
      <w:r>
        <w:rPr>
          <w:rFonts w:hint="eastAsia"/>
        </w:rPr>
        <w:t xml:space="preserve">. </w:t>
      </w:r>
      <w:r w:rsidRPr="00E17ACB">
        <w:rPr>
          <w:rFonts w:hint="eastAsia"/>
        </w:rPr>
        <w:t xml:space="preserve">We </w:t>
      </w:r>
      <w:r>
        <w:rPr>
          <w:rFonts w:hint="eastAsia"/>
        </w:rPr>
        <w:t>find</w:t>
      </w:r>
      <w:r w:rsidRPr="00E17ACB">
        <w:rPr>
          <w:rFonts w:hint="eastAsia"/>
        </w:rPr>
        <w:t xml:space="preserve"> that governance </w:t>
      </w:r>
      <w:r>
        <w:rPr>
          <w:rFonts w:hint="eastAsia"/>
        </w:rPr>
        <w:t xml:space="preserve">mechanisms </w:t>
      </w:r>
      <w:r w:rsidRPr="00E17ACB">
        <w:rPr>
          <w:rFonts w:hint="eastAsia"/>
        </w:rPr>
        <w:t>can mitigate</w:t>
      </w:r>
      <w:r>
        <w:rPr>
          <w:rFonts w:hint="eastAsia"/>
        </w:rPr>
        <w:t xml:space="preserve"> managers to affect stock prices by using voluntary disclosures </w:t>
      </w:r>
      <w:r w:rsidRPr="00E17ACB">
        <w:rPr>
          <w:rFonts w:hint="eastAsia"/>
        </w:rPr>
        <w:t>prior to repurchases.</w:t>
      </w:r>
    </w:p>
    <w:p w:rsidR="00513D34" w:rsidRDefault="00513D34" w:rsidP="00513D34">
      <w:pPr>
        <w:snapToGrid w:val="0"/>
        <w:spacing w:line="480" w:lineRule="auto"/>
        <w:ind w:firstLine="480"/>
        <w:jc w:val="both"/>
      </w:pPr>
      <w:r>
        <w:t xml:space="preserve">The remainder of this </w:t>
      </w:r>
      <w:r>
        <w:rPr>
          <w:rFonts w:hint="eastAsia"/>
        </w:rPr>
        <w:t>chapter</w:t>
      </w:r>
      <w:r>
        <w:t xml:space="preserve"> is organized as follows: In Section </w:t>
      </w:r>
      <w:r>
        <w:rPr>
          <w:rFonts w:hint="eastAsia"/>
        </w:rPr>
        <w:t>2.</w:t>
      </w:r>
      <w:r>
        <w:t xml:space="preserve">2, we review prior literature and develop our hypotheses. Section </w:t>
      </w:r>
      <w:r>
        <w:rPr>
          <w:rFonts w:hint="eastAsia"/>
        </w:rPr>
        <w:t>2.</w:t>
      </w:r>
      <w:r>
        <w:t xml:space="preserve">3 contains the data and methodology, and Section </w:t>
      </w:r>
      <w:r>
        <w:rPr>
          <w:rFonts w:hint="eastAsia"/>
        </w:rPr>
        <w:t>2.</w:t>
      </w:r>
      <w:r>
        <w:t xml:space="preserve">4 </w:t>
      </w:r>
      <w:r>
        <w:rPr>
          <w:rFonts w:hint="eastAsia"/>
        </w:rPr>
        <w:t>reports empirical results</w:t>
      </w:r>
      <w:r>
        <w:t xml:space="preserve">. In Section </w:t>
      </w:r>
      <w:r>
        <w:rPr>
          <w:rFonts w:hint="eastAsia"/>
        </w:rPr>
        <w:t>2.</w:t>
      </w:r>
      <w:r>
        <w:t>5, we summarize our main results.</w:t>
      </w:r>
    </w:p>
    <w:p w:rsidR="00513D34" w:rsidRDefault="00513D34" w:rsidP="00513D34">
      <w:pPr>
        <w:snapToGrid w:val="0"/>
        <w:spacing w:line="480" w:lineRule="auto"/>
        <w:jc w:val="both"/>
      </w:pPr>
    </w:p>
    <w:p w:rsidR="00513D34" w:rsidRDefault="00513D34" w:rsidP="00513D34">
      <w:pPr>
        <w:pStyle w:val="1"/>
        <w:snapToGrid w:val="0"/>
        <w:spacing w:before="0" w:after="0" w:line="480" w:lineRule="auto"/>
        <w:jc w:val="both"/>
        <w:rPr>
          <w:rFonts w:ascii="Times New Roman" w:hAnsi="Times New Roman"/>
          <w:kern w:val="2"/>
          <w:sz w:val="24"/>
          <w:szCs w:val="24"/>
        </w:rPr>
      </w:pPr>
      <w:r>
        <w:rPr>
          <w:rFonts w:ascii="Times New Roman" w:hAnsi="Times New Roman"/>
          <w:kern w:val="2"/>
          <w:sz w:val="24"/>
          <w:szCs w:val="24"/>
        </w:rPr>
        <w:t>2. Literature review and hypothesis development</w:t>
      </w: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b w:val="0"/>
          <w:bCs w:val="0"/>
          <w:i/>
          <w:iCs/>
          <w:sz w:val="24"/>
        </w:rPr>
        <w:t xml:space="preserve">2.1. </w:t>
      </w:r>
      <w:r>
        <w:rPr>
          <w:rFonts w:ascii="Times New Roman" w:hAnsi="Times New Roman" w:hint="eastAsia"/>
          <w:b w:val="0"/>
          <w:bCs w:val="0"/>
          <w:i/>
          <w:iCs/>
          <w:sz w:val="24"/>
        </w:rPr>
        <w:t>Institutional ownership</w:t>
      </w:r>
    </w:p>
    <w:p w:rsidR="00513D34" w:rsidRPr="002A3DFC" w:rsidRDefault="00513D34" w:rsidP="00513D34">
      <w:pPr>
        <w:snapToGrid w:val="0"/>
        <w:spacing w:line="480" w:lineRule="auto"/>
        <w:ind w:firstLine="480"/>
        <w:jc w:val="both"/>
      </w:pPr>
      <w:r w:rsidRPr="002A3DFC">
        <w:t xml:space="preserve">McConnell and Servaes (1990), Smith (1996), Del Guercio and Hawkins (1999), and Hartzell and Starks (2003) find that institutional investors can constrain managers’ </w:t>
      </w:r>
      <w:r w:rsidRPr="002A3DFC">
        <w:lastRenderedPageBreak/>
        <w:t>behavior. Moreover, Cornett, Marcus, Tehranian (2008) show institutional ownership is associated with lower use of discretionary accruals, while Ajinkya, Bhojraj, and Sengupta (2005) and Karamanou and Vafeas (2005) find higher institutional ownership is associated with more frequent, specific, accurate, and less biased earnings forecasts. Institutional investors have the opportunity, resources, and ability to monitor, discipline, and influence managers.</w:t>
      </w:r>
      <w:r>
        <w:rPr>
          <w:rFonts w:hint="eastAsia"/>
        </w:rPr>
        <w:t xml:space="preserve"> </w:t>
      </w:r>
      <w:r w:rsidRPr="002A3DFC">
        <w:rPr>
          <w:rFonts w:hint="eastAsia"/>
        </w:rPr>
        <w:t xml:space="preserve">Hence, we </w:t>
      </w:r>
      <w:r w:rsidRPr="002A3DFC">
        <w:t>argue</w:t>
      </w:r>
      <w:r w:rsidRPr="002A3DFC">
        <w:rPr>
          <w:rFonts w:hint="eastAsia"/>
        </w:rPr>
        <w:t xml:space="preserve"> that t</w:t>
      </w:r>
      <w:r w:rsidRPr="002A3DFC">
        <w:t>he monitoring effect by institutions can force managers to focus more on corporate performance and less on opportunistic behavior</w:t>
      </w:r>
      <w:r w:rsidRPr="002A3DFC">
        <w:rPr>
          <w:rFonts w:hint="eastAsia"/>
        </w:rPr>
        <w:t>.</w:t>
      </w:r>
    </w:p>
    <w:p w:rsidR="00513D34" w:rsidRDefault="00513D34" w:rsidP="00513D34">
      <w:pPr>
        <w:snapToGrid w:val="0"/>
        <w:spacing w:line="480" w:lineRule="auto"/>
        <w:ind w:firstLine="480"/>
        <w:jc w:val="both"/>
      </w:pPr>
      <w:r w:rsidRPr="002A3DFC">
        <w:t xml:space="preserve">Besides, disclosures, such as earnings forecasts, are also closely watched by institutional investors because they consistently probe the company for more specific, unbiased, and accurate information by listening </w:t>
      </w:r>
      <w:r w:rsidRPr="002A3DFC">
        <w:rPr>
          <w:rFonts w:hint="eastAsia"/>
        </w:rPr>
        <w:t xml:space="preserve">to </w:t>
      </w:r>
      <w:r w:rsidRPr="002A3DFC">
        <w:t>conference calls.</w:t>
      </w:r>
      <w:r w:rsidRPr="002A3DFC">
        <w:rPr>
          <w:rFonts w:hint="eastAsia"/>
        </w:rPr>
        <w:t xml:space="preserve"> </w:t>
      </w:r>
      <w:r w:rsidRPr="002A3DFC">
        <w:t>Institution investors are thus likely to be well suited to monitor managers because they usually have better information about the firm and then can deter managers from behaving opportunistically. Also, they usually have higher equity investment in the firm, inducing them to have a stronger incentive to monitor management, unlike small shareholders who are frequently free riders because of insufficient information and incentives. As a result, managers should be more difficult to alter the content of information flows by providing overly pessimistic forecasts before upcoming repurchases because of the monitoring effect by institution investors.</w:t>
      </w:r>
    </w:p>
    <w:p w:rsidR="00513D34" w:rsidRDefault="00513D34" w:rsidP="00513D34">
      <w:pPr>
        <w:snapToGrid w:val="0"/>
        <w:spacing w:line="480" w:lineRule="auto"/>
        <w:jc w:val="both"/>
      </w:pP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b w:val="0"/>
          <w:bCs w:val="0"/>
          <w:i/>
          <w:iCs/>
          <w:sz w:val="24"/>
        </w:rPr>
        <w:t>2.</w:t>
      </w:r>
      <w:r>
        <w:rPr>
          <w:rFonts w:ascii="Times New Roman" w:hAnsi="Times New Roman" w:hint="eastAsia"/>
          <w:b w:val="0"/>
          <w:bCs w:val="0"/>
          <w:i/>
          <w:iCs/>
          <w:sz w:val="24"/>
        </w:rPr>
        <w:t>2</w:t>
      </w:r>
      <w:r>
        <w:rPr>
          <w:rFonts w:ascii="Times New Roman" w:hAnsi="Times New Roman"/>
          <w:b w:val="0"/>
          <w:bCs w:val="0"/>
          <w:i/>
          <w:iCs/>
          <w:sz w:val="24"/>
        </w:rPr>
        <w:t xml:space="preserve">. </w:t>
      </w:r>
      <w:r>
        <w:rPr>
          <w:rFonts w:ascii="Times New Roman" w:hAnsi="Times New Roman" w:hint="eastAsia"/>
          <w:b w:val="0"/>
          <w:bCs w:val="0"/>
          <w:i/>
          <w:iCs/>
          <w:sz w:val="24"/>
        </w:rPr>
        <w:t>Analyst coverage</w:t>
      </w:r>
    </w:p>
    <w:p w:rsidR="00513D34" w:rsidRPr="002A3DFC" w:rsidRDefault="00513D34" w:rsidP="00513D34">
      <w:pPr>
        <w:snapToGrid w:val="0"/>
        <w:spacing w:line="480" w:lineRule="auto"/>
        <w:ind w:firstLine="480"/>
        <w:jc w:val="both"/>
      </w:pPr>
      <w:r w:rsidRPr="002A3DFC">
        <w:t xml:space="preserve">Extant literature suggests that a high level of analyst coverage leads firms to a better information environment and less asymmetric information (Bushman and Smith, 2001; Healy and Palepu, 2001). Healy and Palepu (2001) suggest that analysts help to detect management’s misbehavior because they engage in </w:t>
      </w:r>
      <w:r>
        <w:t xml:space="preserve">private information </w:t>
      </w:r>
      <w:r>
        <w:lastRenderedPageBreak/>
        <w:t>production.</w:t>
      </w:r>
      <w:r w:rsidRPr="002A3DFC">
        <w:rPr>
          <w:rFonts w:hint="eastAsia"/>
        </w:rPr>
        <w:t xml:space="preserve"> </w:t>
      </w:r>
      <w:r w:rsidRPr="002A3DFC">
        <w:t>Dyck, Morse, and Zingales (2006) document that analysts play an active role in corporate fraud detection.</w:t>
      </w:r>
      <w:r w:rsidRPr="002A3DFC">
        <w:rPr>
          <w:rFonts w:hint="eastAsia"/>
        </w:rPr>
        <w:t xml:space="preserve"> </w:t>
      </w:r>
      <w:r w:rsidRPr="002A3DFC">
        <w:t>Recently, Yu (2008) further indicates that analysts serve as external monitors to managers and deter their opportunistic earnings management. Analysts often interact directly with management and raise questions on different aspects of a firm’s financial reporting during ear</w:t>
      </w:r>
      <w:r>
        <w:t>nings release conference calls.</w:t>
      </w:r>
      <w:r w:rsidRPr="002A3DFC">
        <w:rPr>
          <w:rFonts w:hint="eastAsia"/>
        </w:rPr>
        <w:t xml:space="preserve"> </w:t>
      </w:r>
      <w:r w:rsidRPr="002A3DFC">
        <w:t>Executives who make decisions have to face and answer those questions.</w:t>
      </w:r>
    </w:p>
    <w:p w:rsidR="00513D34" w:rsidRPr="002A3DFC" w:rsidRDefault="00513D34" w:rsidP="00513D34">
      <w:pPr>
        <w:snapToGrid w:val="0"/>
        <w:spacing w:line="480" w:lineRule="auto"/>
        <w:ind w:firstLine="480"/>
        <w:jc w:val="both"/>
      </w:pPr>
      <w:r w:rsidRPr="002A3DFC">
        <w:t>Analysts can also express their concerns about covered firms through their research reports to their clients, through recommendations and forecasts to general investors, and through their appearance in public media such as newspapers and TV progra</w:t>
      </w:r>
      <w:r>
        <w:t>ms to an even boarder audience.</w:t>
      </w:r>
      <w:r w:rsidRPr="002A3DFC">
        <w:rPr>
          <w:rFonts w:hint="eastAsia"/>
        </w:rPr>
        <w:t xml:space="preserve"> </w:t>
      </w:r>
      <w:r w:rsidRPr="002A3DFC">
        <w:t xml:space="preserve">With training in finance and substantial industry background knowledge, analysts track firms on a regular basis, continuously inspecting management behavior and financial reporting irregularities. Therefore, we expect that </w:t>
      </w:r>
      <w:r w:rsidRPr="002A3DFC">
        <w:rPr>
          <w:rFonts w:hint="eastAsia"/>
        </w:rPr>
        <w:t xml:space="preserve">with higher monitoring intensity of </w:t>
      </w:r>
      <w:r w:rsidRPr="002A3DFC">
        <w:t>analysts, management is</w:t>
      </w:r>
      <w:r w:rsidRPr="002A3DFC">
        <w:rPr>
          <w:rFonts w:hint="eastAsia"/>
        </w:rPr>
        <w:t xml:space="preserve"> less likely to engage in</w:t>
      </w:r>
      <w:r w:rsidRPr="002A3DFC">
        <w:t xml:space="preserve"> opportunistic disclosure behavior before repurchasing shares.</w:t>
      </w:r>
    </w:p>
    <w:p w:rsidR="00513D34" w:rsidRDefault="00513D34" w:rsidP="00513D34">
      <w:pPr>
        <w:snapToGrid w:val="0"/>
        <w:spacing w:line="480" w:lineRule="auto"/>
        <w:jc w:val="both"/>
      </w:pP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b w:val="0"/>
          <w:bCs w:val="0"/>
          <w:i/>
          <w:iCs/>
          <w:sz w:val="24"/>
        </w:rPr>
        <w:t>2.</w:t>
      </w:r>
      <w:r>
        <w:rPr>
          <w:rFonts w:ascii="Times New Roman" w:hAnsi="Times New Roman" w:hint="eastAsia"/>
          <w:b w:val="0"/>
          <w:bCs w:val="0"/>
          <w:i/>
          <w:iCs/>
          <w:sz w:val="24"/>
        </w:rPr>
        <w:t>3</w:t>
      </w:r>
      <w:r>
        <w:rPr>
          <w:rFonts w:ascii="Times New Roman" w:hAnsi="Times New Roman"/>
          <w:b w:val="0"/>
          <w:bCs w:val="0"/>
          <w:i/>
          <w:iCs/>
          <w:sz w:val="24"/>
        </w:rPr>
        <w:t xml:space="preserve">. </w:t>
      </w:r>
      <w:r>
        <w:rPr>
          <w:rFonts w:ascii="Times New Roman" w:hAnsi="Times New Roman" w:hint="eastAsia"/>
          <w:b w:val="0"/>
          <w:bCs w:val="0"/>
          <w:i/>
          <w:iCs/>
          <w:sz w:val="24"/>
        </w:rPr>
        <w:t>Outside directors</w:t>
      </w:r>
    </w:p>
    <w:p w:rsidR="00513D34" w:rsidRDefault="00513D34" w:rsidP="00513D34">
      <w:pPr>
        <w:snapToGrid w:val="0"/>
        <w:spacing w:line="480" w:lineRule="auto"/>
        <w:ind w:firstLine="480"/>
        <w:jc w:val="both"/>
      </w:pPr>
      <w:r w:rsidRPr="002A3DFC">
        <w:t>Prior empirical work also</w:t>
      </w:r>
      <w:r w:rsidRPr="002A3DFC">
        <w:rPr>
          <w:rFonts w:hint="eastAsia"/>
        </w:rPr>
        <w:t xml:space="preserve"> </w:t>
      </w:r>
      <w:r w:rsidRPr="002A3DFC">
        <w:t>finds that outside directors who are independent of management have favorable effect on firms’ decisions to enhance shareholder value or to protect shareholder interests against managerial opportunism. Dechow, Sloan, and Sweeney (1995) and Beasley (1996) document a negative link between outside directors and the occurrence of financial fraud. Klein (2002) finds outside directors are negatively related to earnings manipulation.</w:t>
      </w:r>
      <w:r w:rsidRPr="002A3DFC">
        <w:rPr>
          <w:rFonts w:hint="eastAsia"/>
        </w:rPr>
        <w:t xml:space="preserve"> </w:t>
      </w:r>
      <w:r w:rsidRPr="002A3DFC">
        <w:t>Ajinkya, Bhojraj, and Sengupta (2005) and Karamanou and Vafeas (2005) report that firms with more outside directors have better financial disclosure quality.</w:t>
      </w:r>
      <w:r w:rsidRPr="002A3DFC">
        <w:rPr>
          <w:rFonts w:hint="eastAsia"/>
        </w:rPr>
        <w:t xml:space="preserve"> </w:t>
      </w:r>
      <w:r w:rsidRPr="002A3DFC">
        <w:t xml:space="preserve">Outside directors directly review the disclosure policy and earnings releases as well as foster an environment that encourages greater </w:t>
      </w:r>
      <w:r w:rsidRPr="002A3DFC">
        <w:lastRenderedPageBreak/>
        <w:t>transparency, so they can mitigate managerial self-serving behavior and influence the issuance and properties of forecast disclosures.</w:t>
      </w:r>
      <w:r w:rsidRPr="002A3DFC">
        <w:rPr>
          <w:rFonts w:hint="eastAsia"/>
        </w:rPr>
        <w:t xml:space="preserve"> </w:t>
      </w:r>
      <w:r w:rsidRPr="002A3DFC">
        <w:t>Therefore, board dominated by outsiders should be in a better position to monitor and control managers because they are effective monitors of managerial actions. Higher proportion of outside directors is thus expected to lower the managerial opportunism before repurchasing shares.</w:t>
      </w:r>
    </w:p>
    <w:p w:rsidR="00513D34" w:rsidRDefault="00513D34" w:rsidP="00513D34">
      <w:pPr>
        <w:snapToGrid w:val="0"/>
        <w:spacing w:line="480" w:lineRule="auto"/>
        <w:jc w:val="both"/>
      </w:pPr>
    </w:p>
    <w:p w:rsidR="00513D34" w:rsidRDefault="00513D34" w:rsidP="00513D34">
      <w:pPr>
        <w:pStyle w:val="1"/>
        <w:snapToGrid w:val="0"/>
        <w:spacing w:before="0" w:after="0" w:line="480" w:lineRule="auto"/>
        <w:jc w:val="both"/>
        <w:rPr>
          <w:rFonts w:ascii="Times New Roman" w:hAnsi="Times New Roman"/>
          <w:kern w:val="2"/>
          <w:sz w:val="24"/>
          <w:szCs w:val="24"/>
        </w:rPr>
      </w:pPr>
      <w:r>
        <w:rPr>
          <w:rFonts w:ascii="Times New Roman" w:hAnsi="Times New Roman" w:hint="eastAsia"/>
          <w:kern w:val="2"/>
          <w:sz w:val="24"/>
          <w:szCs w:val="24"/>
        </w:rPr>
        <w:t>3</w:t>
      </w:r>
      <w:r>
        <w:rPr>
          <w:rFonts w:ascii="Times New Roman" w:hAnsi="Times New Roman"/>
          <w:kern w:val="2"/>
          <w:sz w:val="24"/>
          <w:szCs w:val="24"/>
        </w:rPr>
        <w:t xml:space="preserve">. </w:t>
      </w:r>
      <w:r>
        <w:rPr>
          <w:rFonts w:ascii="Times New Roman" w:hAnsi="Times New Roman" w:hint="eastAsia"/>
          <w:kern w:val="2"/>
          <w:sz w:val="24"/>
          <w:szCs w:val="24"/>
        </w:rPr>
        <w:t>Sample selection and methodology</w:t>
      </w: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hint="eastAsia"/>
          <w:b w:val="0"/>
          <w:bCs w:val="0"/>
          <w:i/>
          <w:iCs/>
          <w:sz w:val="24"/>
        </w:rPr>
        <w:t>3</w:t>
      </w:r>
      <w:r>
        <w:rPr>
          <w:rFonts w:ascii="Times New Roman" w:hAnsi="Times New Roman"/>
          <w:b w:val="0"/>
          <w:bCs w:val="0"/>
          <w:i/>
          <w:iCs/>
          <w:sz w:val="24"/>
        </w:rPr>
        <w:t xml:space="preserve">.1. </w:t>
      </w:r>
      <w:r>
        <w:rPr>
          <w:rFonts w:ascii="Times New Roman" w:hAnsi="Times New Roman" w:hint="eastAsia"/>
          <w:b w:val="0"/>
          <w:bCs w:val="0"/>
          <w:i/>
          <w:iCs/>
          <w:sz w:val="24"/>
        </w:rPr>
        <w:t>Sample</w:t>
      </w:r>
    </w:p>
    <w:p w:rsidR="00513D34" w:rsidRDefault="00513D34" w:rsidP="00513D34">
      <w:pPr>
        <w:snapToGrid w:val="0"/>
        <w:spacing w:line="480" w:lineRule="auto"/>
        <w:ind w:firstLine="480"/>
        <w:jc w:val="both"/>
      </w:pPr>
      <w:r>
        <w:t xml:space="preserve">We </w:t>
      </w:r>
      <w:r>
        <w:rPr>
          <w:rFonts w:hint="eastAsia"/>
        </w:rPr>
        <w:t xml:space="preserve">retrieve </w:t>
      </w:r>
      <w:r>
        <w:t>data on</w:t>
      </w:r>
      <w:r>
        <w:rPr>
          <w:rFonts w:hint="eastAsia"/>
        </w:rPr>
        <w:t xml:space="preserve"> share repurchases, management </w:t>
      </w:r>
      <w:r>
        <w:t>forecasts</w:t>
      </w:r>
      <w:r>
        <w:rPr>
          <w:rFonts w:hint="eastAsia"/>
        </w:rPr>
        <w:t>,</w:t>
      </w:r>
      <w:r>
        <w:t xml:space="preserve"> firm characteristics</w:t>
      </w:r>
      <w:r>
        <w:rPr>
          <w:rFonts w:hint="eastAsia"/>
        </w:rPr>
        <w:t>,</w:t>
      </w:r>
      <w:r w:rsidRPr="007D6E35">
        <w:t xml:space="preserve"> </w:t>
      </w:r>
      <w:r>
        <w:t>and stock returns from the</w:t>
      </w:r>
      <w:r>
        <w:rPr>
          <w:rFonts w:hint="eastAsia"/>
        </w:rPr>
        <w:t xml:space="preserve"> Security Data Corporation (SDC) Merger and Acquisition, First Call,</w:t>
      </w:r>
      <w:r>
        <w:t xml:space="preserve"> </w:t>
      </w:r>
      <w:r>
        <w:rPr>
          <w:rFonts w:hint="eastAsia"/>
        </w:rPr>
        <w:t xml:space="preserve">Compustat, and the Center for Research in Security Prices (CRSP) databases, respectively. </w:t>
      </w:r>
      <w:r w:rsidRPr="00106F62">
        <w:rPr>
          <w:rFonts w:hint="eastAsia"/>
        </w:rPr>
        <w:t xml:space="preserve">Corporate </w:t>
      </w:r>
      <w:r w:rsidRPr="00106F62">
        <w:t>governance</w:t>
      </w:r>
      <w:r w:rsidRPr="00106F62">
        <w:rPr>
          <w:rFonts w:hint="eastAsia"/>
        </w:rPr>
        <w:t xml:space="preserve"> </w:t>
      </w:r>
      <w:r>
        <w:rPr>
          <w:rFonts w:hint="eastAsia"/>
        </w:rPr>
        <w:t>measures</w:t>
      </w:r>
      <w:r w:rsidRPr="00106F62">
        <w:rPr>
          <w:rFonts w:hint="eastAsia"/>
        </w:rPr>
        <w:t xml:space="preserve"> </w:t>
      </w:r>
      <w:r>
        <w:rPr>
          <w:rFonts w:hint="eastAsia"/>
        </w:rPr>
        <w:t>are obtained from Thomson Reuters</w:t>
      </w:r>
      <w:r w:rsidRPr="00B444AC">
        <w:rPr>
          <w:rFonts w:hint="eastAsia"/>
        </w:rPr>
        <w:t xml:space="preserve"> </w:t>
      </w:r>
      <w:r>
        <w:rPr>
          <w:rFonts w:hint="eastAsia"/>
        </w:rPr>
        <w:t>(</w:t>
      </w:r>
      <w:r>
        <w:t>institutional</w:t>
      </w:r>
      <w:r>
        <w:rPr>
          <w:rFonts w:hint="eastAsia"/>
        </w:rPr>
        <w:t xml:space="preserve"> ownership),</w:t>
      </w:r>
      <w:r w:rsidRPr="00B444AC">
        <w:rPr>
          <w:rFonts w:hint="eastAsia"/>
        </w:rPr>
        <w:t xml:space="preserve"> </w:t>
      </w:r>
      <w:r>
        <w:rPr>
          <w:rFonts w:hint="eastAsia"/>
        </w:rPr>
        <w:t>IRRC (</w:t>
      </w:r>
      <w:r w:rsidRPr="00EC33B1">
        <w:t>board independence</w:t>
      </w:r>
      <w:r>
        <w:rPr>
          <w:rFonts w:hint="eastAsia"/>
        </w:rPr>
        <w:t>), and I/B/E/S (analyst coverage)</w:t>
      </w:r>
      <w:r w:rsidRPr="00106F62">
        <w:rPr>
          <w:rFonts w:hint="eastAsia"/>
        </w:rPr>
        <w:t>.</w:t>
      </w:r>
      <w:r>
        <w:rPr>
          <w:rFonts w:hint="eastAsia"/>
        </w:rPr>
        <w:t xml:space="preserve"> Our sample period is from January 1997 to December 2008 because of the data availability. Following Brockman, Khurana, and Martin (2008), we include all management forecasts, whether they are for earnings or not, and whether the forecasts are for quarterly or annual periods. Moreover, we treat multiple forecasts by the same firm on the same day (e.g., an earnings forecast for next quarter and for next year) as a single forecast event.</w:t>
      </w:r>
    </w:p>
    <w:p w:rsidR="00513D34" w:rsidRDefault="00513D34" w:rsidP="00513D34">
      <w:pPr>
        <w:snapToGrid w:val="0"/>
        <w:spacing w:line="480" w:lineRule="auto"/>
        <w:ind w:firstLine="480"/>
        <w:jc w:val="both"/>
      </w:pPr>
      <w:r>
        <w:rPr>
          <w:rFonts w:hint="eastAsia"/>
        </w:rPr>
        <w:t xml:space="preserve">We use abnormal announcement returns around the management forecasts, which is calculated as the stock returns of the three-day window [-1, 1] around management forecasts </w:t>
      </w:r>
      <w:r>
        <w:t>minus</w:t>
      </w:r>
      <w:r>
        <w:rPr>
          <w:rFonts w:hint="eastAsia"/>
        </w:rPr>
        <w:t xml:space="preserve"> the CRSP value-weighted index returns for the same period, to distinguish bad news forecasts and good news forecasts. If the abnormal return is negative (non-negative), we classify the forecast as bad news (good news). Similar to Brockman, Khurana, and Martin (2008), we compare management </w:t>
      </w:r>
      <w:r>
        <w:rPr>
          <w:rFonts w:hint="eastAsia"/>
        </w:rPr>
        <w:lastRenderedPageBreak/>
        <w:t>forecasts issued within a 30-day window prior to the beginning of share repurchases relative to all other management forecasts issued by our sample firms over the 1997-2008 sample period.</w:t>
      </w:r>
    </w:p>
    <w:p w:rsidR="00513D34" w:rsidRDefault="00513D34" w:rsidP="00513D34">
      <w:pPr>
        <w:snapToGrid w:val="0"/>
        <w:spacing w:line="480" w:lineRule="auto"/>
        <w:ind w:firstLine="480"/>
        <w:jc w:val="both"/>
      </w:pPr>
      <w:r>
        <w:rPr>
          <w:rFonts w:hint="eastAsia"/>
        </w:rPr>
        <w:t>Table 1 provides sample size for our full sample. We identify 735 management forecasts that are issued within 30 days prior to share repurchase programs by 519 unique firms. For this set of 519 unique firms, we identify 13,870 management forecasts issued during the 1997-2008 period that do not fall within 30 days prior to share repurchases. Therefore, we have a total of 14,605 management forecasts out of which 6,919 (7,686) are classified as bad (good) news.</w:t>
      </w:r>
    </w:p>
    <w:p w:rsidR="00513D34" w:rsidRDefault="00513D34" w:rsidP="00513D34">
      <w:pPr>
        <w:snapToGrid w:val="0"/>
        <w:spacing w:line="480" w:lineRule="auto"/>
        <w:ind w:firstLine="480"/>
        <w:jc w:val="center"/>
        <w:rPr>
          <w:b/>
        </w:rPr>
      </w:pPr>
      <w:r>
        <w:rPr>
          <w:b/>
        </w:rPr>
        <w:t xml:space="preserve">[Insert Table </w:t>
      </w:r>
      <w:r>
        <w:rPr>
          <w:rFonts w:hint="eastAsia"/>
          <w:b/>
        </w:rPr>
        <w:t>1</w:t>
      </w:r>
      <w:r>
        <w:rPr>
          <w:b/>
        </w:rPr>
        <w:t xml:space="preserve"> here]</w:t>
      </w:r>
    </w:p>
    <w:p w:rsidR="00513D34" w:rsidRDefault="00513D34" w:rsidP="00513D34">
      <w:pPr>
        <w:snapToGrid w:val="0"/>
        <w:spacing w:line="480" w:lineRule="auto"/>
        <w:jc w:val="both"/>
      </w:pP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hint="eastAsia"/>
          <w:b w:val="0"/>
          <w:bCs w:val="0"/>
          <w:i/>
          <w:iCs/>
          <w:sz w:val="24"/>
        </w:rPr>
        <w:t>3</w:t>
      </w:r>
      <w:r>
        <w:rPr>
          <w:rFonts w:ascii="Times New Roman" w:hAnsi="Times New Roman"/>
          <w:b w:val="0"/>
          <w:bCs w:val="0"/>
          <w:i/>
          <w:iCs/>
          <w:sz w:val="24"/>
        </w:rPr>
        <w:t>.</w:t>
      </w:r>
      <w:r>
        <w:rPr>
          <w:rFonts w:ascii="Times New Roman" w:hAnsi="Times New Roman" w:hint="eastAsia"/>
          <w:b w:val="0"/>
          <w:bCs w:val="0"/>
          <w:i/>
          <w:iCs/>
          <w:sz w:val="24"/>
        </w:rPr>
        <w:t>2</w:t>
      </w:r>
      <w:r>
        <w:rPr>
          <w:rFonts w:ascii="Times New Roman" w:hAnsi="Times New Roman"/>
          <w:b w:val="0"/>
          <w:bCs w:val="0"/>
          <w:i/>
          <w:iCs/>
          <w:sz w:val="24"/>
        </w:rPr>
        <w:t xml:space="preserve">. </w:t>
      </w:r>
      <w:r>
        <w:rPr>
          <w:rFonts w:ascii="Times New Roman" w:hAnsi="Times New Roman" w:hint="eastAsia"/>
          <w:b w:val="0"/>
          <w:bCs w:val="0"/>
          <w:i/>
          <w:iCs/>
          <w:sz w:val="24"/>
        </w:rPr>
        <w:t>Methodology</w:t>
      </w:r>
    </w:p>
    <w:p w:rsidR="00513D34" w:rsidRDefault="00513D34" w:rsidP="00513D34">
      <w:pPr>
        <w:snapToGrid w:val="0"/>
        <w:spacing w:line="480" w:lineRule="auto"/>
        <w:ind w:firstLine="480"/>
        <w:jc w:val="both"/>
      </w:pPr>
      <w:r>
        <w:t>W</w:t>
      </w:r>
      <w:r>
        <w:rPr>
          <w:rFonts w:hint="eastAsia"/>
        </w:rPr>
        <w:t xml:space="preserve">e estimate two models that use two related dependent variables to examine if corporate governance can restrain </w:t>
      </w:r>
      <w:r>
        <w:t>management</w:t>
      </w:r>
      <w:r>
        <w:rPr>
          <w:rFonts w:hint="eastAsia"/>
        </w:rPr>
        <w:t xml:space="preserve"> </w:t>
      </w:r>
      <w:r>
        <w:t>opportunistic</w:t>
      </w:r>
      <w:r>
        <w:rPr>
          <w:rFonts w:hint="eastAsia"/>
        </w:rPr>
        <w:t xml:space="preserve"> behavior before </w:t>
      </w:r>
      <w:r>
        <w:t>share</w:t>
      </w:r>
      <w:r>
        <w:rPr>
          <w:rFonts w:hint="eastAsia"/>
        </w:rPr>
        <w:t xml:space="preserve"> repurchases. The first dependent variable (BN) is an indicator variable that is equal to one if the management forecast is classified as bad news and zero otherwise. The second dependent variable (AR) is the abnormal return over the 3-day window [-1, 1] around management forecasts. Specifically, we estimate the following models:</w:t>
      </w:r>
    </w:p>
    <w:p w:rsidR="00513D34" w:rsidRPr="00BB6966" w:rsidRDefault="00513D34" w:rsidP="00513D34">
      <w:pPr>
        <w:snapToGrid w:val="0"/>
        <w:spacing w:line="480" w:lineRule="auto"/>
        <w:jc w:val="both"/>
        <w:rPr>
          <w:rFonts w:ascii="Cambria Math" w:hAnsi="Cambria Math" w:hint="eastAsia"/>
          <w:oMath/>
        </w:rPr>
      </w:pPr>
      <m:oMathPara>
        <m:oMathParaPr>
          <m:jc m:val="left"/>
        </m:oMathParaPr>
        <m:oMath>
          <m:r>
            <w:rPr>
              <w:rFonts w:ascii="Cambria Math" w:hAnsi="Cambria Math"/>
            </w:rPr>
            <m:t>Pr</m:t>
          </m:r>
          <m:d>
            <m:dPr>
              <m:ctrlPr>
                <w:rPr>
                  <w:rFonts w:ascii="Cambria Math" w:hAnsi="Cambria Math"/>
                </w:rPr>
              </m:ctrlPr>
            </m:dPr>
            <m:e>
              <m:sSub>
                <m:sSubPr>
                  <m:ctrlPr>
                    <w:rPr>
                      <w:rFonts w:ascii="Cambria Math" w:hAnsi="Cambria Math"/>
                      <w:i/>
                    </w:rPr>
                  </m:ctrlPr>
                </m:sSubPr>
                <m:e>
                  <m:r>
                    <w:rPr>
                      <w:rFonts w:ascii="Cambria Math" w:hAnsi="Cambria Math"/>
                    </w:rPr>
                    <m:t>BN</m:t>
                  </m:r>
                </m:e>
                <m:sub>
                  <m:r>
                    <w:rPr>
                      <w:rFonts w:ascii="Cambria Math" w:hAnsi="Cambria Math"/>
                    </w:rPr>
                    <m:t>t</m:t>
                  </m:r>
                </m:sub>
              </m:sSub>
            </m:e>
          </m:d>
          <m:r>
            <w:rPr>
              <w:rFonts w:ascii="Cambria Math" w:hAnsi="Cambria Math"/>
            </w:rPr>
            <m:t>=α+β</m:t>
          </m:r>
          <m:sSub>
            <m:sSubPr>
              <m:ctrlPr>
                <w:rPr>
                  <w:rFonts w:ascii="Cambria Math" w:hAnsi="Cambria Math"/>
                  <w:i/>
                </w:rPr>
              </m:ctrlPr>
            </m:sSubPr>
            <m:e>
              <m:r>
                <w:rPr>
                  <w:rFonts w:ascii="Cambria Math" w:hAnsi="Cambria Math" w:hint="eastAsia"/>
                </w:rPr>
                <m:t>Dis</m:t>
              </m:r>
              <m:r>
                <w:rPr>
                  <w:rFonts w:ascii="Cambria Math" w:hAnsi="Cambria Math"/>
                </w:rPr>
                <m:t>closure</m:t>
              </m:r>
              <m:r>
                <w:rPr>
                  <w:rFonts w:ascii="Cambria Math" w:hAnsi="Cambria Math" w:hint="eastAsia"/>
                </w:rPr>
                <m:t>Rep</m:t>
              </m:r>
            </m:e>
            <m:sub>
              <m:r>
                <w:rPr>
                  <w:rFonts w:ascii="Cambria Math" w:hAnsi="Cambria Math"/>
                </w:rPr>
                <m:t>t</m:t>
              </m:r>
            </m:sub>
          </m:sSub>
          <m:r>
            <w:rPr>
              <w:rFonts w:ascii="Cambria Math" w:hAnsi="Cambria Math" w:hint="eastAsia"/>
            </w:rPr>
            <m:t>+</m:t>
          </m:r>
          <m:r>
            <w:rPr>
              <w:rFonts w:ascii="Cambria Math" w:hAnsi="Cambria Math"/>
            </w:rPr>
            <m:t>γ</m:t>
          </m:r>
          <m:sSub>
            <m:sSubPr>
              <m:ctrlPr>
                <w:rPr>
                  <w:rFonts w:ascii="Cambria Math" w:hAnsi="Cambria Math"/>
                  <w:i/>
                </w:rPr>
              </m:ctrlPr>
            </m:sSubPr>
            <m:e>
              <m:r>
                <w:rPr>
                  <w:rFonts w:ascii="Cambria Math" w:hAnsi="Cambria Math" w:hint="eastAsia"/>
                </w:rPr>
                <m:t>GOV</m:t>
              </m:r>
            </m:e>
            <m:sub>
              <m:r>
                <w:rPr>
                  <w:rFonts w:ascii="Cambria Math" w:hAnsi="Cambria Math"/>
                </w:rPr>
                <m:t>it</m:t>
              </m:r>
            </m:sub>
          </m:sSub>
          <m:r>
            <w:rPr>
              <w:rFonts w:ascii="Cambria Math" w:hAnsi="Cambria Math"/>
            </w:rPr>
            <m:t>+δ</m:t>
          </m:r>
          <m:sSub>
            <m:sSubPr>
              <m:ctrlPr>
                <w:rPr>
                  <w:rFonts w:ascii="Cambria Math" w:hAnsi="Cambria Math"/>
                  <w:i/>
                </w:rPr>
              </m:ctrlPr>
            </m:sSubPr>
            <m:e>
              <m:r>
                <w:rPr>
                  <w:rFonts w:ascii="Cambria Math" w:hAnsi="Cambria Math"/>
                </w:rPr>
                <m:t>GOV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DisclosureRep</m:t>
              </m:r>
            </m:e>
            <m:sub>
              <m:r>
                <w:rPr>
                  <w:rFonts w:ascii="Cambria Math" w:hAnsi="Cambria Math"/>
                </w:rPr>
                <m:t>t</m:t>
              </m:r>
            </m:sub>
          </m:sSub>
          <m:r>
            <w:rPr>
              <w:rFonts w:ascii="Cambria Math" w:hAnsi="Cambria Math"/>
            </w:rPr>
            <m:t>+λ</m:t>
          </m:r>
          <m:sSub>
            <m:sSubPr>
              <m:ctrlPr>
                <w:rPr>
                  <w:rFonts w:ascii="Cambria Math" w:hAnsi="Cambria Math"/>
                  <w:i/>
                </w:rPr>
              </m:ctrlPr>
            </m:sSubPr>
            <m:e>
              <m:r>
                <w:rPr>
                  <w:rFonts w:ascii="Cambria Math" w:hAnsi="Cambria Math"/>
                </w:rPr>
                <m:t>Controls</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 xml:space="preserve">   </m:t>
          </m:r>
          <m:d>
            <m:dPr>
              <m:ctrlPr>
                <w:rPr>
                  <w:rFonts w:ascii="Cambria Math" w:hAnsi="Cambria Math"/>
                </w:rPr>
              </m:ctrlPr>
            </m:dPr>
            <m:e>
              <m:r>
                <w:rPr>
                  <w:rFonts w:ascii="Cambria Math" w:hAnsi="Cambria Math"/>
                </w:rPr>
                <m:t>1</m:t>
              </m:r>
            </m:e>
          </m:d>
        </m:oMath>
      </m:oMathPara>
    </w:p>
    <w:p w:rsidR="00513D34" w:rsidRPr="00093A51" w:rsidRDefault="002D0C06" w:rsidP="00513D34">
      <w:pPr>
        <w:snapToGrid w:val="0"/>
        <w:spacing w:line="480" w:lineRule="auto"/>
        <w:jc w:val="both"/>
        <w:rPr>
          <w:rFonts w:ascii="Cambria Math" w:hAnsi="Cambria Math" w:hint="eastAsia"/>
          <w:oMath/>
        </w:rPr>
      </w:pPr>
      <m:oMathPara>
        <m:oMathParaPr>
          <m:jc m:val="left"/>
        </m:oMathParaPr>
        <m:oMath>
          <m:sSub>
            <m:sSubPr>
              <m:ctrlPr>
                <w:rPr>
                  <w:rFonts w:ascii="Cambria Math" w:hAnsi="Cambria Math"/>
                  <w:i/>
                </w:rPr>
              </m:ctrlPr>
            </m:sSubPr>
            <m:e>
              <m:r>
                <w:rPr>
                  <w:rFonts w:ascii="Cambria Math" w:hAnsi="Cambria Math"/>
                </w:rPr>
                <m:t>AR</m:t>
              </m:r>
            </m:e>
            <m:sub>
              <m:r>
                <w:rPr>
                  <w:rFonts w:ascii="Cambria Math" w:hAnsi="Cambria Math"/>
                </w:rPr>
                <m:t>t</m:t>
              </m:r>
            </m:sub>
          </m:sSub>
          <m:r>
            <w:rPr>
              <w:rFonts w:ascii="Cambria Math" w:hAnsi="Cambria Math"/>
            </w:rPr>
            <m:t>=α+β</m:t>
          </m:r>
          <m:sSub>
            <m:sSubPr>
              <m:ctrlPr>
                <w:rPr>
                  <w:rFonts w:ascii="Cambria Math" w:hAnsi="Cambria Math"/>
                  <w:i/>
                </w:rPr>
              </m:ctrlPr>
            </m:sSubPr>
            <m:e>
              <m:r>
                <w:rPr>
                  <w:rFonts w:ascii="Cambria Math" w:hAnsi="Cambria Math" w:hint="eastAsia"/>
                </w:rPr>
                <m:t>DisclosureRep</m:t>
              </m:r>
            </m:e>
            <m:sub>
              <m:r>
                <w:rPr>
                  <w:rFonts w:ascii="Cambria Math" w:hAnsi="Cambria Math"/>
                </w:rPr>
                <m:t>t</m:t>
              </m:r>
            </m:sub>
          </m:sSub>
          <m:r>
            <w:rPr>
              <w:rFonts w:ascii="Cambria Math" w:hAnsi="Cambria Math" w:hint="eastAsia"/>
            </w:rPr>
            <m:t>+</m:t>
          </m:r>
          <m:r>
            <w:rPr>
              <w:rFonts w:ascii="Cambria Math" w:hAnsi="Cambria Math"/>
            </w:rPr>
            <m:t>γ</m:t>
          </m:r>
          <m:sSub>
            <m:sSubPr>
              <m:ctrlPr>
                <w:rPr>
                  <w:rFonts w:ascii="Cambria Math" w:hAnsi="Cambria Math"/>
                  <w:i/>
                </w:rPr>
              </m:ctrlPr>
            </m:sSubPr>
            <m:e>
              <m:r>
                <w:rPr>
                  <w:rFonts w:ascii="Cambria Math" w:hAnsi="Cambria Math" w:hint="eastAsia"/>
                </w:rPr>
                <m:t>GOV</m:t>
              </m:r>
            </m:e>
            <m:sub>
              <m:r>
                <w:rPr>
                  <w:rFonts w:ascii="Cambria Math" w:hAnsi="Cambria Math"/>
                </w:rPr>
                <m:t>it</m:t>
              </m:r>
            </m:sub>
          </m:sSub>
          <m:r>
            <w:rPr>
              <w:rFonts w:ascii="Cambria Math" w:hAnsi="Cambria Math"/>
            </w:rPr>
            <m:t>+δ</m:t>
          </m:r>
          <m:sSub>
            <m:sSubPr>
              <m:ctrlPr>
                <w:rPr>
                  <w:rFonts w:ascii="Cambria Math" w:hAnsi="Cambria Math"/>
                  <w:i/>
                </w:rPr>
              </m:ctrlPr>
            </m:sSubPr>
            <m:e>
              <m:r>
                <w:rPr>
                  <w:rFonts w:ascii="Cambria Math" w:hAnsi="Cambria Math"/>
                </w:rPr>
                <m:t>GOV</m:t>
              </m:r>
            </m:e>
            <m:sub>
              <m:r>
                <w:rPr>
                  <w:rFonts w:ascii="Cambria Math" w:hAnsi="Cambria Math"/>
                </w:rPr>
                <m:t>it</m:t>
              </m:r>
            </m:sub>
          </m:sSub>
          <m:sSub>
            <m:sSubPr>
              <m:ctrlPr>
                <w:rPr>
                  <w:rFonts w:ascii="Cambria Math" w:hAnsi="Cambria Math"/>
                  <w:i/>
                </w:rPr>
              </m:ctrlPr>
            </m:sSubPr>
            <m:e>
              <m:r>
                <w:rPr>
                  <w:rFonts w:ascii="Cambria Math" w:hAnsi="Cambria Math"/>
                </w:rPr>
                <m:t>×DisclosureRep</m:t>
              </m:r>
            </m:e>
            <m:sub>
              <m:r>
                <w:rPr>
                  <w:rFonts w:ascii="Cambria Math" w:hAnsi="Cambria Math"/>
                </w:rPr>
                <m:t>t</m:t>
              </m:r>
            </m:sub>
          </m:sSub>
          <m:r>
            <w:rPr>
              <w:rFonts w:ascii="Cambria Math" w:hAnsi="Cambria Math"/>
            </w:rPr>
            <m:t>+λ</m:t>
          </m:r>
          <m:sSub>
            <m:sSubPr>
              <m:ctrlPr>
                <w:rPr>
                  <w:rFonts w:ascii="Cambria Math" w:hAnsi="Cambria Math"/>
                  <w:i/>
                </w:rPr>
              </m:ctrlPr>
            </m:sSubPr>
            <m:e>
              <m:r>
                <w:rPr>
                  <w:rFonts w:ascii="Cambria Math" w:hAnsi="Cambria Math"/>
                </w:rPr>
                <m:t>Controls</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 xml:space="preserve">   </m:t>
          </m:r>
          <m:d>
            <m:dPr>
              <m:ctrlPr>
                <w:rPr>
                  <w:rFonts w:ascii="Cambria Math" w:hAnsi="Cambria Math"/>
                </w:rPr>
              </m:ctrlPr>
            </m:dPr>
            <m:e>
              <m:r>
                <w:rPr>
                  <w:rFonts w:ascii="Cambria Math" w:hAnsi="Cambria Math"/>
                </w:rPr>
                <m:t>2</m:t>
              </m:r>
            </m:e>
          </m:d>
        </m:oMath>
      </m:oMathPara>
    </w:p>
    <w:p w:rsidR="00513D34" w:rsidRDefault="00513D34" w:rsidP="00513D34">
      <w:pPr>
        <w:snapToGrid w:val="0"/>
        <w:spacing w:line="480" w:lineRule="auto"/>
        <w:jc w:val="both"/>
      </w:pPr>
      <w:r>
        <w:rPr>
          <w:rFonts w:hint="eastAsia"/>
        </w:rPr>
        <w:t xml:space="preserve">where </w:t>
      </w:r>
      <w:r w:rsidRPr="002F1D2E">
        <w:rPr>
          <w:rFonts w:hint="eastAsia"/>
          <w:i/>
        </w:rPr>
        <w:t>DisclosureRep</w:t>
      </w:r>
      <w:r>
        <w:rPr>
          <w:rFonts w:hint="eastAsia"/>
        </w:rPr>
        <w:t xml:space="preserve"> is a dummy variable that equals one if a management forecast falls within the event window (30 days prior to the beginning date of the share repurchase), and zero otherwise. </w:t>
      </w:r>
      <w:r w:rsidRPr="00B604BE">
        <w:rPr>
          <w:rFonts w:hint="eastAsia"/>
          <w:i/>
        </w:rPr>
        <w:t>GOV</w:t>
      </w:r>
      <w:r>
        <w:rPr>
          <w:rFonts w:hint="eastAsia"/>
        </w:rPr>
        <w:t xml:space="preserve"> is corporate governance </w:t>
      </w:r>
      <w:r>
        <w:t>quality</w:t>
      </w:r>
      <w:r>
        <w:rPr>
          <w:rFonts w:hint="eastAsia"/>
        </w:rPr>
        <w:t xml:space="preserve"> measures </w:t>
      </w:r>
      <w:r>
        <w:rPr>
          <w:rFonts w:hint="eastAsia"/>
        </w:rPr>
        <w:lastRenderedPageBreak/>
        <w:t>including institutional ownership percentage, number of analyst following, and outside director percentage of the management forecast firm.</w:t>
      </w:r>
    </w:p>
    <w:p w:rsidR="00513D34" w:rsidRDefault="00513D34" w:rsidP="00513D34">
      <w:pPr>
        <w:snapToGrid w:val="0"/>
        <w:spacing w:line="480" w:lineRule="auto"/>
        <w:ind w:firstLine="480"/>
        <w:jc w:val="both"/>
      </w:pPr>
      <w:r w:rsidRPr="00D87C02">
        <w:rPr>
          <w:rFonts w:hint="eastAsia"/>
          <w:i/>
        </w:rPr>
        <w:t>Controls</w:t>
      </w:r>
      <w:r>
        <w:rPr>
          <w:rFonts w:hint="eastAsia"/>
        </w:rPr>
        <w:t xml:space="preserve"> are firm level control variables that </w:t>
      </w:r>
      <w:r>
        <w:t>c</w:t>
      </w:r>
      <w:r>
        <w:rPr>
          <w:rFonts w:hint="eastAsia"/>
        </w:rPr>
        <w:t>omprise log market value, market-to-book ratio, litigation industry, return on equity, loss, earnings volatility, prior cumulative abnormal returns, and stock compensation of CEO. The accounting data is based on</w:t>
      </w:r>
      <w:r w:rsidRPr="00CB27D8">
        <w:rPr>
          <w:rFonts w:hint="eastAsia"/>
        </w:rPr>
        <w:t xml:space="preserve"> </w:t>
      </w:r>
      <w:r>
        <w:rPr>
          <w:rFonts w:hint="eastAsia"/>
        </w:rPr>
        <w:t xml:space="preserve">the fiscal year preceding the date of the management forecast. Litigation industry is a dummy variable that equals one if a firm is in the biotechnology (2833-2836 and 8731-8734), computers (3570-3577 and 7370-7374), </w:t>
      </w:r>
      <w:r>
        <w:t>electronics</w:t>
      </w:r>
      <w:r>
        <w:rPr>
          <w:rFonts w:hint="eastAsia"/>
        </w:rPr>
        <w:t xml:space="preserve"> (3600-3674), and retail (5200-5961) industries, and zero otherwise. Loss is a dummy variable that equals one if the firm reported losses in the current period, and zeor otherwise. Earnings volatility is the standard deviation of </w:t>
      </w:r>
      <w:r>
        <w:t>quarterly</w:t>
      </w:r>
      <w:r>
        <w:rPr>
          <w:rFonts w:hint="eastAsia"/>
        </w:rPr>
        <w:t xml:space="preserve"> earnings over 12 quarters ending in the fiscal year before management forecast, divided by median asset value over the 12 quarters. Prior cumulative abnormal returns is cumulative abnormal returns computed as the excess firm return over the CRSP value-weighted index during the three months ending 2 days before the issuance of a management forecast. Stock compensation of CEO is the sum of the value of CEO stock options (as valued by the Black-Scholes option pricing model), the value of CEO restricted stocks, and the value of stock held by the CEO, all scaled by the firm</w:t>
      </w:r>
      <w:r>
        <w:t>’</w:t>
      </w:r>
      <w:r>
        <w:rPr>
          <w:rFonts w:hint="eastAsia"/>
        </w:rPr>
        <w:t>s market value. We obtain management compensation data from the Execucomp-Compustat database.</w:t>
      </w:r>
    </w:p>
    <w:p w:rsidR="00513D34" w:rsidRDefault="00513D34" w:rsidP="00513D34">
      <w:pPr>
        <w:snapToGrid w:val="0"/>
        <w:spacing w:line="480" w:lineRule="auto"/>
        <w:ind w:firstLine="480"/>
        <w:jc w:val="both"/>
      </w:pPr>
      <w:r>
        <w:rPr>
          <w:rFonts w:hint="eastAsia"/>
        </w:rPr>
        <w:t>We use logistic regressions clustered by year and industry (based on two-digit SIC codes) to estimate model (1) and ordinary least squares (OLS) clustered by year and industry to estimate model (2).</w:t>
      </w:r>
    </w:p>
    <w:p w:rsidR="00513D34" w:rsidRDefault="00513D34" w:rsidP="00513D34">
      <w:pPr>
        <w:snapToGrid w:val="0"/>
        <w:spacing w:line="480" w:lineRule="auto"/>
        <w:jc w:val="both"/>
      </w:pPr>
    </w:p>
    <w:p w:rsidR="00513D34" w:rsidRDefault="00513D34" w:rsidP="00513D34">
      <w:pPr>
        <w:pStyle w:val="1"/>
        <w:snapToGrid w:val="0"/>
        <w:spacing w:before="0" w:after="0" w:line="480" w:lineRule="auto"/>
        <w:jc w:val="both"/>
        <w:rPr>
          <w:rFonts w:ascii="Times New Roman" w:hAnsi="Times New Roman"/>
          <w:kern w:val="2"/>
          <w:sz w:val="24"/>
          <w:szCs w:val="24"/>
        </w:rPr>
      </w:pPr>
      <w:r>
        <w:rPr>
          <w:rFonts w:ascii="Times New Roman" w:hAnsi="Times New Roman" w:hint="eastAsia"/>
          <w:kern w:val="2"/>
          <w:sz w:val="24"/>
          <w:szCs w:val="24"/>
        </w:rPr>
        <w:lastRenderedPageBreak/>
        <w:t>4</w:t>
      </w:r>
      <w:r>
        <w:rPr>
          <w:rFonts w:ascii="Times New Roman" w:hAnsi="Times New Roman"/>
          <w:kern w:val="2"/>
          <w:sz w:val="24"/>
          <w:szCs w:val="24"/>
        </w:rPr>
        <w:t xml:space="preserve">. </w:t>
      </w:r>
      <w:r>
        <w:rPr>
          <w:rFonts w:ascii="Times New Roman" w:hAnsi="Times New Roman" w:hint="eastAsia"/>
          <w:kern w:val="2"/>
          <w:sz w:val="24"/>
          <w:szCs w:val="24"/>
        </w:rPr>
        <w:t>Empirical results</w:t>
      </w: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hint="eastAsia"/>
          <w:b w:val="0"/>
          <w:bCs w:val="0"/>
          <w:i/>
          <w:iCs/>
          <w:sz w:val="24"/>
        </w:rPr>
        <w:t>4</w:t>
      </w:r>
      <w:r>
        <w:rPr>
          <w:rFonts w:ascii="Times New Roman" w:hAnsi="Times New Roman"/>
          <w:b w:val="0"/>
          <w:bCs w:val="0"/>
          <w:i/>
          <w:iCs/>
          <w:sz w:val="24"/>
        </w:rPr>
        <w:t>.</w:t>
      </w:r>
      <w:r>
        <w:rPr>
          <w:rFonts w:ascii="Times New Roman" w:hAnsi="Times New Roman" w:hint="eastAsia"/>
          <w:b w:val="0"/>
          <w:bCs w:val="0"/>
          <w:i/>
          <w:iCs/>
          <w:sz w:val="24"/>
        </w:rPr>
        <w:t>1</w:t>
      </w:r>
      <w:r>
        <w:rPr>
          <w:rFonts w:ascii="Times New Roman" w:hAnsi="Times New Roman"/>
          <w:b w:val="0"/>
          <w:bCs w:val="0"/>
          <w:i/>
          <w:iCs/>
          <w:sz w:val="24"/>
        </w:rPr>
        <w:t xml:space="preserve">. </w:t>
      </w:r>
      <w:r>
        <w:rPr>
          <w:rFonts w:ascii="Times New Roman" w:hAnsi="Times New Roman" w:hint="eastAsia"/>
          <w:b w:val="0"/>
          <w:bCs w:val="0"/>
          <w:i/>
          <w:iCs/>
          <w:sz w:val="24"/>
        </w:rPr>
        <w:t>Descriptive statistics</w:t>
      </w:r>
    </w:p>
    <w:p w:rsidR="00513D34" w:rsidRPr="00D60CFD" w:rsidRDefault="00513D34" w:rsidP="00513D34">
      <w:pPr>
        <w:snapToGrid w:val="0"/>
        <w:spacing w:line="480" w:lineRule="auto"/>
        <w:ind w:firstLine="480"/>
        <w:jc w:val="both"/>
      </w:pPr>
      <w:r>
        <w:rPr>
          <w:rFonts w:hint="eastAsia"/>
        </w:rPr>
        <w:t xml:space="preserve">Table 2 shows the descriptive statistics of the variables used for our sample. Approximately 5% of management forecasts are issued within the 30 days preceding the beginning of repurchasing shares, which implies that about 95% of management forecasts are outside the event window. The average abnormal return around management forecasts is -0.4%. These abnormal returns vary from -3.5% for the lower </w:t>
      </w:r>
      <w:r>
        <w:t>quartile</w:t>
      </w:r>
      <w:r>
        <w:rPr>
          <w:rFonts w:hint="eastAsia"/>
        </w:rPr>
        <w:t xml:space="preserve"> to 3.8% for the upper quartile. The average abnormal return for bad news forecasts is -6%, while that for good news forecasts is 4.6%. These results are similar to those in Brockman, Khurana, and Martin (2008).</w:t>
      </w:r>
      <w:r w:rsidRPr="00D60CFD">
        <w:t xml:space="preserve"> </w:t>
      </w:r>
      <w:r>
        <w:rPr>
          <w:rFonts w:hint="eastAsia"/>
        </w:rPr>
        <w:t>Further, our sample</w:t>
      </w:r>
      <w:r w:rsidRPr="00D60CFD">
        <w:rPr>
          <w:rFonts w:hint="eastAsia"/>
        </w:rPr>
        <w:t xml:space="preserve"> </w:t>
      </w:r>
      <w:r>
        <w:rPr>
          <w:rFonts w:hint="eastAsia"/>
        </w:rPr>
        <w:t xml:space="preserve">averagely </w:t>
      </w:r>
      <w:r w:rsidRPr="00D60CFD">
        <w:rPr>
          <w:rFonts w:hint="eastAsia"/>
        </w:rPr>
        <w:t>ha</w:t>
      </w:r>
      <w:r>
        <w:rPr>
          <w:rFonts w:hint="eastAsia"/>
        </w:rPr>
        <w:t xml:space="preserve">s </w:t>
      </w:r>
      <w:r w:rsidRPr="00D60CFD">
        <w:rPr>
          <w:rFonts w:hint="eastAsia"/>
        </w:rPr>
        <w:t>76.9% institutional</w:t>
      </w:r>
      <w:r>
        <w:rPr>
          <w:rFonts w:hint="eastAsia"/>
        </w:rPr>
        <w:t xml:space="preserve"> holdings, 9.7 analysts, and 70% independent directors.</w:t>
      </w:r>
    </w:p>
    <w:p w:rsidR="00513D34" w:rsidRDefault="00513D34" w:rsidP="00513D34">
      <w:pPr>
        <w:snapToGrid w:val="0"/>
        <w:spacing w:line="480" w:lineRule="auto"/>
        <w:ind w:firstLine="480"/>
        <w:jc w:val="center"/>
        <w:rPr>
          <w:b/>
        </w:rPr>
      </w:pPr>
      <w:r>
        <w:rPr>
          <w:b/>
        </w:rPr>
        <w:t xml:space="preserve">[Insert Table </w:t>
      </w:r>
      <w:r>
        <w:rPr>
          <w:rFonts w:hint="eastAsia"/>
          <w:b/>
        </w:rPr>
        <w:t>2</w:t>
      </w:r>
      <w:r>
        <w:rPr>
          <w:b/>
        </w:rPr>
        <w:t xml:space="preserve"> here]</w:t>
      </w:r>
    </w:p>
    <w:p w:rsidR="00513D34" w:rsidRPr="006C6AD9" w:rsidRDefault="00513D34" w:rsidP="00513D34">
      <w:pPr>
        <w:snapToGrid w:val="0"/>
        <w:spacing w:line="480" w:lineRule="auto"/>
        <w:jc w:val="both"/>
      </w:pP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hint="eastAsia"/>
          <w:b w:val="0"/>
          <w:bCs w:val="0"/>
          <w:i/>
          <w:iCs/>
          <w:sz w:val="24"/>
        </w:rPr>
        <w:t>4</w:t>
      </w:r>
      <w:r>
        <w:rPr>
          <w:rFonts w:ascii="Times New Roman" w:hAnsi="Times New Roman"/>
          <w:b w:val="0"/>
          <w:bCs w:val="0"/>
          <w:i/>
          <w:iCs/>
          <w:sz w:val="24"/>
        </w:rPr>
        <w:t>.</w:t>
      </w:r>
      <w:r>
        <w:rPr>
          <w:rFonts w:ascii="Times New Roman" w:hAnsi="Times New Roman" w:hint="eastAsia"/>
          <w:b w:val="0"/>
          <w:bCs w:val="0"/>
          <w:i/>
          <w:iCs/>
          <w:sz w:val="24"/>
        </w:rPr>
        <w:t>2</w:t>
      </w:r>
      <w:r>
        <w:rPr>
          <w:rFonts w:ascii="Times New Roman" w:hAnsi="Times New Roman"/>
          <w:b w:val="0"/>
          <w:bCs w:val="0"/>
          <w:i/>
          <w:iCs/>
          <w:sz w:val="24"/>
        </w:rPr>
        <w:t xml:space="preserve">. </w:t>
      </w:r>
      <w:r>
        <w:rPr>
          <w:rFonts w:ascii="Times New Roman" w:hAnsi="Times New Roman" w:hint="eastAsia"/>
          <w:b w:val="0"/>
          <w:bCs w:val="0"/>
          <w:i/>
          <w:iCs/>
          <w:sz w:val="24"/>
        </w:rPr>
        <w:t>Univariate results</w:t>
      </w:r>
    </w:p>
    <w:p w:rsidR="00513D34" w:rsidRDefault="00513D34" w:rsidP="00513D34">
      <w:pPr>
        <w:snapToGrid w:val="0"/>
        <w:spacing w:line="480" w:lineRule="auto"/>
        <w:ind w:firstLine="480"/>
        <w:jc w:val="both"/>
      </w:pPr>
      <w:r>
        <w:rPr>
          <w:rFonts w:hint="eastAsia"/>
        </w:rPr>
        <w:t xml:space="preserve">In Table 3, we compare the probability of bad news and </w:t>
      </w:r>
      <w:r>
        <w:t xml:space="preserve">3-day abnormal </w:t>
      </w:r>
      <w:r>
        <w:rPr>
          <w:rFonts w:hint="eastAsia"/>
        </w:rPr>
        <w:t xml:space="preserve">announcement </w:t>
      </w:r>
      <w:r>
        <w:t xml:space="preserve">returns </w:t>
      </w:r>
      <w:r>
        <w:rPr>
          <w:rFonts w:hint="eastAsia"/>
        </w:rPr>
        <w:t xml:space="preserve">for the management forecasts fall </w:t>
      </w:r>
      <w:r>
        <w:t>within</w:t>
      </w:r>
      <w:r>
        <w:rPr>
          <w:rFonts w:hint="eastAsia"/>
        </w:rPr>
        <w:t xml:space="preserve"> and outside the share repurchase event window. The probability of bad news is greater for management forecasts issued 30 days prior to the beginning of a share </w:t>
      </w:r>
      <w:r>
        <w:t>repurchase</w:t>
      </w:r>
      <w:r>
        <w:rPr>
          <w:rFonts w:hint="eastAsia"/>
        </w:rPr>
        <w:t xml:space="preserve"> than it is for management forecasts issued outside the event window (53.06% versus 47.07%) at the 1% significance level. The difference in the mean (median) abnormal return around the issuance of management forecasts between the two subsamples is 1.34% (1.05%), statistically significant at the 1% level. These results confirm the findings in Brockman, Khurana, and Martin (2008) that managers increase the frequency and </w:t>
      </w:r>
      <w:r>
        <w:rPr>
          <w:rFonts w:hint="eastAsia"/>
        </w:rPr>
        <w:lastRenderedPageBreak/>
        <w:t>magnitude of bad news disclosures during the one month period prior to share repurchases.</w:t>
      </w:r>
    </w:p>
    <w:p w:rsidR="00513D34" w:rsidRDefault="00513D34" w:rsidP="00513D34">
      <w:pPr>
        <w:snapToGrid w:val="0"/>
        <w:spacing w:line="480" w:lineRule="auto"/>
        <w:ind w:firstLine="480"/>
        <w:jc w:val="center"/>
        <w:rPr>
          <w:b/>
        </w:rPr>
      </w:pPr>
      <w:r>
        <w:rPr>
          <w:b/>
        </w:rPr>
        <w:t xml:space="preserve">[Insert Table </w:t>
      </w:r>
      <w:r>
        <w:rPr>
          <w:rFonts w:hint="eastAsia"/>
          <w:b/>
        </w:rPr>
        <w:t>3</w:t>
      </w:r>
      <w:r>
        <w:rPr>
          <w:b/>
        </w:rPr>
        <w:t xml:space="preserve"> here]</w:t>
      </w:r>
    </w:p>
    <w:p w:rsidR="00513D34" w:rsidRDefault="00513D34" w:rsidP="00513D34">
      <w:pPr>
        <w:snapToGrid w:val="0"/>
        <w:jc w:val="both"/>
      </w:pPr>
    </w:p>
    <w:p w:rsidR="00513D34" w:rsidRDefault="00513D34" w:rsidP="00513D34">
      <w:pPr>
        <w:snapToGrid w:val="0"/>
        <w:spacing w:line="480" w:lineRule="auto"/>
        <w:ind w:firstLine="480"/>
        <w:jc w:val="both"/>
      </w:pPr>
      <w:r>
        <w:rPr>
          <w:rFonts w:hint="eastAsia"/>
        </w:rPr>
        <w:t>In order to examine the influences of corporate governance on managers</w:t>
      </w:r>
      <w:r>
        <w:t>’</w:t>
      </w:r>
      <w:r>
        <w:rPr>
          <w:rFonts w:hint="eastAsia"/>
        </w:rPr>
        <w:t xml:space="preserve"> </w:t>
      </w:r>
      <w:r>
        <w:t>opportunistic</w:t>
      </w:r>
      <w:r>
        <w:rPr>
          <w:rFonts w:hint="eastAsia"/>
        </w:rPr>
        <w:t xml:space="preserve"> behavior, we then classify management forecasts issued within and outside the repurchase event window into three groups by institutional ownership, analyst coverage, and outside directors, respectively. Management forecasts with the highest (middle/lowest) one third corporate governance variable are classified as </w:t>
      </w:r>
      <w:r>
        <w:t>“</w:t>
      </w:r>
      <w:r>
        <w:rPr>
          <w:rFonts w:hint="eastAsia"/>
        </w:rPr>
        <w:t>High</w:t>
      </w:r>
      <w:r>
        <w:t>”</w:t>
      </w:r>
      <w:r>
        <w:rPr>
          <w:rFonts w:hint="eastAsia"/>
        </w:rPr>
        <w:t xml:space="preserve"> (</w:t>
      </w:r>
      <w:r>
        <w:t>“</w:t>
      </w:r>
      <w:r>
        <w:rPr>
          <w:rFonts w:hint="eastAsia"/>
        </w:rPr>
        <w:t>Middle</w:t>
      </w:r>
      <w:r>
        <w:t>”</w:t>
      </w:r>
      <w:r>
        <w:rPr>
          <w:rFonts w:hint="eastAsia"/>
        </w:rPr>
        <w:t>/</w:t>
      </w:r>
      <w:r>
        <w:t>“</w:t>
      </w:r>
      <w:r>
        <w:rPr>
          <w:rFonts w:hint="eastAsia"/>
        </w:rPr>
        <w:t>Low</w:t>
      </w:r>
      <w:r>
        <w:t>”</w:t>
      </w:r>
      <w:r>
        <w:rPr>
          <w:rFonts w:hint="eastAsia"/>
        </w:rPr>
        <w:t>) group. Panel A, B, and C of Table 4 reports the influences of institutional ownership, analyst coverage, and outside directors, respectively.</w:t>
      </w:r>
    </w:p>
    <w:p w:rsidR="00513D34" w:rsidRDefault="00513D34" w:rsidP="00513D34">
      <w:pPr>
        <w:snapToGrid w:val="0"/>
        <w:spacing w:line="480" w:lineRule="auto"/>
        <w:ind w:firstLine="480"/>
        <w:jc w:val="center"/>
        <w:rPr>
          <w:b/>
        </w:rPr>
      </w:pPr>
      <w:r>
        <w:rPr>
          <w:b/>
        </w:rPr>
        <w:t xml:space="preserve">[Insert Table </w:t>
      </w:r>
      <w:r>
        <w:rPr>
          <w:rFonts w:hint="eastAsia"/>
          <w:b/>
        </w:rPr>
        <w:t>4</w:t>
      </w:r>
      <w:r>
        <w:rPr>
          <w:b/>
        </w:rPr>
        <w:t xml:space="preserve"> here]</w:t>
      </w:r>
    </w:p>
    <w:p w:rsidR="00513D34" w:rsidRDefault="00513D34" w:rsidP="00513D34">
      <w:pPr>
        <w:snapToGrid w:val="0"/>
        <w:jc w:val="both"/>
      </w:pPr>
    </w:p>
    <w:p w:rsidR="00513D34" w:rsidRDefault="00513D34" w:rsidP="00513D34">
      <w:pPr>
        <w:snapToGrid w:val="0"/>
        <w:spacing w:line="480" w:lineRule="auto"/>
        <w:ind w:firstLine="480"/>
        <w:jc w:val="both"/>
      </w:pPr>
      <w:r>
        <w:rPr>
          <w:rFonts w:hint="eastAsia"/>
        </w:rPr>
        <w:t>According to Panel A of Table 4, institutional holdings do not have influences on the managers</w:t>
      </w:r>
      <w:r>
        <w:t>’</w:t>
      </w:r>
      <w:r>
        <w:rPr>
          <w:rFonts w:hint="eastAsia"/>
        </w:rPr>
        <w:t xml:space="preserve"> opportunistic behavior because management still releases relatively more bad news, both in terms of frequency and magnitudes before repurchasing shares for the </w:t>
      </w:r>
      <w:r>
        <w:t>“</w:t>
      </w:r>
      <w:r>
        <w:rPr>
          <w:rFonts w:hint="eastAsia"/>
        </w:rPr>
        <w:t>Middle</w:t>
      </w:r>
      <w:r>
        <w:t>”</w:t>
      </w:r>
      <w:r>
        <w:rPr>
          <w:rFonts w:hint="eastAsia"/>
        </w:rPr>
        <w:t xml:space="preserve"> and </w:t>
      </w:r>
      <w:r>
        <w:t>“</w:t>
      </w:r>
      <w:r>
        <w:rPr>
          <w:rFonts w:hint="eastAsia"/>
        </w:rPr>
        <w:t>High</w:t>
      </w:r>
      <w:r>
        <w:t>”</w:t>
      </w:r>
      <w:r>
        <w:rPr>
          <w:rFonts w:hint="eastAsia"/>
        </w:rPr>
        <w:t xml:space="preserve"> group. However, from Panel B and C of Table 4, the significant difference of the probability of bad news and abnormal returns between management forecasts within and outside the event window disappears for the </w:t>
      </w:r>
      <w:r>
        <w:t>“</w:t>
      </w:r>
      <w:r>
        <w:rPr>
          <w:rFonts w:hint="eastAsia"/>
        </w:rPr>
        <w:t>High</w:t>
      </w:r>
      <w:r>
        <w:t>”</w:t>
      </w:r>
      <w:r>
        <w:rPr>
          <w:rFonts w:hint="eastAsia"/>
        </w:rPr>
        <w:t xml:space="preserve"> group, illustrating that analyst coverage and independent directors can constrain managers to alter the normal content of disclosures before repurchases. Moreover, independent directors seem to have better governance effect because the significant differences of the probability of bad news and abnormal returns vanish for the </w:t>
      </w:r>
      <w:r>
        <w:t>“</w:t>
      </w:r>
      <w:r>
        <w:rPr>
          <w:rFonts w:hint="eastAsia"/>
        </w:rPr>
        <w:t>Middle</w:t>
      </w:r>
      <w:r>
        <w:t>”</w:t>
      </w:r>
      <w:r>
        <w:rPr>
          <w:rFonts w:hint="eastAsia"/>
        </w:rPr>
        <w:t xml:space="preserve"> group.</w:t>
      </w:r>
    </w:p>
    <w:p w:rsidR="00513D34" w:rsidRDefault="00513D34" w:rsidP="00513D34">
      <w:pPr>
        <w:snapToGrid w:val="0"/>
        <w:spacing w:line="480" w:lineRule="auto"/>
        <w:jc w:val="both"/>
      </w:pPr>
    </w:p>
    <w:p w:rsidR="00513D34" w:rsidRDefault="00513D34" w:rsidP="00513D34">
      <w:pPr>
        <w:pStyle w:val="2"/>
        <w:snapToGrid w:val="0"/>
        <w:spacing w:line="480" w:lineRule="auto"/>
        <w:jc w:val="both"/>
        <w:rPr>
          <w:rFonts w:ascii="Times New Roman" w:hAnsi="Times New Roman"/>
          <w:b w:val="0"/>
          <w:bCs w:val="0"/>
          <w:i/>
          <w:iCs/>
          <w:sz w:val="24"/>
        </w:rPr>
      </w:pPr>
      <w:r>
        <w:rPr>
          <w:rFonts w:ascii="Times New Roman" w:hAnsi="Times New Roman" w:hint="eastAsia"/>
          <w:b w:val="0"/>
          <w:bCs w:val="0"/>
          <w:i/>
          <w:iCs/>
          <w:sz w:val="24"/>
        </w:rPr>
        <w:lastRenderedPageBreak/>
        <w:t>4</w:t>
      </w:r>
      <w:r>
        <w:rPr>
          <w:rFonts w:ascii="Times New Roman" w:hAnsi="Times New Roman"/>
          <w:b w:val="0"/>
          <w:bCs w:val="0"/>
          <w:i/>
          <w:iCs/>
          <w:sz w:val="24"/>
        </w:rPr>
        <w:t>.</w:t>
      </w:r>
      <w:r>
        <w:rPr>
          <w:rFonts w:ascii="Times New Roman" w:hAnsi="Times New Roman" w:hint="eastAsia"/>
          <w:b w:val="0"/>
          <w:bCs w:val="0"/>
          <w:i/>
          <w:iCs/>
          <w:sz w:val="24"/>
        </w:rPr>
        <w:t>3</w:t>
      </w:r>
      <w:r>
        <w:rPr>
          <w:rFonts w:ascii="Times New Roman" w:hAnsi="Times New Roman"/>
          <w:b w:val="0"/>
          <w:bCs w:val="0"/>
          <w:i/>
          <w:iCs/>
          <w:sz w:val="24"/>
        </w:rPr>
        <w:t xml:space="preserve">. </w:t>
      </w:r>
      <w:r>
        <w:rPr>
          <w:rFonts w:ascii="Times New Roman" w:hAnsi="Times New Roman" w:hint="eastAsia"/>
          <w:b w:val="0"/>
          <w:bCs w:val="0"/>
          <w:i/>
          <w:iCs/>
          <w:sz w:val="24"/>
        </w:rPr>
        <w:t>Multivariate results</w:t>
      </w:r>
    </w:p>
    <w:p w:rsidR="00513D34" w:rsidRDefault="00513D34" w:rsidP="00513D34">
      <w:pPr>
        <w:snapToGrid w:val="0"/>
        <w:spacing w:line="480" w:lineRule="auto"/>
        <w:ind w:firstLine="480"/>
        <w:jc w:val="both"/>
      </w:pPr>
      <w:r>
        <w:rPr>
          <w:rFonts w:hint="eastAsia"/>
        </w:rPr>
        <w:t xml:space="preserve">Table 5 presents regression results for the full sample to test if </w:t>
      </w:r>
      <w:r>
        <w:t>corporate</w:t>
      </w:r>
      <w:r>
        <w:rPr>
          <w:rFonts w:hint="eastAsia"/>
        </w:rPr>
        <w:t xml:space="preserve"> governance variables still have monitoring effect after controlling for other firm characteristics that potentially affect management forecast news. Panel A of Table 5 reports logistic regression results based on model (1). Without considering governance mechanisms</w:t>
      </w:r>
      <w:r w:rsidRPr="00FF5CC5">
        <w:rPr>
          <w:rFonts w:hint="eastAsia"/>
        </w:rPr>
        <w:t xml:space="preserve"> </w:t>
      </w:r>
      <w:r>
        <w:rPr>
          <w:rFonts w:hint="eastAsia"/>
        </w:rPr>
        <w:t>in column 1, the coefficient of DisclosureRep is positively and statistically significant at the 5% level shows that managers strategically increase the frequency of bad news prior to a share repurchase.</w:t>
      </w:r>
    </w:p>
    <w:p w:rsidR="00513D34" w:rsidRDefault="00513D34" w:rsidP="00513D34">
      <w:pPr>
        <w:snapToGrid w:val="0"/>
        <w:spacing w:line="480" w:lineRule="auto"/>
        <w:ind w:firstLine="480"/>
        <w:jc w:val="center"/>
        <w:rPr>
          <w:b/>
        </w:rPr>
      </w:pPr>
      <w:r>
        <w:rPr>
          <w:b/>
        </w:rPr>
        <w:t xml:space="preserve">[Insert Table </w:t>
      </w:r>
      <w:r>
        <w:rPr>
          <w:rFonts w:hint="eastAsia"/>
          <w:b/>
        </w:rPr>
        <w:t>5</w:t>
      </w:r>
      <w:r>
        <w:rPr>
          <w:b/>
        </w:rPr>
        <w:t xml:space="preserve"> here]</w:t>
      </w:r>
    </w:p>
    <w:p w:rsidR="00513D34" w:rsidRDefault="00513D34" w:rsidP="00513D34">
      <w:pPr>
        <w:snapToGrid w:val="0"/>
        <w:jc w:val="both"/>
      </w:pPr>
    </w:p>
    <w:p w:rsidR="00513D34" w:rsidRDefault="00513D34" w:rsidP="00513D34">
      <w:pPr>
        <w:snapToGrid w:val="0"/>
        <w:spacing w:line="480" w:lineRule="auto"/>
        <w:ind w:firstLine="480"/>
        <w:jc w:val="both"/>
      </w:pPr>
      <w:r>
        <w:rPr>
          <w:rFonts w:hint="eastAsia"/>
        </w:rPr>
        <w:t xml:space="preserve">In column 2, the coefficient of the interaction term between institutional ownership percentage and DisclosureRep is insignificant suggests that institution investors has no influence on the probability of bad news for management </w:t>
      </w:r>
      <w:r>
        <w:t>forecasts</w:t>
      </w:r>
      <w:r>
        <w:rPr>
          <w:rFonts w:hint="eastAsia"/>
        </w:rPr>
        <w:t xml:space="preserve"> within the event window. However, coefficients of the interaction term between number of analyst following and DisclosureRep and between outside director percentage and DisclosureRep are negatively and statistically significant at 5% level or better. More importantly, the </w:t>
      </w:r>
      <w:r>
        <w:t>coefficient</w:t>
      </w:r>
      <w:r>
        <w:rPr>
          <w:rFonts w:hint="eastAsia"/>
        </w:rPr>
        <w:t xml:space="preserve"> of DisclosureRep becomes insignificant when taking corporate governance variables into account. These results show that analyst coverage and outside directors can </w:t>
      </w:r>
      <w:r>
        <w:t>limit</w:t>
      </w:r>
      <w:r>
        <w:rPr>
          <w:rFonts w:hint="eastAsia"/>
        </w:rPr>
        <w:t xml:space="preserve"> managers to alter information flows prior to share repurchases.</w:t>
      </w:r>
    </w:p>
    <w:p w:rsidR="00513D34" w:rsidRDefault="00513D34" w:rsidP="00513D34">
      <w:pPr>
        <w:snapToGrid w:val="0"/>
        <w:spacing w:line="480" w:lineRule="auto"/>
        <w:ind w:firstLine="480"/>
        <w:jc w:val="both"/>
      </w:pPr>
      <w:r>
        <w:rPr>
          <w:rFonts w:hint="eastAsia"/>
        </w:rPr>
        <w:t xml:space="preserve">Panel B of Table 5 reports OLS regression results based on model (2). The coefficients on DisclosureRep and interaction terms between corporate governance variables and DisclosureRep have the similar effect and levels of statistical significance as those in Panel A. That is, analyst coverage and independent directors can restrain managers to provide overly </w:t>
      </w:r>
      <w:r>
        <w:t>pessimistic</w:t>
      </w:r>
      <w:r>
        <w:rPr>
          <w:rFonts w:hint="eastAsia"/>
        </w:rPr>
        <w:t xml:space="preserve"> bad news disclosures before upcoming repurchases, while institutional holdings do not have any governance effect. </w:t>
      </w:r>
      <w:r>
        <w:rPr>
          <w:rFonts w:hint="eastAsia"/>
        </w:rPr>
        <w:lastRenderedPageBreak/>
        <w:t xml:space="preserve">Taken together, the results </w:t>
      </w:r>
      <w:r>
        <w:t>in Panel A and B of Table 5 corroborate the results at the univariate level reported in Table 4</w:t>
      </w:r>
      <w:r>
        <w:rPr>
          <w:rFonts w:hint="eastAsia"/>
        </w:rPr>
        <w:t>, suggesting our findings are robust after controlling for other factors that potentially affect management forecast news.</w:t>
      </w:r>
    </w:p>
    <w:p w:rsidR="00513D34" w:rsidRDefault="00513D34" w:rsidP="00513D34">
      <w:pPr>
        <w:snapToGrid w:val="0"/>
        <w:spacing w:line="480" w:lineRule="auto"/>
        <w:jc w:val="both"/>
      </w:pPr>
    </w:p>
    <w:p w:rsidR="00513D34" w:rsidRDefault="00513D34" w:rsidP="00513D34">
      <w:pPr>
        <w:pStyle w:val="1"/>
        <w:snapToGrid w:val="0"/>
        <w:spacing w:before="0" w:after="0" w:line="480" w:lineRule="auto"/>
        <w:jc w:val="both"/>
        <w:rPr>
          <w:rFonts w:ascii="Times New Roman" w:hAnsi="Times New Roman"/>
          <w:kern w:val="2"/>
          <w:sz w:val="24"/>
          <w:szCs w:val="24"/>
        </w:rPr>
      </w:pPr>
      <w:r>
        <w:rPr>
          <w:rFonts w:ascii="Times New Roman" w:hAnsi="Times New Roman" w:hint="eastAsia"/>
          <w:kern w:val="2"/>
          <w:sz w:val="24"/>
          <w:szCs w:val="24"/>
        </w:rPr>
        <w:t>5</w:t>
      </w:r>
      <w:r>
        <w:rPr>
          <w:rFonts w:ascii="Times New Roman" w:hAnsi="Times New Roman"/>
          <w:kern w:val="2"/>
          <w:sz w:val="24"/>
          <w:szCs w:val="24"/>
        </w:rPr>
        <w:t xml:space="preserve">. </w:t>
      </w:r>
      <w:r>
        <w:rPr>
          <w:rFonts w:ascii="Times New Roman" w:hAnsi="Times New Roman" w:hint="eastAsia"/>
          <w:kern w:val="2"/>
          <w:sz w:val="24"/>
          <w:szCs w:val="24"/>
        </w:rPr>
        <w:t>Conclusion</w:t>
      </w:r>
    </w:p>
    <w:p w:rsidR="00513D34" w:rsidRPr="0086222B" w:rsidRDefault="00513D34" w:rsidP="00513D34">
      <w:pPr>
        <w:snapToGrid w:val="0"/>
        <w:spacing w:line="480" w:lineRule="auto"/>
        <w:ind w:firstLine="480"/>
        <w:jc w:val="both"/>
      </w:pPr>
      <w:r>
        <w:t>I</w:t>
      </w:r>
      <w:r>
        <w:rPr>
          <w:rFonts w:hint="eastAsia"/>
        </w:rPr>
        <w:t xml:space="preserve">n this </w:t>
      </w:r>
      <w:r>
        <w:t>chapter</w:t>
      </w:r>
      <w:r>
        <w:rPr>
          <w:rFonts w:hint="eastAsia"/>
        </w:rPr>
        <w:t>, we examine the effect</w:t>
      </w:r>
      <w:r w:rsidRPr="002735FD">
        <w:t xml:space="preserve"> of corporate governance structure on the management voluntary disclosure decision</w:t>
      </w:r>
      <w:r>
        <w:rPr>
          <w:rFonts w:hint="eastAsia"/>
        </w:rPr>
        <w:t xml:space="preserve"> before repurchasing shares. We find that analyst coverage and independent directors can restrain managers manipulate stock price by voluntarily disclosing bad news before upcoming repurchases, while institutional holdings do not have any governance effect. Therefore, </w:t>
      </w:r>
      <w:r>
        <w:t>opportunistic</w:t>
      </w:r>
      <w:r>
        <w:rPr>
          <w:rFonts w:hint="eastAsia"/>
        </w:rPr>
        <w:t xml:space="preserve"> behavior of management as suggested in Brockman, Khurana, and Martin (2008) does not necessarily exist when taking corporate governance effect into account.</w:t>
      </w:r>
    </w:p>
    <w:p w:rsidR="00513D34" w:rsidRPr="006C6AD9" w:rsidRDefault="00513D34" w:rsidP="00513D34">
      <w:pPr>
        <w:snapToGrid w:val="0"/>
        <w:spacing w:line="480" w:lineRule="auto"/>
        <w:jc w:val="both"/>
      </w:pPr>
    </w:p>
    <w:p w:rsidR="00513D34" w:rsidRDefault="00513D34" w:rsidP="00513D34">
      <w:pPr>
        <w:snapToGrid w:val="0"/>
        <w:spacing w:line="480" w:lineRule="auto"/>
        <w:jc w:val="both"/>
        <w:sectPr w:rsidR="00513D34">
          <w:pgSz w:w="11906" w:h="16838"/>
          <w:pgMar w:top="1440" w:right="1800" w:bottom="1440" w:left="1800" w:header="851" w:footer="992" w:gutter="0"/>
          <w:cols w:space="425"/>
          <w:docGrid w:type="lines" w:linePitch="360"/>
        </w:sectPr>
      </w:pPr>
    </w:p>
    <w:p w:rsidR="00513D34" w:rsidRDefault="00513D34" w:rsidP="00513D34">
      <w:pPr>
        <w:pStyle w:val="1"/>
        <w:snapToGrid w:val="0"/>
        <w:spacing w:before="0" w:after="0" w:line="480" w:lineRule="auto"/>
        <w:jc w:val="both"/>
        <w:rPr>
          <w:rFonts w:ascii="Times New Roman" w:hAnsi="Times New Roman"/>
          <w:kern w:val="2"/>
          <w:sz w:val="24"/>
          <w:szCs w:val="24"/>
        </w:rPr>
      </w:pPr>
      <w:r>
        <w:rPr>
          <w:rFonts w:ascii="Times New Roman" w:hAnsi="Times New Roman"/>
          <w:kern w:val="2"/>
          <w:sz w:val="24"/>
          <w:szCs w:val="24"/>
        </w:rPr>
        <w:lastRenderedPageBreak/>
        <w:t>References</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Aboody, D., Kasznik, R., 2000. CEO stock option awards and the timing of corporate voluntary disclosures. Journal of Accounting and Economics 29, 73-100.</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Ajinkya, B., Bhojraj, S, Sengupta, P., 2005. The association between outside directors, institutional investors, and the properties of management earnings forecasts. Journal of Accounting Research 43, 343-376.</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Barclay, M.J., Smith, C.W., 1988. Corporate payout policy: Cash dividends versus open-market repurchases. </w:t>
      </w:r>
      <w:r w:rsidRPr="00B53B51">
        <w:rPr>
          <w:kern w:val="2"/>
          <w:szCs w:val="24"/>
        </w:rPr>
        <w:t xml:space="preserve">Journal of Financial Economics </w:t>
      </w:r>
      <w:r w:rsidRPr="00B53B51">
        <w:rPr>
          <w:rFonts w:hint="eastAsia"/>
          <w:kern w:val="2"/>
          <w:szCs w:val="24"/>
        </w:rPr>
        <w:t>22</w:t>
      </w:r>
      <w:r w:rsidRPr="00B53B51">
        <w:rPr>
          <w:kern w:val="2"/>
          <w:szCs w:val="24"/>
        </w:rPr>
        <w:t xml:space="preserve">, </w:t>
      </w:r>
      <w:r w:rsidRPr="00B53B51">
        <w:rPr>
          <w:rFonts w:hint="eastAsia"/>
          <w:kern w:val="2"/>
          <w:szCs w:val="24"/>
        </w:rPr>
        <w:t>61</w:t>
      </w:r>
      <w:r w:rsidRPr="00B53B51">
        <w:rPr>
          <w:kern w:val="2"/>
          <w:szCs w:val="24"/>
        </w:rPr>
        <w:t>-</w:t>
      </w:r>
      <w:r w:rsidRPr="00B53B51">
        <w:rPr>
          <w:rFonts w:hint="eastAsia"/>
          <w:kern w:val="2"/>
          <w:szCs w:val="24"/>
        </w:rPr>
        <w:t>82</w:t>
      </w:r>
      <w:r w:rsidRPr="00B53B51">
        <w:rPr>
          <w:kern w:val="2"/>
          <w:szCs w:val="24"/>
        </w:rPr>
        <w:t>.</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Beasley, M.S., 1996. An empirical analysis of the relation between the board of director composition and financial statement fraud. Accounting Review 71, 443-465.</w:t>
      </w:r>
    </w:p>
    <w:p w:rsidR="00513D34" w:rsidRPr="00B53B51" w:rsidRDefault="00513D34" w:rsidP="00513D34">
      <w:pPr>
        <w:snapToGrid w:val="0"/>
        <w:spacing w:line="480" w:lineRule="auto"/>
        <w:ind w:left="360" w:hangingChars="150" w:hanging="360"/>
        <w:jc w:val="both"/>
        <w:rPr>
          <w:kern w:val="2"/>
          <w:szCs w:val="24"/>
        </w:rPr>
      </w:pPr>
      <w:r w:rsidRPr="00B53B51">
        <w:rPr>
          <w:kern w:val="2"/>
          <w:szCs w:val="24"/>
        </w:rPr>
        <w:t>Brockman, P</w:t>
      </w:r>
      <w:r w:rsidRPr="00B53B51">
        <w:rPr>
          <w:rFonts w:hint="eastAsia"/>
          <w:kern w:val="2"/>
          <w:szCs w:val="24"/>
        </w:rPr>
        <w:t>.</w:t>
      </w:r>
      <w:r w:rsidRPr="00B53B51">
        <w:rPr>
          <w:kern w:val="2"/>
          <w:szCs w:val="24"/>
        </w:rPr>
        <w:t>, Khurana,</w:t>
      </w:r>
      <w:r w:rsidRPr="00B53B51">
        <w:rPr>
          <w:rFonts w:hint="eastAsia"/>
          <w:kern w:val="2"/>
          <w:szCs w:val="24"/>
        </w:rPr>
        <w:t xml:space="preserve"> </w:t>
      </w:r>
      <w:r w:rsidRPr="00B53B51">
        <w:rPr>
          <w:kern w:val="2"/>
          <w:szCs w:val="24"/>
        </w:rPr>
        <w:t>I</w:t>
      </w:r>
      <w:r w:rsidRPr="00B53B51">
        <w:rPr>
          <w:rFonts w:hint="eastAsia"/>
          <w:kern w:val="2"/>
          <w:szCs w:val="24"/>
        </w:rPr>
        <w:t>.</w:t>
      </w:r>
      <w:r w:rsidRPr="00B53B51">
        <w:rPr>
          <w:kern w:val="2"/>
          <w:szCs w:val="24"/>
        </w:rPr>
        <w:t>K.</w:t>
      </w:r>
      <w:r w:rsidRPr="00B53B51">
        <w:rPr>
          <w:rFonts w:hint="eastAsia"/>
          <w:kern w:val="2"/>
          <w:szCs w:val="24"/>
        </w:rPr>
        <w:t>,</w:t>
      </w:r>
      <w:r w:rsidRPr="00B53B51">
        <w:rPr>
          <w:kern w:val="2"/>
          <w:szCs w:val="24"/>
        </w:rPr>
        <w:t xml:space="preserve"> Martin,</w:t>
      </w:r>
      <w:r w:rsidRPr="00B53B51">
        <w:rPr>
          <w:rFonts w:hint="eastAsia"/>
          <w:kern w:val="2"/>
          <w:szCs w:val="24"/>
        </w:rPr>
        <w:t xml:space="preserve"> </w:t>
      </w:r>
      <w:r w:rsidRPr="00B53B51">
        <w:rPr>
          <w:kern w:val="2"/>
          <w:szCs w:val="24"/>
        </w:rPr>
        <w:t>X</w:t>
      </w:r>
      <w:r w:rsidRPr="00B53B51">
        <w:rPr>
          <w:rFonts w:hint="eastAsia"/>
          <w:kern w:val="2"/>
          <w:szCs w:val="24"/>
        </w:rPr>
        <w:t>.,</w:t>
      </w:r>
      <w:r w:rsidRPr="00B53B51">
        <w:rPr>
          <w:kern w:val="2"/>
          <w:szCs w:val="24"/>
        </w:rPr>
        <w:t xml:space="preserve"> 2008</w:t>
      </w:r>
      <w:r w:rsidRPr="00B53B51">
        <w:rPr>
          <w:rFonts w:hint="eastAsia"/>
          <w:kern w:val="2"/>
          <w:szCs w:val="24"/>
        </w:rPr>
        <w:t>.</w:t>
      </w:r>
      <w:r w:rsidRPr="00B53B51">
        <w:rPr>
          <w:kern w:val="2"/>
          <w:szCs w:val="24"/>
        </w:rPr>
        <w:t xml:space="preserve"> Voluntary disclosures around share repurchases</w:t>
      </w:r>
      <w:r w:rsidRPr="00B53B51">
        <w:rPr>
          <w:rFonts w:hint="eastAsia"/>
          <w:kern w:val="2"/>
          <w:szCs w:val="24"/>
        </w:rPr>
        <w:t>.</w:t>
      </w:r>
      <w:r w:rsidRPr="00B53B51">
        <w:rPr>
          <w:kern w:val="2"/>
          <w:szCs w:val="24"/>
        </w:rPr>
        <w:t xml:space="preserve"> Journal of Financial Economics 89, 175-191.</w:t>
      </w:r>
      <w:r w:rsidRPr="00B53B51">
        <w:rPr>
          <w:rFonts w:hint="eastAsia"/>
          <w:kern w:val="2"/>
          <w:szCs w:val="24"/>
        </w:rPr>
        <w:t>`</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Bushman, R., Smith, A., 2001. Financial accounting information and </w:t>
      </w:r>
      <w:r w:rsidRPr="00B53B51">
        <w:rPr>
          <w:kern w:val="2"/>
          <w:szCs w:val="24"/>
        </w:rPr>
        <w:t>corporate</w:t>
      </w:r>
      <w:r w:rsidRPr="00B53B51">
        <w:rPr>
          <w:rFonts w:hint="eastAsia"/>
          <w:kern w:val="2"/>
          <w:szCs w:val="24"/>
        </w:rPr>
        <w:t xml:space="preserve"> governance. Journal of Accounting and Economics 32, 237-333.</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Cheng, Q., Lo, K., 2006. Insider trading and voluntary disclosures. </w:t>
      </w:r>
      <w:r w:rsidRPr="00B53B51">
        <w:rPr>
          <w:kern w:val="2"/>
          <w:szCs w:val="24"/>
        </w:rPr>
        <w:t xml:space="preserve">Journal of Accounting Research </w:t>
      </w:r>
      <w:r w:rsidRPr="00B53B51">
        <w:rPr>
          <w:rFonts w:hint="eastAsia"/>
          <w:kern w:val="2"/>
          <w:szCs w:val="24"/>
        </w:rPr>
        <w:t>44</w:t>
      </w:r>
      <w:r w:rsidRPr="00B53B51">
        <w:rPr>
          <w:kern w:val="2"/>
          <w:szCs w:val="24"/>
        </w:rPr>
        <w:t xml:space="preserve">, </w:t>
      </w:r>
      <w:r w:rsidRPr="00B53B51">
        <w:rPr>
          <w:rFonts w:hint="eastAsia"/>
          <w:kern w:val="2"/>
          <w:szCs w:val="24"/>
        </w:rPr>
        <w:t>815</w:t>
      </w:r>
      <w:r w:rsidRPr="00B53B51">
        <w:rPr>
          <w:kern w:val="2"/>
          <w:szCs w:val="24"/>
        </w:rPr>
        <w:t>-</w:t>
      </w:r>
      <w:r w:rsidRPr="00B53B51">
        <w:rPr>
          <w:rFonts w:hint="eastAsia"/>
          <w:kern w:val="2"/>
          <w:szCs w:val="24"/>
        </w:rPr>
        <w:t>848</w:t>
      </w:r>
      <w:r w:rsidRPr="00B53B51">
        <w:rPr>
          <w:kern w:val="2"/>
          <w:szCs w:val="24"/>
        </w:rPr>
        <w:t>.</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Cornett, M.M., Marcus, A.J., Tehranian, H., 2008. Corporate governance and pay-for-performance: The impact of earnings management. Journal of Financial Economics 87, 357-373.</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Dechow, P.M., Sloan, R.G., Sweeney, A.P., 1995. Detecting earnings management. Accounting Review 70, 193-226.</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Del Guercio, D., Hawkins, J., 1999. The motivation and impact of pension fund </w:t>
      </w:r>
      <w:r w:rsidRPr="00B53B51">
        <w:rPr>
          <w:kern w:val="2"/>
          <w:szCs w:val="24"/>
        </w:rPr>
        <w:t>activism</w:t>
      </w:r>
      <w:r w:rsidRPr="00B53B51">
        <w:rPr>
          <w:rFonts w:hint="eastAsia"/>
          <w:kern w:val="2"/>
          <w:szCs w:val="24"/>
        </w:rPr>
        <w:t>.</w:t>
      </w:r>
      <w:r w:rsidRPr="00B53B51">
        <w:rPr>
          <w:kern w:val="2"/>
          <w:szCs w:val="24"/>
        </w:rPr>
        <w:t xml:space="preserve"> Journal of Financial Economics 52, 293-340.</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lastRenderedPageBreak/>
        <w:t>Dyck, A., Morse, A., Zingales, L., 2006. Who blows the whistle on corporate fraud? Unpublished working paper. University of Toronto, Toronto, Canada.</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Frankel, R., McNichols, M., Wilson, G.P., 1995. Discretionary disclosure and external financing. </w:t>
      </w:r>
      <w:r w:rsidRPr="00B53B51">
        <w:rPr>
          <w:kern w:val="2"/>
          <w:szCs w:val="24"/>
        </w:rPr>
        <w:t xml:space="preserve">Accounting Review </w:t>
      </w:r>
      <w:r w:rsidRPr="00B53B51">
        <w:rPr>
          <w:rFonts w:hint="eastAsia"/>
          <w:kern w:val="2"/>
          <w:szCs w:val="24"/>
        </w:rPr>
        <w:t>70</w:t>
      </w:r>
      <w:r w:rsidRPr="00B53B51">
        <w:rPr>
          <w:kern w:val="2"/>
          <w:szCs w:val="24"/>
        </w:rPr>
        <w:t>, 1</w:t>
      </w:r>
      <w:r w:rsidRPr="00B53B51">
        <w:rPr>
          <w:rFonts w:hint="eastAsia"/>
          <w:kern w:val="2"/>
          <w:szCs w:val="24"/>
        </w:rPr>
        <w:t>35</w:t>
      </w:r>
      <w:r w:rsidRPr="00B53B51">
        <w:rPr>
          <w:kern w:val="2"/>
          <w:szCs w:val="24"/>
        </w:rPr>
        <w:t>-</w:t>
      </w:r>
      <w:r w:rsidRPr="00B53B51">
        <w:rPr>
          <w:rFonts w:hint="eastAsia"/>
          <w:kern w:val="2"/>
          <w:szCs w:val="24"/>
        </w:rPr>
        <w:t>150</w:t>
      </w:r>
      <w:r w:rsidRPr="00B53B51">
        <w:rPr>
          <w:kern w:val="2"/>
          <w:szCs w:val="24"/>
        </w:rPr>
        <w:t>.</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Gong, G., Louis, H., Sun, A.X., 2008. Earnings management and firm performance following open-market repurchases. </w:t>
      </w:r>
      <w:r w:rsidRPr="00B53B51">
        <w:rPr>
          <w:kern w:val="2"/>
          <w:szCs w:val="24"/>
        </w:rPr>
        <w:t xml:space="preserve">Journal of Finance </w:t>
      </w:r>
      <w:r w:rsidRPr="00B53B51">
        <w:rPr>
          <w:rFonts w:hint="eastAsia"/>
          <w:kern w:val="2"/>
          <w:szCs w:val="24"/>
        </w:rPr>
        <w:t>6</w:t>
      </w:r>
      <w:r w:rsidRPr="00B53B51">
        <w:rPr>
          <w:kern w:val="2"/>
          <w:szCs w:val="24"/>
        </w:rPr>
        <w:t>3</w:t>
      </w:r>
      <w:r w:rsidRPr="00B53B51">
        <w:rPr>
          <w:rFonts w:hint="eastAsia"/>
          <w:kern w:val="2"/>
          <w:szCs w:val="24"/>
        </w:rPr>
        <w:t>, 947-986.</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Hartzell, J.C., Starks, L.T., 2003. Institutional investors and executive compensation. Journal of Finance 58, 2351-2374.</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Healy, P., Palepu, K., 2001. Information asymmetry, corporate disclosure, and the capital markets: A review of the empirical disclosure literature. Journal of Accounting </w:t>
      </w:r>
      <w:r w:rsidRPr="00B53B51">
        <w:rPr>
          <w:kern w:val="2"/>
          <w:szCs w:val="24"/>
        </w:rPr>
        <w:t>and</w:t>
      </w:r>
      <w:r w:rsidRPr="00B53B51">
        <w:rPr>
          <w:rFonts w:hint="eastAsia"/>
          <w:kern w:val="2"/>
          <w:szCs w:val="24"/>
        </w:rPr>
        <w:t xml:space="preserve"> Economics 31, 405-440.</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Karamanou, I., Vafeas, N., 2005. The association between corporate boards, audit committees, and managements forecasts: An empirical analysis. Journal of Accounting Research 43, 453-486.</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Klein, A., 2002. Audit committee, board of director characteristics, and </w:t>
      </w:r>
      <w:r w:rsidRPr="00B53B51">
        <w:rPr>
          <w:kern w:val="2"/>
          <w:szCs w:val="24"/>
        </w:rPr>
        <w:t>earnings</w:t>
      </w:r>
      <w:r w:rsidRPr="00B53B51">
        <w:rPr>
          <w:rFonts w:hint="eastAsia"/>
          <w:kern w:val="2"/>
          <w:szCs w:val="24"/>
        </w:rPr>
        <w:t xml:space="preserve"> management. Journal of Accounting and Economics 33, 375-400.</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Lang, M.H., Lundholm, R.J., 2000. Voluntary disclosure during equity offerings: Reducing information asymmetry or hyping the stock? Contemporary Accounting Research 17, 623-662.</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McConnell, J.J., Servaes, H., 1990. Additional evidence on equity ownership and corporate value. Journal of Financial Economics 27, 595-612.</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Smith, M., 1996. Shareholder activism by institutional investors: Evidence from CalPERS. Journal of Finance 51, 227-252.</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t xml:space="preserve">Yermack, D., 1997. Good timing: CEO stock option awards and company news announcements. </w:t>
      </w:r>
      <w:r w:rsidRPr="00B53B51">
        <w:rPr>
          <w:kern w:val="2"/>
          <w:szCs w:val="24"/>
        </w:rPr>
        <w:t xml:space="preserve">Journal of Finance </w:t>
      </w:r>
      <w:r w:rsidRPr="00B53B51">
        <w:rPr>
          <w:rFonts w:hint="eastAsia"/>
          <w:kern w:val="2"/>
          <w:szCs w:val="24"/>
        </w:rPr>
        <w:t>52</w:t>
      </w:r>
      <w:r w:rsidRPr="00B53B51">
        <w:rPr>
          <w:kern w:val="2"/>
          <w:szCs w:val="24"/>
        </w:rPr>
        <w:t>, 4</w:t>
      </w:r>
      <w:r w:rsidRPr="00B53B51">
        <w:rPr>
          <w:rFonts w:hint="eastAsia"/>
          <w:kern w:val="2"/>
          <w:szCs w:val="24"/>
        </w:rPr>
        <w:t>49</w:t>
      </w:r>
      <w:r w:rsidRPr="00B53B51">
        <w:rPr>
          <w:kern w:val="2"/>
          <w:szCs w:val="24"/>
        </w:rPr>
        <w:t>-4</w:t>
      </w:r>
      <w:r w:rsidRPr="00B53B51">
        <w:rPr>
          <w:rFonts w:hint="eastAsia"/>
          <w:kern w:val="2"/>
          <w:szCs w:val="24"/>
        </w:rPr>
        <w:t>76</w:t>
      </w:r>
      <w:r w:rsidRPr="00B53B51">
        <w:rPr>
          <w:kern w:val="2"/>
          <w:szCs w:val="24"/>
        </w:rPr>
        <w:t>.</w:t>
      </w:r>
    </w:p>
    <w:p w:rsidR="00513D34" w:rsidRPr="00B53B51" w:rsidRDefault="00513D34" w:rsidP="00513D34">
      <w:pPr>
        <w:snapToGrid w:val="0"/>
        <w:spacing w:line="480" w:lineRule="auto"/>
        <w:ind w:left="360" w:hangingChars="150" w:hanging="360"/>
        <w:jc w:val="both"/>
        <w:rPr>
          <w:kern w:val="2"/>
          <w:szCs w:val="24"/>
        </w:rPr>
      </w:pPr>
      <w:r w:rsidRPr="00B53B51">
        <w:rPr>
          <w:rFonts w:hint="eastAsia"/>
          <w:kern w:val="2"/>
          <w:szCs w:val="24"/>
        </w:rPr>
        <w:lastRenderedPageBreak/>
        <w:t>Yu, F., 2008. Analyst coverage and earnings management. Journal of Financial Economics 88, 245-271.</w:t>
      </w:r>
    </w:p>
    <w:p w:rsidR="00513D34" w:rsidRDefault="00513D34" w:rsidP="00513D34">
      <w:pPr>
        <w:snapToGrid w:val="0"/>
        <w:spacing w:line="480" w:lineRule="auto"/>
        <w:jc w:val="both"/>
        <w:sectPr w:rsidR="00513D34">
          <w:pgSz w:w="11906" w:h="16838"/>
          <w:pgMar w:top="1440" w:right="1800" w:bottom="1440" w:left="1800" w:header="851" w:footer="992" w:gutter="0"/>
          <w:cols w:space="425"/>
          <w:docGrid w:type="lines" w:linePitch="360"/>
        </w:sectPr>
      </w:pPr>
    </w:p>
    <w:p w:rsidR="00513D34" w:rsidRPr="005A5BFC" w:rsidRDefault="00513D34" w:rsidP="00513D34">
      <w:pPr>
        <w:rPr>
          <w:b/>
        </w:rPr>
      </w:pPr>
      <w:r w:rsidRPr="005A5BFC">
        <w:rPr>
          <w:b/>
        </w:rPr>
        <w:lastRenderedPageBreak/>
        <w:t>Table 1 Sample Size</w:t>
      </w:r>
    </w:p>
    <w:p w:rsidR="00513D34" w:rsidRPr="009F6AAC" w:rsidRDefault="00513D34" w:rsidP="00513D34">
      <w:pPr>
        <w:spacing w:line="280" w:lineRule="exact"/>
        <w:jc w:val="both"/>
      </w:pPr>
      <w:r>
        <w:rPr>
          <w:rFonts w:hint="eastAsia"/>
        </w:rPr>
        <w:t xml:space="preserve">This table describes the sample size of management forecasts during the period from 1997 to 2008. The repurchase event window refers to the 30 days prior to the date a share repurchase begins. A management forecast is classified as bad news (good news) if the abnormal return, computed as the excess firm return over the CRSP value-weighted index over the 3-day window [-1, 1] around management forecasts, is </w:t>
      </w:r>
      <w:r>
        <w:t>negative</w:t>
      </w:r>
      <w:r>
        <w:rPr>
          <w:rFonts w:hint="eastAsia"/>
        </w:rPr>
        <w:t xml:space="preserve"> (non-negative).</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591"/>
      </w:tblGrid>
      <w:tr w:rsidR="00513D34" w:rsidRPr="009F6AAC" w:rsidTr="00E73225">
        <w:tc>
          <w:tcPr>
            <w:tcW w:w="6771" w:type="dxa"/>
            <w:tcBorders>
              <w:top w:val="single" w:sz="4" w:space="0" w:color="auto"/>
              <w:bottom w:val="single" w:sz="4" w:space="0" w:color="auto"/>
            </w:tcBorders>
          </w:tcPr>
          <w:p w:rsidR="00513D34" w:rsidRPr="009F6AAC" w:rsidRDefault="00513D34" w:rsidP="00E73225"/>
        </w:tc>
        <w:tc>
          <w:tcPr>
            <w:tcW w:w="1591" w:type="dxa"/>
            <w:tcBorders>
              <w:top w:val="single" w:sz="4" w:space="0" w:color="auto"/>
              <w:bottom w:val="single" w:sz="4" w:space="0" w:color="auto"/>
            </w:tcBorders>
          </w:tcPr>
          <w:p w:rsidR="00513D34" w:rsidRPr="009F6AAC" w:rsidRDefault="00513D34" w:rsidP="00E73225">
            <w:r w:rsidRPr="009F6AAC">
              <w:t>Sample size</w:t>
            </w:r>
          </w:p>
        </w:tc>
      </w:tr>
      <w:tr w:rsidR="00513D34" w:rsidRPr="009F6AAC" w:rsidTr="00E73225">
        <w:tc>
          <w:tcPr>
            <w:tcW w:w="6771" w:type="dxa"/>
            <w:tcBorders>
              <w:top w:val="single" w:sz="4" w:space="0" w:color="auto"/>
            </w:tcBorders>
          </w:tcPr>
          <w:p w:rsidR="00513D34" w:rsidRPr="009F6AAC" w:rsidRDefault="00513D34" w:rsidP="00E73225">
            <w:r>
              <w:rPr>
                <w:rFonts w:hint="eastAsia"/>
              </w:rPr>
              <w:t>Number</w:t>
            </w:r>
            <w:r w:rsidRPr="009F6AAC">
              <w:t xml:space="preserve"> of management forecasts falling within the event window</w:t>
            </w:r>
          </w:p>
        </w:tc>
        <w:tc>
          <w:tcPr>
            <w:tcW w:w="1591" w:type="dxa"/>
            <w:tcBorders>
              <w:top w:val="single" w:sz="4" w:space="0" w:color="auto"/>
            </w:tcBorders>
          </w:tcPr>
          <w:p w:rsidR="00513D34" w:rsidRPr="009F6AAC" w:rsidRDefault="00513D34" w:rsidP="00E73225">
            <w:pPr>
              <w:tabs>
                <w:tab w:val="decimal" w:pos="936"/>
              </w:tabs>
              <w:contextualSpacing/>
            </w:pPr>
            <w:r>
              <w:rPr>
                <w:rFonts w:hint="eastAsia"/>
              </w:rPr>
              <w:t>735</w:t>
            </w:r>
          </w:p>
        </w:tc>
      </w:tr>
      <w:tr w:rsidR="00513D34" w:rsidRPr="009F6AAC" w:rsidTr="00E73225">
        <w:tc>
          <w:tcPr>
            <w:tcW w:w="6771" w:type="dxa"/>
          </w:tcPr>
          <w:p w:rsidR="00513D34" w:rsidRPr="009F6AAC" w:rsidRDefault="00513D34" w:rsidP="00E73225">
            <w:r>
              <w:rPr>
                <w:rFonts w:hint="eastAsia"/>
              </w:rPr>
              <w:t>Number</w:t>
            </w:r>
            <w:r w:rsidRPr="009F6AAC">
              <w:t xml:space="preserve"> of unique firms</w:t>
            </w:r>
          </w:p>
        </w:tc>
        <w:tc>
          <w:tcPr>
            <w:tcW w:w="1591" w:type="dxa"/>
          </w:tcPr>
          <w:p w:rsidR="00513D34" w:rsidRPr="009F6AAC" w:rsidRDefault="00513D34" w:rsidP="00E73225">
            <w:pPr>
              <w:tabs>
                <w:tab w:val="decimal" w:pos="936"/>
              </w:tabs>
              <w:contextualSpacing/>
            </w:pPr>
            <w:r>
              <w:rPr>
                <w:rFonts w:hint="eastAsia"/>
              </w:rPr>
              <w:t>519</w:t>
            </w:r>
          </w:p>
        </w:tc>
      </w:tr>
      <w:tr w:rsidR="00513D34" w:rsidRPr="009F6AAC" w:rsidTr="00E73225">
        <w:tc>
          <w:tcPr>
            <w:tcW w:w="6771" w:type="dxa"/>
          </w:tcPr>
          <w:p w:rsidR="00513D34" w:rsidRPr="009F6AAC" w:rsidRDefault="00513D34" w:rsidP="00E73225">
            <w:r>
              <w:rPr>
                <w:rFonts w:hint="eastAsia"/>
              </w:rPr>
              <w:t>Number</w:t>
            </w:r>
            <w:r w:rsidRPr="009F6AAC">
              <w:t xml:space="preserve"> of management forecasts issued by unique firms that do not fall within the event window</w:t>
            </w:r>
          </w:p>
        </w:tc>
        <w:tc>
          <w:tcPr>
            <w:tcW w:w="1591" w:type="dxa"/>
          </w:tcPr>
          <w:p w:rsidR="00513D34" w:rsidRPr="009F6AAC" w:rsidRDefault="00513D34" w:rsidP="00E73225">
            <w:pPr>
              <w:tabs>
                <w:tab w:val="decimal" w:pos="936"/>
              </w:tabs>
              <w:contextualSpacing/>
            </w:pPr>
            <w:r>
              <w:rPr>
                <w:rFonts w:hint="eastAsia"/>
              </w:rPr>
              <w:t>13,870</w:t>
            </w:r>
          </w:p>
        </w:tc>
      </w:tr>
      <w:tr w:rsidR="00513D34" w:rsidRPr="009F6AAC" w:rsidTr="00E73225">
        <w:tc>
          <w:tcPr>
            <w:tcW w:w="6771" w:type="dxa"/>
          </w:tcPr>
          <w:p w:rsidR="00513D34" w:rsidRPr="009F6AAC" w:rsidRDefault="00513D34" w:rsidP="00E73225">
            <w:r>
              <w:t xml:space="preserve">Total </w:t>
            </w:r>
            <w:r>
              <w:rPr>
                <w:rFonts w:hint="eastAsia"/>
              </w:rPr>
              <w:t>number</w:t>
            </w:r>
            <w:r w:rsidRPr="009F6AAC">
              <w:t xml:space="preserve"> of management forecasts in the sample</w:t>
            </w:r>
          </w:p>
        </w:tc>
        <w:tc>
          <w:tcPr>
            <w:tcW w:w="1591" w:type="dxa"/>
          </w:tcPr>
          <w:p w:rsidR="00513D34" w:rsidRPr="009F6AAC" w:rsidRDefault="00513D34" w:rsidP="00E73225">
            <w:pPr>
              <w:tabs>
                <w:tab w:val="decimal" w:pos="936"/>
              </w:tabs>
              <w:contextualSpacing/>
            </w:pPr>
            <w:r>
              <w:rPr>
                <w:rFonts w:hint="eastAsia"/>
              </w:rPr>
              <w:t>14,605</w:t>
            </w:r>
          </w:p>
        </w:tc>
      </w:tr>
      <w:tr w:rsidR="00513D34" w:rsidRPr="009F6AAC" w:rsidTr="00E73225">
        <w:tc>
          <w:tcPr>
            <w:tcW w:w="6771" w:type="dxa"/>
          </w:tcPr>
          <w:p w:rsidR="00513D34" w:rsidRPr="009F6AAC" w:rsidRDefault="00513D34" w:rsidP="00E73225">
            <w:r>
              <w:rPr>
                <w:rFonts w:hint="eastAsia"/>
              </w:rPr>
              <w:t>Number</w:t>
            </w:r>
            <w:r w:rsidRPr="009F6AAC">
              <w:t xml:space="preserve"> of bad news forecasts</w:t>
            </w:r>
          </w:p>
        </w:tc>
        <w:tc>
          <w:tcPr>
            <w:tcW w:w="1591" w:type="dxa"/>
          </w:tcPr>
          <w:p w:rsidR="00513D34" w:rsidRPr="009F6AAC" w:rsidRDefault="00513D34" w:rsidP="00E73225">
            <w:pPr>
              <w:tabs>
                <w:tab w:val="decimal" w:pos="936"/>
              </w:tabs>
              <w:contextualSpacing/>
            </w:pPr>
            <w:r>
              <w:rPr>
                <w:rFonts w:hint="eastAsia"/>
              </w:rPr>
              <w:t>6,919</w:t>
            </w:r>
          </w:p>
        </w:tc>
      </w:tr>
      <w:tr w:rsidR="00513D34" w:rsidRPr="009F6AAC" w:rsidTr="00E73225">
        <w:tc>
          <w:tcPr>
            <w:tcW w:w="6771" w:type="dxa"/>
          </w:tcPr>
          <w:p w:rsidR="00513D34" w:rsidRPr="009F6AAC" w:rsidRDefault="00513D34" w:rsidP="00E73225">
            <w:r>
              <w:rPr>
                <w:rFonts w:hint="eastAsia"/>
              </w:rPr>
              <w:t>Number</w:t>
            </w:r>
            <w:r w:rsidRPr="009F6AAC">
              <w:t xml:space="preserve"> of good news forecasts</w:t>
            </w:r>
          </w:p>
        </w:tc>
        <w:tc>
          <w:tcPr>
            <w:tcW w:w="1591" w:type="dxa"/>
          </w:tcPr>
          <w:p w:rsidR="00513D34" w:rsidRPr="009F6AAC" w:rsidRDefault="00513D34" w:rsidP="00E73225">
            <w:pPr>
              <w:tabs>
                <w:tab w:val="decimal" w:pos="936"/>
              </w:tabs>
              <w:contextualSpacing/>
            </w:pPr>
            <w:r>
              <w:rPr>
                <w:rFonts w:hint="eastAsia"/>
              </w:rPr>
              <w:t>7,686</w:t>
            </w:r>
          </w:p>
        </w:tc>
      </w:tr>
    </w:tbl>
    <w:p w:rsidR="00513D34" w:rsidRDefault="00513D34" w:rsidP="00513D34">
      <w:pPr>
        <w:snapToGrid w:val="0"/>
        <w:spacing w:line="480" w:lineRule="auto"/>
        <w:jc w:val="both"/>
        <w:sectPr w:rsidR="00513D34">
          <w:pgSz w:w="11906" w:h="16838"/>
          <w:pgMar w:top="1440" w:right="1800" w:bottom="1440" w:left="1800" w:header="851" w:footer="992" w:gutter="0"/>
          <w:cols w:space="425"/>
          <w:docGrid w:type="lines" w:linePitch="360"/>
        </w:sectPr>
      </w:pPr>
    </w:p>
    <w:p w:rsidR="00513D34" w:rsidRDefault="00513D34" w:rsidP="00513D34">
      <w:pPr>
        <w:rPr>
          <w:b/>
          <w:szCs w:val="24"/>
        </w:rPr>
      </w:pPr>
      <w:r w:rsidRPr="00110C59">
        <w:rPr>
          <w:b/>
          <w:szCs w:val="24"/>
        </w:rPr>
        <w:lastRenderedPageBreak/>
        <w:t>Table 2 Summary Statistics</w:t>
      </w:r>
    </w:p>
    <w:p w:rsidR="00513D34" w:rsidRPr="00110C59" w:rsidRDefault="00513D34" w:rsidP="00513D34">
      <w:pPr>
        <w:spacing w:line="280" w:lineRule="exact"/>
        <w:jc w:val="both"/>
        <w:rPr>
          <w:szCs w:val="24"/>
        </w:rPr>
      </w:pPr>
      <w:r>
        <w:rPr>
          <w:rFonts w:hint="eastAsia"/>
          <w:szCs w:val="24"/>
        </w:rPr>
        <w:t>This table provides summary statistics for the 14,605 management forecast sample during the period from 1997 to 2008.</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024"/>
        <w:gridCol w:w="1024"/>
        <w:gridCol w:w="1025"/>
        <w:gridCol w:w="1024"/>
        <w:gridCol w:w="1024"/>
        <w:gridCol w:w="1024"/>
      </w:tblGrid>
      <w:tr w:rsidR="00513D34" w:rsidRPr="00162CB1" w:rsidTr="00E73225">
        <w:tc>
          <w:tcPr>
            <w:tcW w:w="2376" w:type="dxa"/>
            <w:tcBorders>
              <w:top w:val="single" w:sz="4" w:space="0" w:color="auto"/>
              <w:bottom w:val="single" w:sz="4" w:space="0" w:color="auto"/>
            </w:tcBorders>
          </w:tcPr>
          <w:p w:rsidR="00513D34" w:rsidRPr="00162CB1" w:rsidRDefault="00513D34" w:rsidP="00E73225">
            <w:pPr>
              <w:rPr>
                <w:sz w:val="18"/>
                <w:szCs w:val="18"/>
              </w:rPr>
            </w:pPr>
            <w:r w:rsidRPr="00162CB1">
              <w:rPr>
                <w:sz w:val="18"/>
                <w:szCs w:val="18"/>
              </w:rPr>
              <w:t>Variable</w:t>
            </w:r>
          </w:p>
        </w:tc>
        <w:tc>
          <w:tcPr>
            <w:tcW w:w="1024" w:type="dxa"/>
            <w:tcBorders>
              <w:top w:val="single" w:sz="4" w:space="0" w:color="auto"/>
              <w:bottom w:val="single" w:sz="4" w:space="0" w:color="auto"/>
            </w:tcBorders>
          </w:tcPr>
          <w:p w:rsidR="00513D34" w:rsidRPr="00162CB1" w:rsidRDefault="00513D34" w:rsidP="00E73225">
            <w:pPr>
              <w:jc w:val="center"/>
              <w:rPr>
                <w:sz w:val="18"/>
                <w:szCs w:val="18"/>
              </w:rPr>
            </w:pPr>
            <w:r w:rsidRPr="00162CB1">
              <w:rPr>
                <w:sz w:val="18"/>
                <w:szCs w:val="18"/>
              </w:rPr>
              <w:t>N</w:t>
            </w:r>
          </w:p>
        </w:tc>
        <w:tc>
          <w:tcPr>
            <w:tcW w:w="1024" w:type="dxa"/>
            <w:tcBorders>
              <w:top w:val="single" w:sz="4" w:space="0" w:color="auto"/>
              <w:bottom w:val="single" w:sz="4" w:space="0" w:color="auto"/>
            </w:tcBorders>
          </w:tcPr>
          <w:p w:rsidR="00513D34" w:rsidRPr="00162CB1" w:rsidRDefault="00513D34" w:rsidP="00E73225">
            <w:pPr>
              <w:jc w:val="center"/>
              <w:rPr>
                <w:sz w:val="18"/>
                <w:szCs w:val="18"/>
              </w:rPr>
            </w:pPr>
            <w:r w:rsidRPr="00162CB1">
              <w:rPr>
                <w:sz w:val="18"/>
                <w:szCs w:val="18"/>
              </w:rPr>
              <w:t>Mean</w:t>
            </w:r>
          </w:p>
        </w:tc>
        <w:tc>
          <w:tcPr>
            <w:tcW w:w="1025" w:type="dxa"/>
            <w:tcBorders>
              <w:top w:val="single" w:sz="4" w:space="0" w:color="auto"/>
              <w:bottom w:val="single" w:sz="4" w:space="0" w:color="auto"/>
            </w:tcBorders>
          </w:tcPr>
          <w:p w:rsidR="00513D34" w:rsidRPr="00162CB1" w:rsidRDefault="00513D34" w:rsidP="00E73225">
            <w:pPr>
              <w:jc w:val="center"/>
              <w:rPr>
                <w:sz w:val="18"/>
                <w:szCs w:val="18"/>
              </w:rPr>
            </w:pPr>
            <w:r w:rsidRPr="00162CB1">
              <w:rPr>
                <w:sz w:val="18"/>
                <w:szCs w:val="18"/>
              </w:rPr>
              <w:t>Std dev</w:t>
            </w:r>
          </w:p>
        </w:tc>
        <w:tc>
          <w:tcPr>
            <w:tcW w:w="1024" w:type="dxa"/>
            <w:tcBorders>
              <w:top w:val="single" w:sz="4" w:space="0" w:color="auto"/>
              <w:bottom w:val="single" w:sz="4" w:space="0" w:color="auto"/>
            </w:tcBorders>
          </w:tcPr>
          <w:p w:rsidR="00513D34" w:rsidRPr="00162CB1" w:rsidRDefault="00513D34" w:rsidP="00E73225">
            <w:pPr>
              <w:jc w:val="center"/>
              <w:rPr>
                <w:sz w:val="18"/>
                <w:szCs w:val="18"/>
              </w:rPr>
            </w:pPr>
            <w:r>
              <w:rPr>
                <w:rFonts w:hint="eastAsia"/>
                <w:sz w:val="18"/>
                <w:szCs w:val="18"/>
              </w:rPr>
              <w:t>Lower</w:t>
            </w:r>
            <w:r w:rsidRPr="00162CB1">
              <w:rPr>
                <w:sz w:val="18"/>
                <w:szCs w:val="18"/>
              </w:rPr>
              <w:t xml:space="preserve"> quartile</w:t>
            </w:r>
          </w:p>
        </w:tc>
        <w:tc>
          <w:tcPr>
            <w:tcW w:w="1024" w:type="dxa"/>
            <w:tcBorders>
              <w:top w:val="single" w:sz="4" w:space="0" w:color="auto"/>
              <w:bottom w:val="single" w:sz="4" w:space="0" w:color="auto"/>
            </w:tcBorders>
          </w:tcPr>
          <w:p w:rsidR="00513D34" w:rsidRPr="00162CB1" w:rsidRDefault="00513D34" w:rsidP="00E73225">
            <w:pPr>
              <w:jc w:val="center"/>
              <w:rPr>
                <w:sz w:val="18"/>
                <w:szCs w:val="18"/>
              </w:rPr>
            </w:pPr>
            <w:r w:rsidRPr="00162CB1">
              <w:rPr>
                <w:sz w:val="18"/>
                <w:szCs w:val="18"/>
              </w:rPr>
              <w:t>Median</w:t>
            </w:r>
          </w:p>
        </w:tc>
        <w:tc>
          <w:tcPr>
            <w:tcW w:w="1024" w:type="dxa"/>
            <w:tcBorders>
              <w:top w:val="single" w:sz="4" w:space="0" w:color="auto"/>
              <w:bottom w:val="single" w:sz="4" w:space="0" w:color="auto"/>
            </w:tcBorders>
          </w:tcPr>
          <w:p w:rsidR="00513D34" w:rsidRPr="00162CB1" w:rsidRDefault="00513D34" w:rsidP="00E73225">
            <w:pPr>
              <w:jc w:val="center"/>
              <w:rPr>
                <w:sz w:val="18"/>
                <w:szCs w:val="18"/>
              </w:rPr>
            </w:pPr>
            <w:r>
              <w:rPr>
                <w:rFonts w:hint="eastAsia"/>
                <w:sz w:val="18"/>
                <w:szCs w:val="18"/>
              </w:rPr>
              <w:t>Upper</w:t>
            </w:r>
            <w:r w:rsidRPr="00162CB1">
              <w:rPr>
                <w:sz w:val="18"/>
                <w:szCs w:val="18"/>
              </w:rPr>
              <w:t xml:space="preserve"> quartile</w:t>
            </w:r>
          </w:p>
        </w:tc>
      </w:tr>
      <w:tr w:rsidR="00513D34" w:rsidRPr="00162CB1" w:rsidTr="00E73225">
        <w:tc>
          <w:tcPr>
            <w:tcW w:w="2376" w:type="dxa"/>
            <w:tcBorders>
              <w:top w:val="single" w:sz="4" w:space="0" w:color="auto"/>
            </w:tcBorders>
          </w:tcPr>
          <w:p w:rsidR="00513D34" w:rsidRPr="00162CB1" w:rsidRDefault="00513D34" w:rsidP="00E73225">
            <w:pPr>
              <w:rPr>
                <w:sz w:val="18"/>
                <w:szCs w:val="18"/>
              </w:rPr>
            </w:pPr>
            <w:r w:rsidRPr="00162CB1">
              <w:rPr>
                <w:sz w:val="18"/>
                <w:szCs w:val="18"/>
              </w:rPr>
              <w:t>DisclosureRep</w:t>
            </w:r>
          </w:p>
        </w:tc>
        <w:tc>
          <w:tcPr>
            <w:tcW w:w="1024" w:type="dxa"/>
            <w:tcBorders>
              <w:top w:val="single" w:sz="4" w:space="0" w:color="auto"/>
            </w:tcBorders>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Borders>
              <w:top w:val="single" w:sz="4" w:space="0" w:color="auto"/>
            </w:tcBorders>
          </w:tcPr>
          <w:p w:rsidR="00513D34" w:rsidRPr="00162CB1" w:rsidRDefault="00513D34" w:rsidP="00E73225">
            <w:pPr>
              <w:tabs>
                <w:tab w:val="decimal" w:pos="312"/>
              </w:tabs>
              <w:jc w:val="both"/>
              <w:rPr>
                <w:sz w:val="18"/>
                <w:szCs w:val="18"/>
              </w:rPr>
            </w:pPr>
            <w:r w:rsidRPr="00162CB1">
              <w:rPr>
                <w:sz w:val="18"/>
                <w:szCs w:val="18"/>
              </w:rPr>
              <w:t>0.050</w:t>
            </w:r>
          </w:p>
        </w:tc>
        <w:tc>
          <w:tcPr>
            <w:tcW w:w="1025" w:type="dxa"/>
            <w:tcBorders>
              <w:top w:val="single" w:sz="4" w:space="0" w:color="auto"/>
            </w:tcBorders>
          </w:tcPr>
          <w:p w:rsidR="00513D34" w:rsidRPr="00162CB1" w:rsidRDefault="00513D34" w:rsidP="00E73225">
            <w:pPr>
              <w:tabs>
                <w:tab w:val="decimal" w:pos="312"/>
              </w:tabs>
              <w:jc w:val="both"/>
              <w:rPr>
                <w:sz w:val="18"/>
                <w:szCs w:val="18"/>
              </w:rPr>
            </w:pPr>
            <w:r w:rsidRPr="00162CB1">
              <w:rPr>
                <w:sz w:val="18"/>
                <w:szCs w:val="18"/>
              </w:rPr>
              <w:t>0.219</w:t>
            </w:r>
          </w:p>
        </w:tc>
        <w:tc>
          <w:tcPr>
            <w:tcW w:w="1024" w:type="dxa"/>
            <w:tcBorders>
              <w:top w:val="single" w:sz="4" w:space="0" w:color="auto"/>
            </w:tcBorders>
          </w:tcPr>
          <w:p w:rsidR="00513D34" w:rsidRPr="00162CB1" w:rsidRDefault="00513D34" w:rsidP="00E73225">
            <w:pPr>
              <w:tabs>
                <w:tab w:val="decimal" w:pos="312"/>
              </w:tabs>
              <w:jc w:val="both"/>
              <w:rPr>
                <w:sz w:val="18"/>
                <w:szCs w:val="18"/>
              </w:rPr>
            </w:pPr>
            <w:r w:rsidRPr="00162CB1">
              <w:rPr>
                <w:sz w:val="18"/>
                <w:szCs w:val="18"/>
              </w:rPr>
              <w:t>0.000</w:t>
            </w:r>
          </w:p>
        </w:tc>
        <w:tc>
          <w:tcPr>
            <w:tcW w:w="1024" w:type="dxa"/>
            <w:tcBorders>
              <w:top w:val="single" w:sz="4" w:space="0" w:color="auto"/>
            </w:tcBorders>
          </w:tcPr>
          <w:p w:rsidR="00513D34" w:rsidRPr="00162CB1" w:rsidRDefault="00513D34" w:rsidP="00E73225">
            <w:pPr>
              <w:tabs>
                <w:tab w:val="decimal" w:pos="312"/>
              </w:tabs>
              <w:jc w:val="both"/>
              <w:rPr>
                <w:sz w:val="18"/>
                <w:szCs w:val="18"/>
              </w:rPr>
            </w:pPr>
            <w:r w:rsidRPr="00162CB1">
              <w:rPr>
                <w:sz w:val="18"/>
                <w:szCs w:val="18"/>
              </w:rPr>
              <w:t>0.000</w:t>
            </w:r>
          </w:p>
        </w:tc>
        <w:tc>
          <w:tcPr>
            <w:tcW w:w="1024" w:type="dxa"/>
            <w:tcBorders>
              <w:top w:val="single" w:sz="4" w:space="0" w:color="auto"/>
            </w:tcBorders>
          </w:tcPr>
          <w:p w:rsidR="00513D34" w:rsidRPr="00162CB1" w:rsidRDefault="00513D34" w:rsidP="00E73225">
            <w:pPr>
              <w:tabs>
                <w:tab w:val="decimal" w:pos="312"/>
              </w:tabs>
              <w:jc w:val="both"/>
              <w:rPr>
                <w:sz w:val="18"/>
                <w:szCs w:val="18"/>
              </w:rPr>
            </w:pPr>
            <w:r w:rsidRPr="00162CB1">
              <w:rPr>
                <w:sz w:val="18"/>
                <w:szCs w:val="18"/>
              </w:rPr>
              <w:t>0.000</w:t>
            </w:r>
          </w:p>
        </w:tc>
      </w:tr>
      <w:tr w:rsidR="00513D34" w:rsidRPr="00162CB1" w:rsidTr="00E73225">
        <w:tc>
          <w:tcPr>
            <w:tcW w:w="2376" w:type="dxa"/>
          </w:tcPr>
          <w:p w:rsidR="00513D34" w:rsidRPr="00162CB1" w:rsidRDefault="00513D34" w:rsidP="00E73225">
            <w:pPr>
              <w:rPr>
                <w:sz w:val="18"/>
                <w:szCs w:val="18"/>
              </w:rPr>
            </w:pPr>
            <w:r w:rsidRPr="00162CB1">
              <w:rPr>
                <w:sz w:val="18"/>
                <w:szCs w:val="18"/>
              </w:rPr>
              <w:t>A</w:t>
            </w:r>
            <w:r>
              <w:rPr>
                <w:rFonts w:hint="eastAsia"/>
                <w:sz w:val="18"/>
                <w:szCs w:val="18"/>
              </w:rPr>
              <w:t>bnormal</w:t>
            </w:r>
            <w:r w:rsidRPr="00162CB1">
              <w:rPr>
                <w:sz w:val="18"/>
                <w:szCs w:val="18"/>
              </w:rPr>
              <w:t xml:space="preserve"> returns</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-0.004</w:t>
            </w:r>
          </w:p>
        </w:tc>
        <w:tc>
          <w:tcPr>
            <w:tcW w:w="1025" w:type="dxa"/>
          </w:tcPr>
          <w:p w:rsidR="00513D34" w:rsidRPr="00162CB1" w:rsidRDefault="00513D34" w:rsidP="00E73225">
            <w:pPr>
              <w:tabs>
                <w:tab w:val="decimal" w:pos="312"/>
              </w:tabs>
              <w:jc w:val="both"/>
              <w:rPr>
                <w:sz w:val="18"/>
                <w:szCs w:val="18"/>
              </w:rPr>
            </w:pPr>
            <w:r w:rsidRPr="00162CB1">
              <w:rPr>
                <w:sz w:val="18"/>
                <w:szCs w:val="18"/>
              </w:rPr>
              <w:t>0.075</w:t>
            </w:r>
          </w:p>
        </w:tc>
        <w:tc>
          <w:tcPr>
            <w:tcW w:w="1024" w:type="dxa"/>
          </w:tcPr>
          <w:p w:rsidR="00513D34" w:rsidRPr="00162CB1" w:rsidRDefault="00513D34" w:rsidP="00E73225">
            <w:pPr>
              <w:tabs>
                <w:tab w:val="decimal" w:pos="312"/>
              </w:tabs>
              <w:jc w:val="both"/>
              <w:rPr>
                <w:sz w:val="18"/>
                <w:szCs w:val="18"/>
              </w:rPr>
            </w:pPr>
            <w:r w:rsidRPr="00162CB1">
              <w:rPr>
                <w:sz w:val="18"/>
                <w:szCs w:val="18"/>
              </w:rPr>
              <w:t>-0.035</w:t>
            </w:r>
          </w:p>
        </w:tc>
        <w:tc>
          <w:tcPr>
            <w:tcW w:w="1024" w:type="dxa"/>
          </w:tcPr>
          <w:p w:rsidR="00513D34" w:rsidRPr="00162CB1" w:rsidRDefault="00513D34" w:rsidP="00E73225">
            <w:pPr>
              <w:tabs>
                <w:tab w:val="decimal" w:pos="312"/>
              </w:tabs>
              <w:jc w:val="both"/>
              <w:rPr>
                <w:sz w:val="18"/>
                <w:szCs w:val="18"/>
              </w:rPr>
            </w:pPr>
            <w:r w:rsidRPr="00162CB1">
              <w:rPr>
                <w:sz w:val="18"/>
                <w:szCs w:val="18"/>
              </w:rPr>
              <w:t>0.003</w:t>
            </w:r>
          </w:p>
        </w:tc>
        <w:tc>
          <w:tcPr>
            <w:tcW w:w="1024" w:type="dxa"/>
          </w:tcPr>
          <w:p w:rsidR="00513D34" w:rsidRPr="00162CB1" w:rsidRDefault="00513D34" w:rsidP="00E73225">
            <w:pPr>
              <w:tabs>
                <w:tab w:val="decimal" w:pos="312"/>
              </w:tabs>
              <w:jc w:val="both"/>
              <w:rPr>
                <w:sz w:val="18"/>
                <w:szCs w:val="18"/>
              </w:rPr>
            </w:pPr>
            <w:r w:rsidRPr="00162CB1">
              <w:rPr>
                <w:sz w:val="18"/>
                <w:szCs w:val="18"/>
              </w:rPr>
              <w:t>0.038</w:t>
            </w:r>
          </w:p>
        </w:tc>
      </w:tr>
      <w:tr w:rsidR="00513D34" w:rsidRPr="00162CB1" w:rsidTr="00E73225">
        <w:tc>
          <w:tcPr>
            <w:tcW w:w="2376" w:type="dxa"/>
          </w:tcPr>
          <w:p w:rsidR="00513D34" w:rsidRPr="00162CB1" w:rsidRDefault="00513D34" w:rsidP="00E73225">
            <w:pPr>
              <w:rPr>
                <w:sz w:val="18"/>
                <w:szCs w:val="18"/>
              </w:rPr>
            </w:pPr>
            <w:r w:rsidRPr="00162CB1">
              <w:rPr>
                <w:sz w:val="18"/>
                <w:szCs w:val="18"/>
              </w:rPr>
              <w:t xml:space="preserve">  Bad news</w:t>
            </w:r>
          </w:p>
        </w:tc>
        <w:tc>
          <w:tcPr>
            <w:tcW w:w="1024" w:type="dxa"/>
          </w:tcPr>
          <w:p w:rsidR="00513D34" w:rsidRPr="00162CB1" w:rsidRDefault="00513D34" w:rsidP="00E73225">
            <w:pPr>
              <w:tabs>
                <w:tab w:val="decimal" w:pos="672"/>
              </w:tabs>
              <w:jc w:val="both"/>
              <w:rPr>
                <w:sz w:val="18"/>
                <w:szCs w:val="18"/>
              </w:rPr>
            </w:pPr>
            <w:r w:rsidRPr="00162CB1">
              <w:rPr>
                <w:sz w:val="18"/>
                <w:szCs w:val="18"/>
              </w:rPr>
              <w:t>6,919</w:t>
            </w:r>
          </w:p>
        </w:tc>
        <w:tc>
          <w:tcPr>
            <w:tcW w:w="1024" w:type="dxa"/>
          </w:tcPr>
          <w:p w:rsidR="00513D34" w:rsidRPr="00162CB1" w:rsidRDefault="00513D34" w:rsidP="00E73225">
            <w:pPr>
              <w:tabs>
                <w:tab w:val="decimal" w:pos="312"/>
              </w:tabs>
              <w:jc w:val="both"/>
              <w:rPr>
                <w:sz w:val="18"/>
                <w:szCs w:val="18"/>
              </w:rPr>
            </w:pPr>
            <w:r w:rsidRPr="00162CB1">
              <w:rPr>
                <w:sz w:val="18"/>
                <w:szCs w:val="18"/>
              </w:rPr>
              <w:t>-0.060</w:t>
            </w:r>
          </w:p>
        </w:tc>
        <w:tc>
          <w:tcPr>
            <w:tcW w:w="1025" w:type="dxa"/>
          </w:tcPr>
          <w:p w:rsidR="00513D34" w:rsidRPr="00162CB1" w:rsidRDefault="00513D34" w:rsidP="00E73225">
            <w:pPr>
              <w:tabs>
                <w:tab w:val="decimal" w:pos="312"/>
              </w:tabs>
              <w:jc w:val="both"/>
              <w:rPr>
                <w:sz w:val="18"/>
                <w:szCs w:val="18"/>
              </w:rPr>
            </w:pPr>
            <w:r w:rsidRPr="00162CB1">
              <w:rPr>
                <w:sz w:val="18"/>
                <w:szCs w:val="18"/>
              </w:rPr>
              <w:t>0.065</w:t>
            </w:r>
          </w:p>
        </w:tc>
        <w:tc>
          <w:tcPr>
            <w:tcW w:w="1024" w:type="dxa"/>
          </w:tcPr>
          <w:p w:rsidR="00513D34" w:rsidRPr="00162CB1" w:rsidRDefault="00513D34" w:rsidP="00E73225">
            <w:pPr>
              <w:tabs>
                <w:tab w:val="decimal" w:pos="312"/>
              </w:tabs>
              <w:jc w:val="both"/>
              <w:rPr>
                <w:sz w:val="18"/>
                <w:szCs w:val="18"/>
              </w:rPr>
            </w:pPr>
            <w:r w:rsidRPr="00162CB1">
              <w:rPr>
                <w:sz w:val="18"/>
                <w:szCs w:val="18"/>
              </w:rPr>
              <w:t>-0.079</w:t>
            </w:r>
          </w:p>
        </w:tc>
        <w:tc>
          <w:tcPr>
            <w:tcW w:w="1024" w:type="dxa"/>
          </w:tcPr>
          <w:p w:rsidR="00513D34" w:rsidRPr="00162CB1" w:rsidRDefault="00513D34" w:rsidP="00E73225">
            <w:pPr>
              <w:tabs>
                <w:tab w:val="decimal" w:pos="312"/>
              </w:tabs>
              <w:jc w:val="both"/>
              <w:rPr>
                <w:sz w:val="18"/>
                <w:szCs w:val="18"/>
              </w:rPr>
            </w:pPr>
            <w:r w:rsidRPr="00162CB1">
              <w:rPr>
                <w:sz w:val="18"/>
                <w:szCs w:val="18"/>
              </w:rPr>
              <w:t>-0.038</w:t>
            </w:r>
          </w:p>
        </w:tc>
        <w:tc>
          <w:tcPr>
            <w:tcW w:w="1024" w:type="dxa"/>
          </w:tcPr>
          <w:p w:rsidR="00513D34" w:rsidRPr="00162CB1" w:rsidRDefault="00513D34" w:rsidP="00E73225">
            <w:pPr>
              <w:tabs>
                <w:tab w:val="decimal" w:pos="312"/>
              </w:tabs>
              <w:jc w:val="both"/>
              <w:rPr>
                <w:sz w:val="18"/>
                <w:szCs w:val="18"/>
              </w:rPr>
            </w:pPr>
            <w:r w:rsidRPr="00162CB1">
              <w:rPr>
                <w:sz w:val="18"/>
                <w:szCs w:val="18"/>
              </w:rPr>
              <w:t>-0.018</w:t>
            </w:r>
          </w:p>
        </w:tc>
      </w:tr>
      <w:tr w:rsidR="00513D34" w:rsidRPr="00162CB1" w:rsidTr="00E73225">
        <w:tc>
          <w:tcPr>
            <w:tcW w:w="2376" w:type="dxa"/>
          </w:tcPr>
          <w:p w:rsidR="00513D34" w:rsidRPr="00162CB1" w:rsidRDefault="00513D34" w:rsidP="00E73225">
            <w:pPr>
              <w:rPr>
                <w:sz w:val="18"/>
                <w:szCs w:val="18"/>
              </w:rPr>
            </w:pPr>
            <w:r w:rsidRPr="00162CB1">
              <w:rPr>
                <w:sz w:val="18"/>
                <w:szCs w:val="18"/>
              </w:rPr>
              <w:t xml:space="preserve">  Good news</w:t>
            </w:r>
          </w:p>
        </w:tc>
        <w:tc>
          <w:tcPr>
            <w:tcW w:w="1024" w:type="dxa"/>
          </w:tcPr>
          <w:p w:rsidR="00513D34" w:rsidRPr="00162CB1" w:rsidRDefault="00513D34" w:rsidP="00E73225">
            <w:pPr>
              <w:tabs>
                <w:tab w:val="decimal" w:pos="672"/>
              </w:tabs>
              <w:jc w:val="both"/>
              <w:rPr>
                <w:sz w:val="18"/>
                <w:szCs w:val="18"/>
              </w:rPr>
            </w:pPr>
            <w:r w:rsidRPr="00162CB1">
              <w:rPr>
                <w:sz w:val="18"/>
                <w:szCs w:val="18"/>
              </w:rPr>
              <w:t>7,686</w:t>
            </w:r>
          </w:p>
        </w:tc>
        <w:tc>
          <w:tcPr>
            <w:tcW w:w="1024" w:type="dxa"/>
          </w:tcPr>
          <w:p w:rsidR="00513D34" w:rsidRPr="00162CB1" w:rsidRDefault="00513D34" w:rsidP="00E73225">
            <w:pPr>
              <w:tabs>
                <w:tab w:val="decimal" w:pos="312"/>
              </w:tabs>
              <w:jc w:val="both"/>
              <w:rPr>
                <w:sz w:val="18"/>
                <w:szCs w:val="18"/>
              </w:rPr>
            </w:pPr>
            <w:r w:rsidRPr="00162CB1">
              <w:rPr>
                <w:sz w:val="18"/>
                <w:szCs w:val="18"/>
              </w:rPr>
              <w:t>0.046</w:t>
            </w:r>
          </w:p>
        </w:tc>
        <w:tc>
          <w:tcPr>
            <w:tcW w:w="1025" w:type="dxa"/>
          </w:tcPr>
          <w:p w:rsidR="00513D34" w:rsidRPr="00162CB1" w:rsidRDefault="00513D34" w:rsidP="00E73225">
            <w:pPr>
              <w:tabs>
                <w:tab w:val="decimal" w:pos="312"/>
              </w:tabs>
              <w:jc w:val="both"/>
              <w:rPr>
                <w:sz w:val="18"/>
                <w:szCs w:val="18"/>
              </w:rPr>
            </w:pPr>
            <w:r w:rsidRPr="00162CB1">
              <w:rPr>
                <w:sz w:val="18"/>
                <w:szCs w:val="18"/>
              </w:rPr>
              <w:t>0.039</w:t>
            </w:r>
          </w:p>
        </w:tc>
        <w:tc>
          <w:tcPr>
            <w:tcW w:w="1024" w:type="dxa"/>
          </w:tcPr>
          <w:p w:rsidR="00513D34" w:rsidRPr="00162CB1" w:rsidRDefault="00513D34" w:rsidP="00E73225">
            <w:pPr>
              <w:tabs>
                <w:tab w:val="decimal" w:pos="312"/>
              </w:tabs>
              <w:jc w:val="both"/>
              <w:rPr>
                <w:sz w:val="18"/>
                <w:szCs w:val="18"/>
              </w:rPr>
            </w:pPr>
            <w:r w:rsidRPr="00162CB1">
              <w:rPr>
                <w:sz w:val="18"/>
                <w:szCs w:val="18"/>
              </w:rPr>
              <w:t>0.015</w:t>
            </w:r>
          </w:p>
        </w:tc>
        <w:tc>
          <w:tcPr>
            <w:tcW w:w="1024" w:type="dxa"/>
          </w:tcPr>
          <w:p w:rsidR="00513D34" w:rsidRPr="00162CB1" w:rsidRDefault="00513D34" w:rsidP="00E73225">
            <w:pPr>
              <w:tabs>
                <w:tab w:val="decimal" w:pos="312"/>
              </w:tabs>
              <w:jc w:val="both"/>
              <w:rPr>
                <w:sz w:val="18"/>
                <w:szCs w:val="18"/>
              </w:rPr>
            </w:pPr>
            <w:r w:rsidRPr="00162CB1">
              <w:rPr>
                <w:sz w:val="18"/>
                <w:szCs w:val="18"/>
              </w:rPr>
              <w:t>0.036</w:t>
            </w:r>
          </w:p>
        </w:tc>
        <w:tc>
          <w:tcPr>
            <w:tcW w:w="1024" w:type="dxa"/>
          </w:tcPr>
          <w:p w:rsidR="00513D34" w:rsidRPr="00162CB1" w:rsidRDefault="00513D34" w:rsidP="00E73225">
            <w:pPr>
              <w:tabs>
                <w:tab w:val="decimal" w:pos="312"/>
              </w:tabs>
              <w:jc w:val="both"/>
              <w:rPr>
                <w:sz w:val="18"/>
                <w:szCs w:val="18"/>
              </w:rPr>
            </w:pPr>
            <w:r w:rsidRPr="00162CB1">
              <w:rPr>
                <w:sz w:val="18"/>
                <w:szCs w:val="18"/>
              </w:rPr>
              <w:t>0.069</w:t>
            </w:r>
          </w:p>
        </w:tc>
      </w:tr>
      <w:tr w:rsidR="00513D34" w:rsidRPr="00162CB1" w:rsidTr="00E73225">
        <w:tc>
          <w:tcPr>
            <w:tcW w:w="2376" w:type="dxa"/>
          </w:tcPr>
          <w:p w:rsidR="00513D34" w:rsidRPr="00162CB1" w:rsidRDefault="00513D34" w:rsidP="00E73225">
            <w:pPr>
              <w:rPr>
                <w:sz w:val="18"/>
                <w:szCs w:val="18"/>
              </w:rPr>
            </w:pPr>
            <w:r w:rsidRPr="00162CB1">
              <w:rPr>
                <w:sz w:val="18"/>
                <w:szCs w:val="18"/>
              </w:rPr>
              <w:t>Institutional ownership percentage</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0.769</w:t>
            </w:r>
          </w:p>
        </w:tc>
        <w:tc>
          <w:tcPr>
            <w:tcW w:w="1025" w:type="dxa"/>
          </w:tcPr>
          <w:p w:rsidR="00513D34" w:rsidRPr="00162CB1" w:rsidRDefault="00513D34" w:rsidP="00E73225">
            <w:pPr>
              <w:tabs>
                <w:tab w:val="decimal" w:pos="312"/>
              </w:tabs>
              <w:jc w:val="both"/>
              <w:rPr>
                <w:sz w:val="18"/>
                <w:szCs w:val="18"/>
              </w:rPr>
            </w:pPr>
            <w:r w:rsidRPr="00162CB1">
              <w:rPr>
                <w:sz w:val="18"/>
                <w:szCs w:val="18"/>
              </w:rPr>
              <w:t>0.180</w:t>
            </w:r>
          </w:p>
        </w:tc>
        <w:tc>
          <w:tcPr>
            <w:tcW w:w="1024" w:type="dxa"/>
          </w:tcPr>
          <w:p w:rsidR="00513D34" w:rsidRPr="00162CB1" w:rsidRDefault="00513D34" w:rsidP="00E73225">
            <w:pPr>
              <w:tabs>
                <w:tab w:val="decimal" w:pos="312"/>
              </w:tabs>
              <w:jc w:val="both"/>
              <w:rPr>
                <w:sz w:val="18"/>
                <w:szCs w:val="18"/>
              </w:rPr>
            </w:pPr>
            <w:r w:rsidRPr="00162CB1">
              <w:rPr>
                <w:sz w:val="18"/>
                <w:szCs w:val="18"/>
              </w:rPr>
              <w:t>0.652</w:t>
            </w:r>
          </w:p>
        </w:tc>
        <w:tc>
          <w:tcPr>
            <w:tcW w:w="1024" w:type="dxa"/>
          </w:tcPr>
          <w:p w:rsidR="00513D34" w:rsidRPr="00162CB1" w:rsidRDefault="00513D34" w:rsidP="00E73225">
            <w:pPr>
              <w:tabs>
                <w:tab w:val="decimal" w:pos="312"/>
              </w:tabs>
              <w:jc w:val="both"/>
              <w:rPr>
                <w:sz w:val="18"/>
                <w:szCs w:val="18"/>
              </w:rPr>
            </w:pPr>
            <w:r w:rsidRPr="00162CB1">
              <w:rPr>
                <w:sz w:val="18"/>
                <w:szCs w:val="18"/>
              </w:rPr>
              <w:t>0.785</w:t>
            </w:r>
          </w:p>
        </w:tc>
        <w:tc>
          <w:tcPr>
            <w:tcW w:w="1024" w:type="dxa"/>
          </w:tcPr>
          <w:p w:rsidR="00513D34" w:rsidRPr="00162CB1" w:rsidRDefault="00513D34" w:rsidP="00E73225">
            <w:pPr>
              <w:tabs>
                <w:tab w:val="decimal" w:pos="312"/>
              </w:tabs>
              <w:jc w:val="both"/>
              <w:rPr>
                <w:sz w:val="18"/>
                <w:szCs w:val="18"/>
              </w:rPr>
            </w:pPr>
            <w:r w:rsidRPr="00162CB1">
              <w:rPr>
                <w:sz w:val="18"/>
                <w:szCs w:val="18"/>
              </w:rPr>
              <w:t>0.882</w:t>
            </w:r>
          </w:p>
        </w:tc>
      </w:tr>
      <w:tr w:rsidR="00513D34" w:rsidRPr="00162CB1" w:rsidTr="00E73225">
        <w:tc>
          <w:tcPr>
            <w:tcW w:w="2376" w:type="dxa"/>
          </w:tcPr>
          <w:p w:rsidR="00513D34" w:rsidRPr="00162CB1" w:rsidRDefault="00513D34" w:rsidP="00E73225">
            <w:pPr>
              <w:rPr>
                <w:sz w:val="18"/>
                <w:szCs w:val="18"/>
              </w:rPr>
            </w:pPr>
            <w:r w:rsidRPr="00162CB1">
              <w:rPr>
                <w:sz w:val="18"/>
                <w:szCs w:val="18"/>
              </w:rPr>
              <w:t>Number of analyst following</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9.704</w:t>
            </w:r>
          </w:p>
        </w:tc>
        <w:tc>
          <w:tcPr>
            <w:tcW w:w="1025" w:type="dxa"/>
          </w:tcPr>
          <w:p w:rsidR="00513D34" w:rsidRPr="00162CB1" w:rsidRDefault="00513D34" w:rsidP="00E73225">
            <w:pPr>
              <w:tabs>
                <w:tab w:val="decimal" w:pos="312"/>
              </w:tabs>
              <w:jc w:val="both"/>
              <w:rPr>
                <w:sz w:val="18"/>
                <w:szCs w:val="18"/>
              </w:rPr>
            </w:pPr>
            <w:r w:rsidRPr="00162CB1">
              <w:rPr>
                <w:sz w:val="18"/>
                <w:szCs w:val="18"/>
              </w:rPr>
              <w:t>7.734</w:t>
            </w:r>
          </w:p>
        </w:tc>
        <w:tc>
          <w:tcPr>
            <w:tcW w:w="1024" w:type="dxa"/>
          </w:tcPr>
          <w:p w:rsidR="00513D34" w:rsidRPr="00162CB1" w:rsidRDefault="00513D34" w:rsidP="00E73225">
            <w:pPr>
              <w:tabs>
                <w:tab w:val="decimal" w:pos="312"/>
              </w:tabs>
              <w:jc w:val="both"/>
              <w:rPr>
                <w:sz w:val="18"/>
                <w:szCs w:val="18"/>
              </w:rPr>
            </w:pPr>
            <w:r w:rsidRPr="00162CB1">
              <w:rPr>
                <w:sz w:val="18"/>
                <w:szCs w:val="18"/>
              </w:rPr>
              <w:t>4.000</w:t>
            </w:r>
          </w:p>
        </w:tc>
        <w:tc>
          <w:tcPr>
            <w:tcW w:w="1024" w:type="dxa"/>
          </w:tcPr>
          <w:p w:rsidR="00513D34" w:rsidRPr="00162CB1" w:rsidRDefault="00513D34" w:rsidP="00E73225">
            <w:pPr>
              <w:tabs>
                <w:tab w:val="decimal" w:pos="312"/>
              </w:tabs>
              <w:jc w:val="both"/>
              <w:rPr>
                <w:sz w:val="18"/>
                <w:szCs w:val="18"/>
              </w:rPr>
            </w:pPr>
            <w:r w:rsidRPr="00162CB1">
              <w:rPr>
                <w:sz w:val="18"/>
                <w:szCs w:val="18"/>
              </w:rPr>
              <w:t>9.000</w:t>
            </w:r>
          </w:p>
        </w:tc>
        <w:tc>
          <w:tcPr>
            <w:tcW w:w="1024" w:type="dxa"/>
          </w:tcPr>
          <w:p w:rsidR="00513D34" w:rsidRPr="00162CB1" w:rsidRDefault="00513D34" w:rsidP="00E73225">
            <w:pPr>
              <w:tabs>
                <w:tab w:val="decimal" w:pos="312"/>
              </w:tabs>
              <w:jc w:val="both"/>
              <w:rPr>
                <w:sz w:val="18"/>
                <w:szCs w:val="18"/>
              </w:rPr>
            </w:pPr>
            <w:r w:rsidRPr="00162CB1">
              <w:rPr>
                <w:sz w:val="18"/>
                <w:szCs w:val="18"/>
              </w:rPr>
              <w:t>15.000</w:t>
            </w:r>
          </w:p>
        </w:tc>
      </w:tr>
      <w:tr w:rsidR="00513D34" w:rsidRPr="00162CB1" w:rsidTr="00E73225">
        <w:tc>
          <w:tcPr>
            <w:tcW w:w="2376" w:type="dxa"/>
          </w:tcPr>
          <w:p w:rsidR="00513D34" w:rsidRPr="00162CB1" w:rsidRDefault="00513D34" w:rsidP="00E73225">
            <w:pPr>
              <w:rPr>
                <w:sz w:val="18"/>
                <w:szCs w:val="18"/>
              </w:rPr>
            </w:pPr>
            <w:r w:rsidRPr="00162CB1">
              <w:rPr>
                <w:sz w:val="18"/>
                <w:szCs w:val="18"/>
              </w:rPr>
              <w:t>Outside director percentage</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0.700</w:t>
            </w:r>
          </w:p>
        </w:tc>
        <w:tc>
          <w:tcPr>
            <w:tcW w:w="1025" w:type="dxa"/>
          </w:tcPr>
          <w:p w:rsidR="00513D34" w:rsidRPr="00162CB1" w:rsidRDefault="00513D34" w:rsidP="00E73225">
            <w:pPr>
              <w:tabs>
                <w:tab w:val="decimal" w:pos="312"/>
              </w:tabs>
              <w:jc w:val="both"/>
              <w:rPr>
                <w:sz w:val="18"/>
                <w:szCs w:val="18"/>
              </w:rPr>
            </w:pPr>
            <w:r w:rsidRPr="00162CB1">
              <w:rPr>
                <w:sz w:val="18"/>
                <w:szCs w:val="18"/>
              </w:rPr>
              <w:t>0.159</w:t>
            </w:r>
          </w:p>
        </w:tc>
        <w:tc>
          <w:tcPr>
            <w:tcW w:w="1024" w:type="dxa"/>
          </w:tcPr>
          <w:p w:rsidR="00513D34" w:rsidRPr="00162CB1" w:rsidRDefault="00513D34" w:rsidP="00E73225">
            <w:pPr>
              <w:tabs>
                <w:tab w:val="decimal" w:pos="312"/>
              </w:tabs>
              <w:jc w:val="both"/>
              <w:rPr>
                <w:sz w:val="18"/>
                <w:szCs w:val="18"/>
              </w:rPr>
            </w:pPr>
            <w:r w:rsidRPr="00162CB1">
              <w:rPr>
                <w:sz w:val="18"/>
                <w:szCs w:val="18"/>
              </w:rPr>
              <w:t>0.600</w:t>
            </w:r>
          </w:p>
        </w:tc>
        <w:tc>
          <w:tcPr>
            <w:tcW w:w="1024" w:type="dxa"/>
          </w:tcPr>
          <w:p w:rsidR="00513D34" w:rsidRPr="00162CB1" w:rsidRDefault="00513D34" w:rsidP="00E73225">
            <w:pPr>
              <w:tabs>
                <w:tab w:val="decimal" w:pos="312"/>
              </w:tabs>
              <w:jc w:val="both"/>
              <w:rPr>
                <w:sz w:val="18"/>
                <w:szCs w:val="18"/>
              </w:rPr>
            </w:pPr>
            <w:r w:rsidRPr="00162CB1">
              <w:rPr>
                <w:sz w:val="18"/>
                <w:szCs w:val="18"/>
              </w:rPr>
              <w:t>0.714</w:t>
            </w:r>
          </w:p>
        </w:tc>
        <w:tc>
          <w:tcPr>
            <w:tcW w:w="1024" w:type="dxa"/>
          </w:tcPr>
          <w:p w:rsidR="00513D34" w:rsidRPr="00162CB1" w:rsidRDefault="00513D34" w:rsidP="00E73225">
            <w:pPr>
              <w:tabs>
                <w:tab w:val="decimal" w:pos="312"/>
              </w:tabs>
              <w:jc w:val="both"/>
              <w:rPr>
                <w:sz w:val="18"/>
                <w:szCs w:val="18"/>
              </w:rPr>
            </w:pPr>
            <w:r w:rsidRPr="00162CB1">
              <w:rPr>
                <w:sz w:val="18"/>
                <w:szCs w:val="18"/>
              </w:rPr>
              <w:t>0.833</w:t>
            </w:r>
          </w:p>
        </w:tc>
      </w:tr>
      <w:tr w:rsidR="00513D34" w:rsidRPr="00162CB1" w:rsidTr="00E73225">
        <w:tc>
          <w:tcPr>
            <w:tcW w:w="2376" w:type="dxa"/>
          </w:tcPr>
          <w:p w:rsidR="00513D34" w:rsidRPr="00162CB1" w:rsidRDefault="00513D34" w:rsidP="00E73225">
            <w:pPr>
              <w:rPr>
                <w:sz w:val="18"/>
                <w:szCs w:val="18"/>
              </w:rPr>
            </w:pPr>
            <w:r w:rsidRPr="00162CB1">
              <w:rPr>
                <w:sz w:val="18"/>
                <w:szCs w:val="18"/>
              </w:rPr>
              <w:t>Market value ($bil)</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15.240</w:t>
            </w:r>
          </w:p>
        </w:tc>
        <w:tc>
          <w:tcPr>
            <w:tcW w:w="1025" w:type="dxa"/>
          </w:tcPr>
          <w:p w:rsidR="00513D34" w:rsidRPr="00162CB1" w:rsidRDefault="00513D34" w:rsidP="00E73225">
            <w:pPr>
              <w:tabs>
                <w:tab w:val="decimal" w:pos="312"/>
              </w:tabs>
              <w:jc w:val="both"/>
              <w:rPr>
                <w:sz w:val="18"/>
                <w:szCs w:val="18"/>
              </w:rPr>
            </w:pPr>
            <w:r w:rsidRPr="00162CB1">
              <w:rPr>
                <w:sz w:val="18"/>
                <w:szCs w:val="18"/>
              </w:rPr>
              <w:t>1.580</w:t>
            </w:r>
          </w:p>
        </w:tc>
        <w:tc>
          <w:tcPr>
            <w:tcW w:w="1024" w:type="dxa"/>
          </w:tcPr>
          <w:p w:rsidR="00513D34" w:rsidRPr="00162CB1" w:rsidRDefault="00513D34" w:rsidP="00E73225">
            <w:pPr>
              <w:tabs>
                <w:tab w:val="decimal" w:pos="312"/>
              </w:tabs>
              <w:jc w:val="both"/>
              <w:rPr>
                <w:sz w:val="18"/>
                <w:szCs w:val="18"/>
              </w:rPr>
            </w:pPr>
            <w:r w:rsidRPr="00162CB1">
              <w:rPr>
                <w:sz w:val="18"/>
                <w:szCs w:val="18"/>
              </w:rPr>
              <w:t>14.072</w:t>
            </w:r>
          </w:p>
        </w:tc>
        <w:tc>
          <w:tcPr>
            <w:tcW w:w="1024" w:type="dxa"/>
          </w:tcPr>
          <w:p w:rsidR="00513D34" w:rsidRPr="00162CB1" w:rsidRDefault="00513D34" w:rsidP="00E73225">
            <w:pPr>
              <w:tabs>
                <w:tab w:val="decimal" w:pos="312"/>
              </w:tabs>
              <w:jc w:val="both"/>
              <w:rPr>
                <w:sz w:val="18"/>
                <w:szCs w:val="18"/>
              </w:rPr>
            </w:pPr>
            <w:r w:rsidRPr="00162CB1">
              <w:rPr>
                <w:sz w:val="18"/>
                <w:szCs w:val="18"/>
              </w:rPr>
              <w:t>15.128</w:t>
            </w:r>
          </w:p>
        </w:tc>
        <w:tc>
          <w:tcPr>
            <w:tcW w:w="1024" w:type="dxa"/>
          </w:tcPr>
          <w:p w:rsidR="00513D34" w:rsidRPr="00162CB1" w:rsidRDefault="00513D34" w:rsidP="00E73225">
            <w:pPr>
              <w:tabs>
                <w:tab w:val="decimal" w:pos="312"/>
              </w:tabs>
              <w:jc w:val="both"/>
              <w:rPr>
                <w:sz w:val="18"/>
                <w:szCs w:val="18"/>
              </w:rPr>
            </w:pPr>
            <w:r w:rsidRPr="00162CB1">
              <w:rPr>
                <w:sz w:val="18"/>
                <w:szCs w:val="18"/>
              </w:rPr>
              <w:t>16.274</w:t>
            </w:r>
          </w:p>
        </w:tc>
      </w:tr>
      <w:tr w:rsidR="00513D34" w:rsidRPr="00162CB1" w:rsidTr="00E73225">
        <w:tc>
          <w:tcPr>
            <w:tcW w:w="2376" w:type="dxa"/>
          </w:tcPr>
          <w:p w:rsidR="00513D34" w:rsidRPr="00162CB1" w:rsidRDefault="00513D34" w:rsidP="00E73225">
            <w:pPr>
              <w:rPr>
                <w:sz w:val="18"/>
                <w:szCs w:val="18"/>
              </w:rPr>
            </w:pPr>
            <w:r w:rsidRPr="00162CB1">
              <w:rPr>
                <w:sz w:val="18"/>
                <w:szCs w:val="18"/>
              </w:rPr>
              <w:t>Market-to-book ratio</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4.772</w:t>
            </w:r>
          </w:p>
        </w:tc>
        <w:tc>
          <w:tcPr>
            <w:tcW w:w="1025" w:type="dxa"/>
          </w:tcPr>
          <w:p w:rsidR="00513D34" w:rsidRPr="00162CB1" w:rsidRDefault="00513D34" w:rsidP="00E73225">
            <w:pPr>
              <w:tabs>
                <w:tab w:val="decimal" w:pos="312"/>
              </w:tabs>
              <w:jc w:val="both"/>
              <w:rPr>
                <w:sz w:val="18"/>
                <w:szCs w:val="18"/>
              </w:rPr>
            </w:pPr>
            <w:r w:rsidRPr="00162CB1">
              <w:rPr>
                <w:sz w:val="18"/>
                <w:szCs w:val="18"/>
              </w:rPr>
              <w:t>20.839</w:t>
            </w:r>
          </w:p>
        </w:tc>
        <w:tc>
          <w:tcPr>
            <w:tcW w:w="1024" w:type="dxa"/>
          </w:tcPr>
          <w:p w:rsidR="00513D34" w:rsidRPr="00162CB1" w:rsidRDefault="00513D34" w:rsidP="00E73225">
            <w:pPr>
              <w:tabs>
                <w:tab w:val="decimal" w:pos="312"/>
              </w:tabs>
              <w:jc w:val="both"/>
              <w:rPr>
                <w:sz w:val="18"/>
                <w:szCs w:val="18"/>
              </w:rPr>
            </w:pPr>
            <w:r w:rsidRPr="00162CB1">
              <w:rPr>
                <w:sz w:val="18"/>
                <w:szCs w:val="18"/>
              </w:rPr>
              <w:t>1.871</w:t>
            </w:r>
          </w:p>
        </w:tc>
        <w:tc>
          <w:tcPr>
            <w:tcW w:w="1024" w:type="dxa"/>
          </w:tcPr>
          <w:p w:rsidR="00513D34" w:rsidRPr="00162CB1" w:rsidRDefault="00513D34" w:rsidP="00E73225">
            <w:pPr>
              <w:tabs>
                <w:tab w:val="decimal" w:pos="312"/>
              </w:tabs>
              <w:jc w:val="both"/>
              <w:rPr>
                <w:sz w:val="18"/>
                <w:szCs w:val="18"/>
              </w:rPr>
            </w:pPr>
            <w:r w:rsidRPr="00162CB1">
              <w:rPr>
                <w:sz w:val="18"/>
                <w:szCs w:val="18"/>
              </w:rPr>
              <w:t>2.872</w:t>
            </w:r>
          </w:p>
        </w:tc>
        <w:tc>
          <w:tcPr>
            <w:tcW w:w="1024" w:type="dxa"/>
          </w:tcPr>
          <w:p w:rsidR="00513D34" w:rsidRPr="00162CB1" w:rsidRDefault="00513D34" w:rsidP="00E73225">
            <w:pPr>
              <w:tabs>
                <w:tab w:val="decimal" w:pos="312"/>
              </w:tabs>
              <w:jc w:val="both"/>
              <w:rPr>
                <w:sz w:val="18"/>
                <w:szCs w:val="18"/>
              </w:rPr>
            </w:pPr>
            <w:r w:rsidRPr="00162CB1">
              <w:rPr>
                <w:sz w:val="18"/>
                <w:szCs w:val="18"/>
              </w:rPr>
              <w:t>4.365</w:t>
            </w:r>
          </w:p>
        </w:tc>
      </w:tr>
      <w:tr w:rsidR="00513D34" w:rsidRPr="00162CB1" w:rsidTr="00E73225">
        <w:tc>
          <w:tcPr>
            <w:tcW w:w="2376" w:type="dxa"/>
          </w:tcPr>
          <w:p w:rsidR="00513D34" w:rsidRPr="00162CB1" w:rsidRDefault="00513D34" w:rsidP="00E73225">
            <w:pPr>
              <w:rPr>
                <w:sz w:val="18"/>
                <w:szCs w:val="18"/>
              </w:rPr>
            </w:pPr>
            <w:r w:rsidRPr="00162CB1">
              <w:rPr>
                <w:sz w:val="18"/>
                <w:szCs w:val="18"/>
              </w:rPr>
              <w:t>Litigation industry</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0.425</w:t>
            </w:r>
          </w:p>
        </w:tc>
        <w:tc>
          <w:tcPr>
            <w:tcW w:w="1025" w:type="dxa"/>
          </w:tcPr>
          <w:p w:rsidR="00513D34" w:rsidRPr="00162CB1" w:rsidRDefault="00513D34" w:rsidP="00E73225">
            <w:pPr>
              <w:tabs>
                <w:tab w:val="decimal" w:pos="312"/>
              </w:tabs>
              <w:jc w:val="both"/>
              <w:rPr>
                <w:sz w:val="18"/>
                <w:szCs w:val="18"/>
              </w:rPr>
            </w:pPr>
            <w:r w:rsidRPr="00162CB1">
              <w:rPr>
                <w:sz w:val="18"/>
                <w:szCs w:val="18"/>
              </w:rPr>
              <w:t>0.494</w:t>
            </w:r>
          </w:p>
        </w:tc>
        <w:tc>
          <w:tcPr>
            <w:tcW w:w="1024" w:type="dxa"/>
          </w:tcPr>
          <w:p w:rsidR="00513D34" w:rsidRPr="00162CB1" w:rsidRDefault="00513D34" w:rsidP="00E73225">
            <w:pPr>
              <w:tabs>
                <w:tab w:val="decimal" w:pos="312"/>
              </w:tabs>
              <w:jc w:val="both"/>
              <w:rPr>
                <w:sz w:val="18"/>
                <w:szCs w:val="18"/>
              </w:rPr>
            </w:pPr>
            <w:r w:rsidRPr="00162CB1">
              <w:rPr>
                <w:sz w:val="18"/>
                <w:szCs w:val="18"/>
              </w:rPr>
              <w:t>0.000</w:t>
            </w:r>
          </w:p>
        </w:tc>
        <w:tc>
          <w:tcPr>
            <w:tcW w:w="1024" w:type="dxa"/>
          </w:tcPr>
          <w:p w:rsidR="00513D34" w:rsidRPr="00162CB1" w:rsidRDefault="00513D34" w:rsidP="00E73225">
            <w:pPr>
              <w:tabs>
                <w:tab w:val="decimal" w:pos="312"/>
              </w:tabs>
              <w:jc w:val="both"/>
              <w:rPr>
                <w:sz w:val="18"/>
                <w:szCs w:val="18"/>
              </w:rPr>
            </w:pPr>
            <w:r w:rsidRPr="00162CB1">
              <w:rPr>
                <w:sz w:val="18"/>
                <w:szCs w:val="18"/>
              </w:rPr>
              <w:t>0.000</w:t>
            </w:r>
          </w:p>
        </w:tc>
        <w:tc>
          <w:tcPr>
            <w:tcW w:w="1024" w:type="dxa"/>
          </w:tcPr>
          <w:p w:rsidR="00513D34" w:rsidRPr="00162CB1" w:rsidRDefault="00513D34" w:rsidP="00E73225">
            <w:pPr>
              <w:tabs>
                <w:tab w:val="decimal" w:pos="312"/>
              </w:tabs>
              <w:jc w:val="both"/>
              <w:rPr>
                <w:sz w:val="18"/>
                <w:szCs w:val="18"/>
              </w:rPr>
            </w:pPr>
            <w:r w:rsidRPr="00162CB1">
              <w:rPr>
                <w:sz w:val="18"/>
                <w:szCs w:val="18"/>
              </w:rPr>
              <w:t>1.000</w:t>
            </w:r>
          </w:p>
        </w:tc>
      </w:tr>
      <w:tr w:rsidR="00513D34" w:rsidRPr="00162CB1" w:rsidTr="00E73225">
        <w:tc>
          <w:tcPr>
            <w:tcW w:w="2376" w:type="dxa"/>
          </w:tcPr>
          <w:p w:rsidR="00513D34" w:rsidRPr="00162CB1" w:rsidRDefault="00513D34" w:rsidP="00E73225">
            <w:pPr>
              <w:rPr>
                <w:sz w:val="18"/>
                <w:szCs w:val="18"/>
              </w:rPr>
            </w:pPr>
            <w:r w:rsidRPr="00162CB1">
              <w:rPr>
                <w:sz w:val="18"/>
                <w:szCs w:val="18"/>
              </w:rPr>
              <w:t>Return on equity</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0.218</w:t>
            </w:r>
          </w:p>
        </w:tc>
        <w:tc>
          <w:tcPr>
            <w:tcW w:w="1025" w:type="dxa"/>
          </w:tcPr>
          <w:p w:rsidR="00513D34" w:rsidRPr="00162CB1" w:rsidRDefault="00513D34" w:rsidP="00E73225">
            <w:pPr>
              <w:tabs>
                <w:tab w:val="decimal" w:pos="312"/>
              </w:tabs>
              <w:jc w:val="both"/>
              <w:rPr>
                <w:sz w:val="18"/>
                <w:szCs w:val="18"/>
              </w:rPr>
            </w:pPr>
            <w:r w:rsidRPr="00162CB1">
              <w:rPr>
                <w:sz w:val="18"/>
                <w:szCs w:val="18"/>
              </w:rPr>
              <w:t>1.361</w:t>
            </w:r>
          </w:p>
        </w:tc>
        <w:tc>
          <w:tcPr>
            <w:tcW w:w="1024" w:type="dxa"/>
          </w:tcPr>
          <w:p w:rsidR="00513D34" w:rsidRPr="00162CB1" w:rsidRDefault="00513D34" w:rsidP="00E73225">
            <w:pPr>
              <w:tabs>
                <w:tab w:val="decimal" w:pos="312"/>
              </w:tabs>
              <w:jc w:val="both"/>
              <w:rPr>
                <w:sz w:val="18"/>
                <w:szCs w:val="18"/>
              </w:rPr>
            </w:pPr>
            <w:r w:rsidRPr="00162CB1">
              <w:rPr>
                <w:sz w:val="18"/>
                <w:szCs w:val="18"/>
              </w:rPr>
              <w:t>0.096</w:t>
            </w:r>
          </w:p>
        </w:tc>
        <w:tc>
          <w:tcPr>
            <w:tcW w:w="1024" w:type="dxa"/>
          </w:tcPr>
          <w:p w:rsidR="00513D34" w:rsidRPr="00162CB1" w:rsidRDefault="00513D34" w:rsidP="00E73225">
            <w:pPr>
              <w:tabs>
                <w:tab w:val="decimal" w:pos="312"/>
              </w:tabs>
              <w:jc w:val="both"/>
              <w:rPr>
                <w:sz w:val="18"/>
                <w:szCs w:val="18"/>
              </w:rPr>
            </w:pPr>
            <w:r w:rsidRPr="00162CB1">
              <w:rPr>
                <w:sz w:val="18"/>
                <w:szCs w:val="18"/>
              </w:rPr>
              <w:t>0.148</w:t>
            </w:r>
          </w:p>
        </w:tc>
        <w:tc>
          <w:tcPr>
            <w:tcW w:w="1024" w:type="dxa"/>
          </w:tcPr>
          <w:p w:rsidR="00513D34" w:rsidRPr="00162CB1" w:rsidRDefault="00513D34" w:rsidP="00E73225">
            <w:pPr>
              <w:tabs>
                <w:tab w:val="decimal" w:pos="312"/>
              </w:tabs>
              <w:jc w:val="both"/>
              <w:rPr>
                <w:sz w:val="18"/>
                <w:szCs w:val="18"/>
              </w:rPr>
            </w:pPr>
            <w:r w:rsidRPr="00162CB1">
              <w:rPr>
                <w:sz w:val="18"/>
                <w:szCs w:val="18"/>
              </w:rPr>
              <w:t>0.211</w:t>
            </w:r>
          </w:p>
        </w:tc>
      </w:tr>
      <w:tr w:rsidR="00513D34" w:rsidRPr="00162CB1" w:rsidTr="00E73225">
        <w:tc>
          <w:tcPr>
            <w:tcW w:w="2376" w:type="dxa"/>
          </w:tcPr>
          <w:p w:rsidR="00513D34" w:rsidRPr="00162CB1" w:rsidRDefault="00513D34" w:rsidP="00E73225">
            <w:pPr>
              <w:rPr>
                <w:sz w:val="18"/>
                <w:szCs w:val="18"/>
              </w:rPr>
            </w:pPr>
            <w:r w:rsidRPr="00162CB1">
              <w:rPr>
                <w:sz w:val="18"/>
                <w:szCs w:val="18"/>
              </w:rPr>
              <w:t>Loss</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0.070</w:t>
            </w:r>
          </w:p>
        </w:tc>
        <w:tc>
          <w:tcPr>
            <w:tcW w:w="1025" w:type="dxa"/>
          </w:tcPr>
          <w:p w:rsidR="00513D34" w:rsidRPr="00162CB1" w:rsidRDefault="00513D34" w:rsidP="00E73225">
            <w:pPr>
              <w:tabs>
                <w:tab w:val="decimal" w:pos="312"/>
              </w:tabs>
              <w:jc w:val="both"/>
              <w:rPr>
                <w:sz w:val="18"/>
                <w:szCs w:val="18"/>
              </w:rPr>
            </w:pPr>
            <w:r w:rsidRPr="00162CB1">
              <w:rPr>
                <w:sz w:val="18"/>
                <w:szCs w:val="18"/>
              </w:rPr>
              <w:t>0.255</w:t>
            </w:r>
          </w:p>
        </w:tc>
        <w:tc>
          <w:tcPr>
            <w:tcW w:w="1024" w:type="dxa"/>
          </w:tcPr>
          <w:p w:rsidR="00513D34" w:rsidRPr="00162CB1" w:rsidRDefault="00513D34" w:rsidP="00E73225">
            <w:pPr>
              <w:tabs>
                <w:tab w:val="decimal" w:pos="312"/>
              </w:tabs>
              <w:jc w:val="both"/>
              <w:rPr>
                <w:sz w:val="18"/>
                <w:szCs w:val="18"/>
              </w:rPr>
            </w:pPr>
            <w:r w:rsidRPr="00162CB1">
              <w:rPr>
                <w:sz w:val="18"/>
                <w:szCs w:val="18"/>
              </w:rPr>
              <w:t>0.000</w:t>
            </w:r>
          </w:p>
        </w:tc>
        <w:tc>
          <w:tcPr>
            <w:tcW w:w="1024" w:type="dxa"/>
          </w:tcPr>
          <w:p w:rsidR="00513D34" w:rsidRPr="00162CB1" w:rsidRDefault="00513D34" w:rsidP="00E73225">
            <w:pPr>
              <w:tabs>
                <w:tab w:val="decimal" w:pos="312"/>
              </w:tabs>
              <w:jc w:val="both"/>
              <w:rPr>
                <w:sz w:val="18"/>
                <w:szCs w:val="18"/>
              </w:rPr>
            </w:pPr>
            <w:r w:rsidRPr="00162CB1">
              <w:rPr>
                <w:sz w:val="18"/>
                <w:szCs w:val="18"/>
              </w:rPr>
              <w:t>0.000</w:t>
            </w:r>
          </w:p>
        </w:tc>
        <w:tc>
          <w:tcPr>
            <w:tcW w:w="1024" w:type="dxa"/>
          </w:tcPr>
          <w:p w:rsidR="00513D34" w:rsidRPr="00162CB1" w:rsidRDefault="00513D34" w:rsidP="00E73225">
            <w:pPr>
              <w:tabs>
                <w:tab w:val="decimal" w:pos="312"/>
              </w:tabs>
              <w:jc w:val="both"/>
              <w:rPr>
                <w:sz w:val="18"/>
                <w:szCs w:val="18"/>
              </w:rPr>
            </w:pPr>
            <w:r w:rsidRPr="00162CB1">
              <w:rPr>
                <w:sz w:val="18"/>
                <w:szCs w:val="18"/>
              </w:rPr>
              <w:t>0.000</w:t>
            </w:r>
          </w:p>
        </w:tc>
      </w:tr>
      <w:tr w:rsidR="00513D34" w:rsidRPr="00162CB1" w:rsidTr="00E73225">
        <w:tc>
          <w:tcPr>
            <w:tcW w:w="2376" w:type="dxa"/>
          </w:tcPr>
          <w:p w:rsidR="00513D34" w:rsidRPr="00162CB1" w:rsidRDefault="00513D34" w:rsidP="00E73225">
            <w:pPr>
              <w:rPr>
                <w:sz w:val="18"/>
                <w:szCs w:val="18"/>
              </w:rPr>
            </w:pPr>
            <w:r w:rsidRPr="00162CB1">
              <w:rPr>
                <w:sz w:val="18"/>
                <w:szCs w:val="18"/>
              </w:rPr>
              <w:t>Earnings</w:t>
            </w:r>
            <w:r>
              <w:rPr>
                <w:rFonts w:hint="eastAsia"/>
                <w:sz w:val="18"/>
                <w:szCs w:val="18"/>
              </w:rPr>
              <w:t xml:space="preserve"> v</w:t>
            </w:r>
            <w:r w:rsidRPr="00162CB1">
              <w:rPr>
                <w:sz w:val="18"/>
                <w:szCs w:val="18"/>
              </w:rPr>
              <w:t>olatility</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vAlign w:val="bottom"/>
          </w:tcPr>
          <w:p w:rsidR="00513D34" w:rsidRPr="003A7A50" w:rsidRDefault="00513D34" w:rsidP="00E73225">
            <w:pPr>
              <w:tabs>
                <w:tab w:val="decimal" w:pos="312"/>
              </w:tabs>
              <w:jc w:val="both"/>
              <w:rPr>
                <w:sz w:val="18"/>
                <w:szCs w:val="18"/>
              </w:rPr>
            </w:pPr>
            <w:r w:rsidRPr="003A7A50">
              <w:rPr>
                <w:rFonts w:hint="eastAsia"/>
                <w:sz w:val="18"/>
                <w:szCs w:val="18"/>
              </w:rPr>
              <w:t>0.285</w:t>
            </w:r>
          </w:p>
        </w:tc>
        <w:tc>
          <w:tcPr>
            <w:tcW w:w="1025" w:type="dxa"/>
            <w:vAlign w:val="bottom"/>
          </w:tcPr>
          <w:p w:rsidR="00513D34" w:rsidRPr="003A7A50" w:rsidRDefault="00513D34" w:rsidP="00E73225">
            <w:pPr>
              <w:tabs>
                <w:tab w:val="decimal" w:pos="312"/>
              </w:tabs>
              <w:jc w:val="both"/>
              <w:rPr>
                <w:sz w:val="18"/>
                <w:szCs w:val="18"/>
              </w:rPr>
            </w:pPr>
            <w:r w:rsidRPr="003A7A50">
              <w:rPr>
                <w:rFonts w:hint="eastAsia"/>
                <w:sz w:val="18"/>
                <w:szCs w:val="18"/>
              </w:rPr>
              <w:t>0.616</w:t>
            </w:r>
          </w:p>
        </w:tc>
        <w:tc>
          <w:tcPr>
            <w:tcW w:w="1024" w:type="dxa"/>
            <w:vAlign w:val="bottom"/>
          </w:tcPr>
          <w:p w:rsidR="00513D34" w:rsidRPr="003A7A50" w:rsidRDefault="00513D34" w:rsidP="00E73225">
            <w:pPr>
              <w:tabs>
                <w:tab w:val="decimal" w:pos="312"/>
              </w:tabs>
              <w:jc w:val="both"/>
              <w:rPr>
                <w:sz w:val="18"/>
                <w:szCs w:val="18"/>
              </w:rPr>
            </w:pPr>
            <w:r w:rsidRPr="003A7A50">
              <w:rPr>
                <w:rFonts w:hint="eastAsia"/>
                <w:sz w:val="18"/>
                <w:szCs w:val="18"/>
              </w:rPr>
              <w:t>0.294</w:t>
            </w:r>
          </w:p>
        </w:tc>
        <w:tc>
          <w:tcPr>
            <w:tcW w:w="1024" w:type="dxa"/>
            <w:vAlign w:val="bottom"/>
          </w:tcPr>
          <w:p w:rsidR="00513D34" w:rsidRPr="003A7A50" w:rsidRDefault="00513D34" w:rsidP="00E73225">
            <w:pPr>
              <w:tabs>
                <w:tab w:val="decimal" w:pos="312"/>
              </w:tabs>
              <w:jc w:val="both"/>
              <w:rPr>
                <w:sz w:val="18"/>
                <w:szCs w:val="18"/>
              </w:rPr>
            </w:pPr>
            <w:r w:rsidRPr="003A7A50">
              <w:rPr>
                <w:rFonts w:hint="eastAsia"/>
                <w:sz w:val="18"/>
                <w:szCs w:val="18"/>
              </w:rPr>
              <w:t>0.097</w:t>
            </w:r>
          </w:p>
        </w:tc>
        <w:tc>
          <w:tcPr>
            <w:tcW w:w="1024" w:type="dxa"/>
            <w:vAlign w:val="bottom"/>
          </w:tcPr>
          <w:p w:rsidR="00513D34" w:rsidRPr="003A7A50" w:rsidRDefault="00513D34" w:rsidP="00E73225">
            <w:pPr>
              <w:tabs>
                <w:tab w:val="decimal" w:pos="312"/>
              </w:tabs>
              <w:jc w:val="both"/>
              <w:rPr>
                <w:sz w:val="18"/>
                <w:szCs w:val="18"/>
              </w:rPr>
            </w:pPr>
            <w:r w:rsidRPr="003A7A50">
              <w:rPr>
                <w:rFonts w:hint="eastAsia"/>
                <w:sz w:val="18"/>
                <w:szCs w:val="18"/>
              </w:rPr>
              <w:t>0.029</w:t>
            </w:r>
          </w:p>
        </w:tc>
      </w:tr>
      <w:tr w:rsidR="00513D34" w:rsidRPr="00162CB1" w:rsidTr="00E73225">
        <w:tc>
          <w:tcPr>
            <w:tcW w:w="2376" w:type="dxa"/>
          </w:tcPr>
          <w:p w:rsidR="00513D34" w:rsidRPr="00162CB1" w:rsidRDefault="00513D34" w:rsidP="00E73225">
            <w:pPr>
              <w:rPr>
                <w:sz w:val="18"/>
                <w:szCs w:val="18"/>
              </w:rPr>
            </w:pPr>
            <w:r w:rsidRPr="00162CB1">
              <w:rPr>
                <w:sz w:val="18"/>
                <w:szCs w:val="18"/>
              </w:rPr>
              <w:t>Prior cumulative abnormal returns</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0.010</w:t>
            </w:r>
          </w:p>
        </w:tc>
        <w:tc>
          <w:tcPr>
            <w:tcW w:w="1025" w:type="dxa"/>
          </w:tcPr>
          <w:p w:rsidR="00513D34" w:rsidRPr="00162CB1" w:rsidRDefault="00513D34" w:rsidP="00E73225">
            <w:pPr>
              <w:tabs>
                <w:tab w:val="decimal" w:pos="312"/>
              </w:tabs>
              <w:jc w:val="both"/>
              <w:rPr>
                <w:sz w:val="18"/>
                <w:szCs w:val="18"/>
              </w:rPr>
            </w:pPr>
            <w:r w:rsidRPr="00162CB1">
              <w:rPr>
                <w:sz w:val="18"/>
                <w:szCs w:val="18"/>
              </w:rPr>
              <w:t>0.177</w:t>
            </w:r>
          </w:p>
        </w:tc>
        <w:tc>
          <w:tcPr>
            <w:tcW w:w="1024" w:type="dxa"/>
          </w:tcPr>
          <w:p w:rsidR="00513D34" w:rsidRPr="00162CB1" w:rsidRDefault="00513D34" w:rsidP="00E73225">
            <w:pPr>
              <w:tabs>
                <w:tab w:val="decimal" w:pos="312"/>
              </w:tabs>
              <w:jc w:val="both"/>
              <w:rPr>
                <w:sz w:val="18"/>
                <w:szCs w:val="18"/>
              </w:rPr>
            </w:pPr>
            <w:r w:rsidRPr="00162CB1">
              <w:rPr>
                <w:sz w:val="18"/>
                <w:szCs w:val="18"/>
              </w:rPr>
              <w:t>-0.080</w:t>
            </w:r>
          </w:p>
        </w:tc>
        <w:tc>
          <w:tcPr>
            <w:tcW w:w="1024" w:type="dxa"/>
          </w:tcPr>
          <w:p w:rsidR="00513D34" w:rsidRPr="00162CB1" w:rsidRDefault="00513D34" w:rsidP="00E73225">
            <w:pPr>
              <w:tabs>
                <w:tab w:val="decimal" w:pos="312"/>
              </w:tabs>
              <w:jc w:val="both"/>
              <w:rPr>
                <w:sz w:val="18"/>
                <w:szCs w:val="18"/>
              </w:rPr>
            </w:pPr>
            <w:r w:rsidRPr="00162CB1">
              <w:rPr>
                <w:sz w:val="18"/>
                <w:szCs w:val="18"/>
              </w:rPr>
              <w:t>0.011</w:t>
            </w:r>
          </w:p>
        </w:tc>
        <w:tc>
          <w:tcPr>
            <w:tcW w:w="1024" w:type="dxa"/>
          </w:tcPr>
          <w:p w:rsidR="00513D34" w:rsidRPr="00162CB1" w:rsidRDefault="00513D34" w:rsidP="00E73225">
            <w:pPr>
              <w:tabs>
                <w:tab w:val="decimal" w:pos="312"/>
              </w:tabs>
              <w:jc w:val="both"/>
              <w:rPr>
                <w:sz w:val="18"/>
                <w:szCs w:val="18"/>
              </w:rPr>
            </w:pPr>
            <w:r w:rsidRPr="00162CB1">
              <w:rPr>
                <w:sz w:val="18"/>
                <w:szCs w:val="18"/>
              </w:rPr>
              <w:t>0.105</w:t>
            </w:r>
          </w:p>
        </w:tc>
      </w:tr>
      <w:tr w:rsidR="00513D34" w:rsidRPr="00162CB1" w:rsidTr="00E73225">
        <w:tc>
          <w:tcPr>
            <w:tcW w:w="2376" w:type="dxa"/>
          </w:tcPr>
          <w:p w:rsidR="00513D34" w:rsidRPr="00162CB1" w:rsidRDefault="00513D34" w:rsidP="00E73225">
            <w:pPr>
              <w:rPr>
                <w:sz w:val="18"/>
                <w:szCs w:val="18"/>
              </w:rPr>
            </w:pPr>
            <w:r>
              <w:rPr>
                <w:rFonts w:hint="eastAsia"/>
                <w:sz w:val="18"/>
                <w:szCs w:val="18"/>
              </w:rPr>
              <w:t>Stock compensation</w:t>
            </w:r>
            <w:r w:rsidRPr="00162CB1">
              <w:rPr>
                <w:sz w:val="18"/>
                <w:szCs w:val="18"/>
              </w:rPr>
              <w:t xml:space="preserve"> of CEO</w:t>
            </w:r>
          </w:p>
        </w:tc>
        <w:tc>
          <w:tcPr>
            <w:tcW w:w="1024" w:type="dxa"/>
          </w:tcPr>
          <w:p w:rsidR="00513D34" w:rsidRPr="00162CB1" w:rsidRDefault="00513D34" w:rsidP="00E73225">
            <w:pPr>
              <w:tabs>
                <w:tab w:val="decimal" w:pos="672"/>
              </w:tabs>
              <w:jc w:val="both"/>
              <w:rPr>
                <w:sz w:val="18"/>
                <w:szCs w:val="18"/>
              </w:rPr>
            </w:pPr>
            <w:r w:rsidRPr="00162CB1">
              <w:rPr>
                <w:sz w:val="18"/>
                <w:szCs w:val="18"/>
              </w:rPr>
              <w:t>14,605</w:t>
            </w:r>
          </w:p>
        </w:tc>
        <w:tc>
          <w:tcPr>
            <w:tcW w:w="1024" w:type="dxa"/>
          </w:tcPr>
          <w:p w:rsidR="00513D34" w:rsidRPr="00162CB1" w:rsidRDefault="00513D34" w:rsidP="00E73225">
            <w:pPr>
              <w:tabs>
                <w:tab w:val="decimal" w:pos="312"/>
              </w:tabs>
              <w:jc w:val="both"/>
              <w:rPr>
                <w:sz w:val="18"/>
                <w:szCs w:val="18"/>
              </w:rPr>
            </w:pPr>
            <w:r w:rsidRPr="00162CB1">
              <w:rPr>
                <w:sz w:val="18"/>
                <w:szCs w:val="18"/>
              </w:rPr>
              <w:t>0.154</w:t>
            </w:r>
          </w:p>
        </w:tc>
        <w:tc>
          <w:tcPr>
            <w:tcW w:w="1025" w:type="dxa"/>
          </w:tcPr>
          <w:p w:rsidR="00513D34" w:rsidRPr="00162CB1" w:rsidRDefault="00513D34" w:rsidP="00E73225">
            <w:pPr>
              <w:tabs>
                <w:tab w:val="decimal" w:pos="312"/>
              </w:tabs>
              <w:jc w:val="both"/>
              <w:rPr>
                <w:sz w:val="18"/>
                <w:szCs w:val="18"/>
              </w:rPr>
            </w:pPr>
            <w:r w:rsidRPr="00162CB1">
              <w:rPr>
                <w:sz w:val="18"/>
                <w:szCs w:val="18"/>
              </w:rPr>
              <w:t>0.477</w:t>
            </w:r>
          </w:p>
        </w:tc>
        <w:tc>
          <w:tcPr>
            <w:tcW w:w="1024" w:type="dxa"/>
          </w:tcPr>
          <w:p w:rsidR="00513D34" w:rsidRPr="00162CB1" w:rsidRDefault="00513D34" w:rsidP="00E73225">
            <w:pPr>
              <w:tabs>
                <w:tab w:val="decimal" w:pos="312"/>
              </w:tabs>
              <w:jc w:val="both"/>
              <w:rPr>
                <w:sz w:val="18"/>
                <w:szCs w:val="18"/>
              </w:rPr>
            </w:pPr>
            <w:r w:rsidRPr="00162CB1">
              <w:rPr>
                <w:sz w:val="18"/>
                <w:szCs w:val="18"/>
              </w:rPr>
              <w:t>0.010</w:t>
            </w:r>
          </w:p>
        </w:tc>
        <w:tc>
          <w:tcPr>
            <w:tcW w:w="1024" w:type="dxa"/>
          </w:tcPr>
          <w:p w:rsidR="00513D34" w:rsidRPr="00162CB1" w:rsidRDefault="00513D34" w:rsidP="00E73225">
            <w:pPr>
              <w:tabs>
                <w:tab w:val="decimal" w:pos="312"/>
              </w:tabs>
              <w:jc w:val="both"/>
              <w:rPr>
                <w:sz w:val="18"/>
                <w:szCs w:val="18"/>
              </w:rPr>
            </w:pPr>
            <w:r w:rsidRPr="00162CB1">
              <w:rPr>
                <w:sz w:val="18"/>
                <w:szCs w:val="18"/>
              </w:rPr>
              <w:t>0.029</w:t>
            </w:r>
          </w:p>
        </w:tc>
        <w:tc>
          <w:tcPr>
            <w:tcW w:w="1024" w:type="dxa"/>
          </w:tcPr>
          <w:p w:rsidR="00513D34" w:rsidRPr="00162CB1" w:rsidRDefault="00513D34" w:rsidP="00E73225">
            <w:pPr>
              <w:tabs>
                <w:tab w:val="decimal" w:pos="312"/>
              </w:tabs>
              <w:jc w:val="both"/>
              <w:rPr>
                <w:sz w:val="18"/>
                <w:szCs w:val="18"/>
              </w:rPr>
            </w:pPr>
            <w:r w:rsidRPr="00162CB1">
              <w:rPr>
                <w:sz w:val="18"/>
                <w:szCs w:val="18"/>
              </w:rPr>
              <w:t>0.087</w:t>
            </w:r>
          </w:p>
        </w:tc>
      </w:tr>
    </w:tbl>
    <w:p w:rsidR="00513D34" w:rsidRDefault="00513D34" w:rsidP="00513D34">
      <w:pPr>
        <w:snapToGrid w:val="0"/>
        <w:spacing w:line="480" w:lineRule="auto"/>
        <w:jc w:val="both"/>
        <w:sectPr w:rsidR="00513D34">
          <w:pgSz w:w="11906" w:h="16838"/>
          <w:pgMar w:top="1440" w:right="1800" w:bottom="1440" w:left="1800" w:header="851" w:footer="992" w:gutter="0"/>
          <w:cols w:space="425"/>
          <w:docGrid w:type="lines" w:linePitch="360"/>
        </w:sectPr>
      </w:pPr>
    </w:p>
    <w:p w:rsidR="00513D34" w:rsidRPr="00484771" w:rsidRDefault="00513D34" w:rsidP="00513D34">
      <w:pPr>
        <w:rPr>
          <w:b/>
        </w:rPr>
      </w:pPr>
      <w:r w:rsidRPr="00484771">
        <w:rPr>
          <w:b/>
        </w:rPr>
        <w:lastRenderedPageBreak/>
        <w:t>Table 3 Univariate Analysis-Full Sample</w:t>
      </w:r>
    </w:p>
    <w:p w:rsidR="00513D34" w:rsidRPr="0097764C" w:rsidRDefault="00513D34" w:rsidP="00513D34">
      <w:pPr>
        <w:spacing w:line="280" w:lineRule="exact"/>
        <w:jc w:val="both"/>
      </w:pPr>
      <w:r>
        <w:rPr>
          <w:rFonts w:hint="eastAsia"/>
        </w:rPr>
        <w:t>This table presents univariate results for testing the difference in the probability of bad news and abnormal returns between management forecasts that fall in the repurchase event window versus those that fall outside the event window.</w:t>
      </w:r>
    </w:p>
    <w:tbl>
      <w:tblPr>
        <w:tblStyle w:val="a3"/>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362"/>
        <w:gridCol w:w="1390"/>
        <w:gridCol w:w="1390"/>
        <w:gridCol w:w="1614"/>
        <w:gridCol w:w="1166"/>
      </w:tblGrid>
      <w:tr w:rsidR="00513D34" w:rsidRPr="000955B5" w:rsidTr="00E73225">
        <w:tc>
          <w:tcPr>
            <w:tcW w:w="2802" w:type="dxa"/>
            <w:gridSpan w:val="2"/>
            <w:tcBorders>
              <w:top w:val="single" w:sz="4" w:space="0" w:color="auto"/>
              <w:bottom w:val="single" w:sz="4" w:space="0" w:color="auto"/>
            </w:tcBorders>
          </w:tcPr>
          <w:p w:rsidR="00513D34" w:rsidRPr="000955B5" w:rsidRDefault="00513D34" w:rsidP="00E73225">
            <w:r w:rsidRPr="000955B5">
              <w:t>Variables</w:t>
            </w:r>
          </w:p>
        </w:tc>
        <w:tc>
          <w:tcPr>
            <w:tcW w:w="1390" w:type="dxa"/>
            <w:tcBorders>
              <w:top w:val="single" w:sz="4" w:space="0" w:color="auto"/>
              <w:bottom w:val="single" w:sz="4" w:space="0" w:color="auto"/>
            </w:tcBorders>
          </w:tcPr>
          <w:p w:rsidR="00513D34" w:rsidRPr="000955B5" w:rsidRDefault="00513D34" w:rsidP="00E73225">
            <w:pPr>
              <w:jc w:val="center"/>
            </w:pPr>
            <w:r w:rsidRPr="000955B5">
              <w:t>Within</w:t>
            </w:r>
          </w:p>
        </w:tc>
        <w:tc>
          <w:tcPr>
            <w:tcW w:w="1390" w:type="dxa"/>
            <w:tcBorders>
              <w:top w:val="single" w:sz="4" w:space="0" w:color="auto"/>
              <w:bottom w:val="single" w:sz="4" w:space="0" w:color="auto"/>
            </w:tcBorders>
          </w:tcPr>
          <w:p w:rsidR="00513D34" w:rsidRPr="000955B5" w:rsidRDefault="00513D34" w:rsidP="00E73225">
            <w:pPr>
              <w:jc w:val="center"/>
            </w:pPr>
            <w:r w:rsidRPr="000955B5">
              <w:t>Outside</w:t>
            </w:r>
          </w:p>
        </w:tc>
        <w:tc>
          <w:tcPr>
            <w:tcW w:w="1614" w:type="dxa"/>
            <w:tcBorders>
              <w:top w:val="single" w:sz="4" w:space="0" w:color="auto"/>
              <w:bottom w:val="single" w:sz="4" w:space="0" w:color="auto"/>
            </w:tcBorders>
          </w:tcPr>
          <w:p w:rsidR="00513D34" w:rsidRPr="000955B5" w:rsidRDefault="00513D34" w:rsidP="00E73225">
            <w:pPr>
              <w:jc w:val="center"/>
            </w:pPr>
            <w:r w:rsidRPr="000955B5">
              <w:t>Difference</w:t>
            </w:r>
          </w:p>
        </w:tc>
        <w:tc>
          <w:tcPr>
            <w:tcW w:w="1166" w:type="dxa"/>
            <w:tcBorders>
              <w:top w:val="single" w:sz="4" w:space="0" w:color="auto"/>
              <w:bottom w:val="single" w:sz="4" w:space="0" w:color="auto"/>
            </w:tcBorders>
          </w:tcPr>
          <w:p w:rsidR="00513D34" w:rsidRPr="000955B5" w:rsidRDefault="00513D34" w:rsidP="00E73225">
            <w:pPr>
              <w:jc w:val="center"/>
            </w:pPr>
            <w:r w:rsidRPr="009615B3">
              <w:rPr>
                <w:i/>
              </w:rPr>
              <w:t>t</w:t>
            </w:r>
            <w:r w:rsidRPr="000955B5">
              <w:t>-value</w:t>
            </w:r>
          </w:p>
        </w:tc>
      </w:tr>
      <w:tr w:rsidR="00513D34" w:rsidRPr="000955B5" w:rsidTr="00E73225">
        <w:tc>
          <w:tcPr>
            <w:tcW w:w="1440" w:type="dxa"/>
            <w:tcBorders>
              <w:top w:val="single" w:sz="4" w:space="0" w:color="auto"/>
              <w:right w:val="nil"/>
            </w:tcBorders>
          </w:tcPr>
          <w:p w:rsidR="00513D34" w:rsidRPr="000955B5" w:rsidRDefault="00513D34" w:rsidP="00E73225">
            <w:r w:rsidRPr="000955B5">
              <w:t>Prob(BN)</w:t>
            </w:r>
          </w:p>
        </w:tc>
        <w:tc>
          <w:tcPr>
            <w:tcW w:w="1362" w:type="dxa"/>
            <w:tcBorders>
              <w:top w:val="single" w:sz="4" w:space="0" w:color="auto"/>
              <w:left w:val="nil"/>
              <w:bottom w:val="nil"/>
            </w:tcBorders>
          </w:tcPr>
          <w:p w:rsidR="00513D34" w:rsidRPr="000955B5" w:rsidRDefault="00513D34" w:rsidP="00E73225">
            <w:r>
              <w:rPr>
                <w:rFonts w:hint="eastAsia"/>
              </w:rPr>
              <w:t>Mean</w:t>
            </w:r>
          </w:p>
        </w:tc>
        <w:tc>
          <w:tcPr>
            <w:tcW w:w="1390" w:type="dxa"/>
            <w:tcBorders>
              <w:top w:val="single" w:sz="4" w:space="0" w:color="auto"/>
            </w:tcBorders>
          </w:tcPr>
          <w:p w:rsidR="00513D34" w:rsidRPr="000955B5" w:rsidRDefault="00513D34" w:rsidP="00E73225">
            <w:pPr>
              <w:tabs>
                <w:tab w:val="decimal" w:pos="360"/>
              </w:tabs>
              <w:jc w:val="both"/>
              <w:rPr>
                <w:szCs w:val="24"/>
              </w:rPr>
            </w:pPr>
            <w:r w:rsidRPr="000955B5">
              <w:rPr>
                <w:szCs w:val="24"/>
              </w:rPr>
              <w:t>0.5306</w:t>
            </w:r>
          </w:p>
        </w:tc>
        <w:tc>
          <w:tcPr>
            <w:tcW w:w="1390" w:type="dxa"/>
            <w:tcBorders>
              <w:top w:val="single" w:sz="4" w:space="0" w:color="auto"/>
            </w:tcBorders>
          </w:tcPr>
          <w:p w:rsidR="00513D34" w:rsidRPr="000955B5" w:rsidRDefault="00513D34" w:rsidP="00E73225">
            <w:pPr>
              <w:tabs>
                <w:tab w:val="decimal" w:pos="360"/>
              </w:tabs>
              <w:jc w:val="both"/>
              <w:rPr>
                <w:szCs w:val="24"/>
              </w:rPr>
            </w:pPr>
            <w:r w:rsidRPr="000955B5">
              <w:rPr>
                <w:szCs w:val="24"/>
              </w:rPr>
              <w:t>0.4707</w:t>
            </w:r>
          </w:p>
        </w:tc>
        <w:tc>
          <w:tcPr>
            <w:tcW w:w="1614" w:type="dxa"/>
            <w:tcBorders>
              <w:top w:val="single" w:sz="4" w:space="0" w:color="auto"/>
            </w:tcBorders>
          </w:tcPr>
          <w:p w:rsidR="00513D34" w:rsidRPr="000955B5" w:rsidRDefault="00513D34" w:rsidP="00E73225">
            <w:pPr>
              <w:tabs>
                <w:tab w:val="decimal" w:pos="360"/>
              </w:tabs>
              <w:jc w:val="both"/>
              <w:rPr>
                <w:szCs w:val="24"/>
              </w:rPr>
            </w:pPr>
            <w:r w:rsidRPr="000955B5">
              <w:rPr>
                <w:szCs w:val="24"/>
              </w:rPr>
              <w:t>0.0599***</w:t>
            </w:r>
          </w:p>
        </w:tc>
        <w:tc>
          <w:tcPr>
            <w:tcW w:w="1166" w:type="dxa"/>
            <w:tcBorders>
              <w:top w:val="single" w:sz="4" w:space="0" w:color="auto"/>
            </w:tcBorders>
          </w:tcPr>
          <w:p w:rsidR="00513D34" w:rsidRPr="000955B5" w:rsidRDefault="00513D34" w:rsidP="00E73225">
            <w:pPr>
              <w:tabs>
                <w:tab w:val="decimal" w:pos="360"/>
              </w:tabs>
            </w:pPr>
            <w:r w:rsidRPr="000955B5">
              <w:t>3.17</w:t>
            </w:r>
          </w:p>
        </w:tc>
      </w:tr>
      <w:tr w:rsidR="00513D34" w:rsidRPr="000955B5" w:rsidTr="00E73225">
        <w:tc>
          <w:tcPr>
            <w:tcW w:w="1440" w:type="dxa"/>
            <w:tcBorders>
              <w:right w:val="nil"/>
            </w:tcBorders>
          </w:tcPr>
          <w:p w:rsidR="00513D34" w:rsidRPr="000955B5" w:rsidRDefault="00513D34" w:rsidP="00E73225"/>
        </w:tc>
        <w:tc>
          <w:tcPr>
            <w:tcW w:w="1362" w:type="dxa"/>
            <w:tcBorders>
              <w:top w:val="nil"/>
              <w:left w:val="nil"/>
              <w:bottom w:val="nil"/>
            </w:tcBorders>
          </w:tcPr>
          <w:p w:rsidR="00513D34" w:rsidRPr="000955B5" w:rsidRDefault="00513D34" w:rsidP="00E73225"/>
        </w:tc>
        <w:tc>
          <w:tcPr>
            <w:tcW w:w="1390" w:type="dxa"/>
          </w:tcPr>
          <w:p w:rsidR="00513D34" w:rsidRPr="000955B5" w:rsidRDefault="00513D34" w:rsidP="00E73225">
            <w:pPr>
              <w:tabs>
                <w:tab w:val="decimal" w:pos="360"/>
              </w:tabs>
              <w:jc w:val="both"/>
              <w:rPr>
                <w:szCs w:val="24"/>
              </w:rPr>
            </w:pPr>
          </w:p>
        </w:tc>
        <w:tc>
          <w:tcPr>
            <w:tcW w:w="1390" w:type="dxa"/>
          </w:tcPr>
          <w:p w:rsidR="00513D34" w:rsidRPr="000955B5" w:rsidRDefault="00513D34" w:rsidP="00E73225">
            <w:pPr>
              <w:tabs>
                <w:tab w:val="decimal" w:pos="360"/>
              </w:tabs>
              <w:jc w:val="both"/>
              <w:rPr>
                <w:szCs w:val="24"/>
              </w:rPr>
            </w:pPr>
          </w:p>
        </w:tc>
        <w:tc>
          <w:tcPr>
            <w:tcW w:w="1614" w:type="dxa"/>
          </w:tcPr>
          <w:p w:rsidR="00513D34" w:rsidRPr="000955B5" w:rsidRDefault="00513D34" w:rsidP="00E73225">
            <w:pPr>
              <w:tabs>
                <w:tab w:val="decimal" w:pos="360"/>
              </w:tabs>
              <w:jc w:val="both"/>
              <w:rPr>
                <w:szCs w:val="24"/>
              </w:rPr>
            </w:pPr>
          </w:p>
        </w:tc>
        <w:tc>
          <w:tcPr>
            <w:tcW w:w="1166" w:type="dxa"/>
          </w:tcPr>
          <w:p w:rsidR="00513D34" w:rsidRPr="000955B5" w:rsidRDefault="00513D34" w:rsidP="00E73225">
            <w:pPr>
              <w:tabs>
                <w:tab w:val="decimal" w:pos="360"/>
              </w:tabs>
            </w:pPr>
          </w:p>
        </w:tc>
      </w:tr>
      <w:tr w:rsidR="00513D34" w:rsidRPr="000955B5" w:rsidTr="00E73225">
        <w:tc>
          <w:tcPr>
            <w:tcW w:w="1440" w:type="dxa"/>
            <w:tcBorders>
              <w:right w:val="nil"/>
            </w:tcBorders>
          </w:tcPr>
          <w:p w:rsidR="00513D34" w:rsidRPr="000955B5" w:rsidRDefault="00513D34" w:rsidP="00E73225">
            <w:r>
              <w:rPr>
                <w:rFonts w:hint="eastAsia"/>
              </w:rPr>
              <w:t>AR</w:t>
            </w:r>
          </w:p>
        </w:tc>
        <w:tc>
          <w:tcPr>
            <w:tcW w:w="1362" w:type="dxa"/>
            <w:tcBorders>
              <w:top w:val="nil"/>
              <w:left w:val="nil"/>
              <w:bottom w:val="nil"/>
            </w:tcBorders>
          </w:tcPr>
          <w:p w:rsidR="00513D34" w:rsidRPr="000955B5" w:rsidRDefault="00513D34" w:rsidP="00E73225">
            <w:r>
              <w:rPr>
                <w:rFonts w:hint="eastAsia"/>
              </w:rPr>
              <w:t>Mean</w:t>
            </w:r>
          </w:p>
        </w:tc>
        <w:tc>
          <w:tcPr>
            <w:tcW w:w="1390" w:type="dxa"/>
          </w:tcPr>
          <w:p w:rsidR="00513D34" w:rsidRPr="000955B5" w:rsidRDefault="00513D34" w:rsidP="00E73225">
            <w:pPr>
              <w:tabs>
                <w:tab w:val="decimal" w:pos="360"/>
              </w:tabs>
              <w:jc w:val="both"/>
              <w:rPr>
                <w:szCs w:val="24"/>
              </w:rPr>
            </w:pPr>
            <w:r w:rsidRPr="000955B5">
              <w:rPr>
                <w:szCs w:val="24"/>
              </w:rPr>
              <w:t>-0.0167</w:t>
            </w:r>
          </w:p>
        </w:tc>
        <w:tc>
          <w:tcPr>
            <w:tcW w:w="1390" w:type="dxa"/>
          </w:tcPr>
          <w:p w:rsidR="00513D34" w:rsidRPr="000955B5" w:rsidRDefault="00513D34" w:rsidP="00E73225">
            <w:pPr>
              <w:tabs>
                <w:tab w:val="decimal" w:pos="360"/>
              </w:tabs>
              <w:jc w:val="both"/>
              <w:rPr>
                <w:szCs w:val="24"/>
              </w:rPr>
            </w:pPr>
            <w:r w:rsidRPr="000955B5">
              <w:rPr>
                <w:szCs w:val="24"/>
              </w:rPr>
              <w:t>-0.0033</w:t>
            </w:r>
          </w:p>
        </w:tc>
        <w:tc>
          <w:tcPr>
            <w:tcW w:w="1614" w:type="dxa"/>
          </w:tcPr>
          <w:p w:rsidR="00513D34" w:rsidRPr="000955B5" w:rsidRDefault="00513D34" w:rsidP="00E73225">
            <w:pPr>
              <w:tabs>
                <w:tab w:val="decimal" w:pos="360"/>
              </w:tabs>
              <w:jc w:val="both"/>
              <w:rPr>
                <w:szCs w:val="24"/>
              </w:rPr>
            </w:pPr>
            <w:r w:rsidRPr="000955B5">
              <w:rPr>
                <w:szCs w:val="24"/>
              </w:rPr>
              <w:t>-0.0134***</w:t>
            </w:r>
          </w:p>
        </w:tc>
        <w:tc>
          <w:tcPr>
            <w:tcW w:w="1166" w:type="dxa"/>
          </w:tcPr>
          <w:p w:rsidR="00513D34" w:rsidRPr="000955B5" w:rsidRDefault="00513D34" w:rsidP="00E73225">
            <w:pPr>
              <w:tabs>
                <w:tab w:val="decimal" w:pos="360"/>
              </w:tabs>
            </w:pPr>
            <w:r w:rsidRPr="000955B5">
              <w:t>4.36</w:t>
            </w:r>
          </w:p>
        </w:tc>
      </w:tr>
      <w:tr w:rsidR="00513D34" w:rsidRPr="000955B5" w:rsidTr="00E73225">
        <w:tc>
          <w:tcPr>
            <w:tcW w:w="1440" w:type="dxa"/>
            <w:tcBorders>
              <w:right w:val="nil"/>
            </w:tcBorders>
          </w:tcPr>
          <w:p w:rsidR="00513D34" w:rsidRPr="000955B5" w:rsidRDefault="00513D34" w:rsidP="00E73225"/>
        </w:tc>
        <w:tc>
          <w:tcPr>
            <w:tcW w:w="1362" w:type="dxa"/>
            <w:tcBorders>
              <w:top w:val="nil"/>
              <w:left w:val="nil"/>
              <w:bottom w:val="nil"/>
            </w:tcBorders>
          </w:tcPr>
          <w:p w:rsidR="00513D34" w:rsidRPr="000955B5" w:rsidRDefault="00513D34" w:rsidP="00E73225">
            <w:r>
              <w:rPr>
                <w:rFonts w:hint="eastAsia"/>
              </w:rPr>
              <w:t>Median</w:t>
            </w:r>
          </w:p>
        </w:tc>
        <w:tc>
          <w:tcPr>
            <w:tcW w:w="1390" w:type="dxa"/>
          </w:tcPr>
          <w:p w:rsidR="00513D34" w:rsidRPr="000955B5" w:rsidRDefault="00513D34" w:rsidP="00E73225">
            <w:pPr>
              <w:tabs>
                <w:tab w:val="decimal" w:pos="360"/>
              </w:tabs>
              <w:jc w:val="both"/>
              <w:rPr>
                <w:szCs w:val="24"/>
              </w:rPr>
            </w:pPr>
            <w:r>
              <w:rPr>
                <w:szCs w:val="24"/>
              </w:rPr>
              <w:t>-0.0071</w:t>
            </w:r>
          </w:p>
        </w:tc>
        <w:tc>
          <w:tcPr>
            <w:tcW w:w="1390" w:type="dxa"/>
          </w:tcPr>
          <w:p w:rsidR="00513D34" w:rsidRPr="000955B5" w:rsidRDefault="00513D34" w:rsidP="00E73225">
            <w:pPr>
              <w:tabs>
                <w:tab w:val="decimal" w:pos="360"/>
              </w:tabs>
              <w:jc w:val="both"/>
              <w:rPr>
                <w:szCs w:val="24"/>
              </w:rPr>
            </w:pPr>
            <w:r>
              <w:rPr>
                <w:szCs w:val="24"/>
              </w:rPr>
              <w:t>0.0033</w:t>
            </w:r>
          </w:p>
        </w:tc>
        <w:tc>
          <w:tcPr>
            <w:tcW w:w="1614" w:type="dxa"/>
          </w:tcPr>
          <w:p w:rsidR="00513D34" w:rsidRPr="000955B5" w:rsidRDefault="00513D34" w:rsidP="00E73225">
            <w:pPr>
              <w:tabs>
                <w:tab w:val="decimal" w:pos="360"/>
              </w:tabs>
              <w:jc w:val="both"/>
              <w:rPr>
                <w:szCs w:val="24"/>
              </w:rPr>
            </w:pPr>
            <w:r>
              <w:rPr>
                <w:szCs w:val="24"/>
              </w:rPr>
              <w:t>-0.0105***</w:t>
            </w:r>
          </w:p>
        </w:tc>
        <w:tc>
          <w:tcPr>
            <w:tcW w:w="1166" w:type="dxa"/>
          </w:tcPr>
          <w:p w:rsidR="00513D34" w:rsidRPr="000955B5" w:rsidRDefault="00513D34" w:rsidP="00E73225">
            <w:pPr>
              <w:tabs>
                <w:tab w:val="decimal" w:pos="360"/>
              </w:tabs>
            </w:pPr>
            <w:r w:rsidRPr="000955B5">
              <w:t>4.74</w:t>
            </w:r>
          </w:p>
        </w:tc>
      </w:tr>
      <w:tr w:rsidR="00513D34" w:rsidRPr="000955B5" w:rsidTr="00E73225">
        <w:tc>
          <w:tcPr>
            <w:tcW w:w="1440" w:type="dxa"/>
            <w:tcBorders>
              <w:right w:val="nil"/>
            </w:tcBorders>
          </w:tcPr>
          <w:p w:rsidR="00513D34" w:rsidRPr="000955B5" w:rsidRDefault="00513D34" w:rsidP="00E73225">
            <w:r w:rsidRPr="000955B5">
              <w:t>N</w:t>
            </w:r>
          </w:p>
        </w:tc>
        <w:tc>
          <w:tcPr>
            <w:tcW w:w="1362" w:type="dxa"/>
            <w:tcBorders>
              <w:top w:val="nil"/>
              <w:left w:val="nil"/>
              <w:bottom w:val="single" w:sz="4" w:space="0" w:color="auto"/>
            </w:tcBorders>
          </w:tcPr>
          <w:p w:rsidR="00513D34" w:rsidRPr="000955B5" w:rsidRDefault="00513D34" w:rsidP="00E73225"/>
        </w:tc>
        <w:tc>
          <w:tcPr>
            <w:tcW w:w="1390" w:type="dxa"/>
          </w:tcPr>
          <w:p w:rsidR="00513D34" w:rsidRPr="000955B5" w:rsidRDefault="00513D34" w:rsidP="00E73225">
            <w:pPr>
              <w:jc w:val="center"/>
            </w:pPr>
            <w:r>
              <w:rPr>
                <w:rFonts w:hint="eastAsia"/>
              </w:rPr>
              <w:t>735</w:t>
            </w:r>
          </w:p>
        </w:tc>
        <w:tc>
          <w:tcPr>
            <w:tcW w:w="1390" w:type="dxa"/>
          </w:tcPr>
          <w:p w:rsidR="00513D34" w:rsidRPr="000955B5" w:rsidRDefault="00513D34" w:rsidP="00E73225">
            <w:pPr>
              <w:jc w:val="center"/>
            </w:pPr>
            <w:r>
              <w:rPr>
                <w:rFonts w:hint="eastAsia"/>
              </w:rPr>
              <w:t>13,870</w:t>
            </w:r>
          </w:p>
        </w:tc>
        <w:tc>
          <w:tcPr>
            <w:tcW w:w="1614" w:type="dxa"/>
          </w:tcPr>
          <w:p w:rsidR="00513D34" w:rsidRPr="000955B5" w:rsidRDefault="00513D34" w:rsidP="00E73225"/>
        </w:tc>
        <w:tc>
          <w:tcPr>
            <w:tcW w:w="1166" w:type="dxa"/>
          </w:tcPr>
          <w:p w:rsidR="00513D34" w:rsidRPr="000955B5" w:rsidRDefault="00513D34" w:rsidP="00E73225"/>
        </w:tc>
      </w:tr>
    </w:tbl>
    <w:p w:rsidR="00513D34" w:rsidRDefault="00513D34" w:rsidP="00513D34">
      <w:pPr>
        <w:sectPr w:rsidR="00513D34" w:rsidSect="00345850">
          <w:pgSz w:w="11906" w:h="16838"/>
          <w:pgMar w:top="1440" w:right="1800" w:bottom="1440" w:left="1800" w:header="851" w:footer="992" w:gutter="0"/>
          <w:cols w:space="425"/>
          <w:docGrid w:type="lines" w:linePitch="360"/>
        </w:sectPr>
      </w:pPr>
    </w:p>
    <w:p w:rsidR="00513D34" w:rsidRPr="00D759F4" w:rsidRDefault="00513D34" w:rsidP="00513D34">
      <w:pPr>
        <w:rPr>
          <w:b/>
          <w:szCs w:val="24"/>
        </w:rPr>
      </w:pPr>
      <w:r w:rsidRPr="00D759F4">
        <w:rPr>
          <w:b/>
          <w:szCs w:val="24"/>
        </w:rPr>
        <w:lastRenderedPageBreak/>
        <w:t>Table 4 Univariate Analysis-</w:t>
      </w:r>
      <w:r w:rsidRPr="00D759F4">
        <w:rPr>
          <w:rFonts w:hint="eastAsia"/>
          <w:b/>
          <w:szCs w:val="24"/>
        </w:rPr>
        <w:t xml:space="preserve">Corporate </w:t>
      </w:r>
      <w:r w:rsidRPr="00D759F4">
        <w:rPr>
          <w:b/>
          <w:szCs w:val="24"/>
        </w:rPr>
        <w:t>Governance Effect</w:t>
      </w:r>
    </w:p>
    <w:p w:rsidR="00513D34" w:rsidRPr="00D759F4" w:rsidRDefault="00513D34" w:rsidP="00513D34">
      <w:pPr>
        <w:spacing w:line="260" w:lineRule="exact"/>
        <w:jc w:val="both"/>
        <w:rPr>
          <w:sz w:val="22"/>
          <w:szCs w:val="22"/>
        </w:rPr>
      </w:pPr>
      <w:r w:rsidRPr="00D759F4">
        <w:rPr>
          <w:rFonts w:hint="eastAsia"/>
          <w:sz w:val="22"/>
          <w:szCs w:val="22"/>
        </w:rPr>
        <w:t xml:space="preserve">This table examines the influences of corporate governance on the difference of probability of bad news and abnormal returns between management forecasts that fall in the repurchase event window versus those that fall outside the event window. Management forecasts issued within and outside the repurchase event window are classified into three groups by institutional ownership, analyst coverage, and outside directors in Panel A, B and C, respectively. Management forecasts with the highest (middle/lowest) one third corporate governance variable are classified as </w:t>
      </w:r>
      <w:r w:rsidRPr="00D759F4">
        <w:rPr>
          <w:sz w:val="22"/>
          <w:szCs w:val="22"/>
        </w:rPr>
        <w:t>“</w:t>
      </w:r>
      <w:r w:rsidRPr="00D759F4">
        <w:rPr>
          <w:rFonts w:hint="eastAsia"/>
          <w:sz w:val="22"/>
          <w:szCs w:val="22"/>
        </w:rPr>
        <w:t>High</w:t>
      </w:r>
      <w:r w:rsidRPr="00D759F4">
        <w:rPr>
          <w:sz w:val="22"/>
          <w:szCs w:val="22"/>
        </w:rPr>
        <w:t>”</w:t>
      </w:r>
      <w:r w:rsidRPr="00D759F4">
        <w:rPr>
          <w:rFonts w:hint="eastAsia"/>
          <w:sz w:val="22"/>
          <w:szCs w:val="22"/>
        </w:rPr>
        <w:t xml:space="preserve"> (</w:t>
      </w:r>
      <w:r w:rsidRPr="00D759F4">
        <w:rPr>
          <w:sz w:val="22"/>
          <w:szCs w:val="22"/>
        </w:rPr>
        <w:t>“</w:t>
      </w:r>
      <w:r w:rsidRPr="00D759F4">
        <w:rPr>
          <w:rFonts w:hint="eastAsia"/>
          <w:sz w:val="22"/>
          <w:szCs w:val="22"/>
        </w:rPr>
        <w:t>Middle</w:t>
      </w:r>
      <w:r w:rsidRPr="00D759F4">
        <w:rPr>
          <w:sz w:val="22"/>
          <w:szCs w:val="22"/>
        </w:rPr>
        <w:t>”</w:t>
      </w:r>
      <w:r w:rsidRPr="00D759F4">
        <w:rPr>
          <w:rFonts w:hint="eastAsia"/>
          <w:sz w:val="22"/>
          <w:szCs w:val="22"/>
        </w:rPr>
        <w:t>/</w:t>
      </w:r>
      <w:r w:rsidRPr="00D759F4">
        <w:rPr>
          <w:sz w:val="22"/>
          <w:szCs w:val="22"/>
        </w:rPr>
        <w:t>“</w:t>
      </w:r>
      <w:r w:rsidRPr="00D759F4">
        <w:rPr>
          <w:rFonts w:hint="eastAsia"/>
          <w:sz w:val="22"/>
          <w:szCs w:val="22"/>
        </w:rPr>
        <w:t>Low</w:t>
      </w:r>
      <w:r w:rsidRPr="00D759F4">
        <w:rPr>
          <w:sz w:val="22"/>
          <w:szCs w:val="22"/>
        </w:rPr>
        <w:t>”</w:t>
      </w:r>
      <w:r w:rsidRPr="00D759F4">
        <w:rPr>
          <w:rFonts w:hint="eastAsia"/>
          <w:sz w:val="22"/>
          <w:szCs w:val="22"/>
        </w:rPr>
        <w:t>) group.</w:t>
      </w:r>
      <w:r>
        <w:rPr>
          <w:rFonts w:hint="eastAsia"/>
          <w:sz w:val="22"/>
          <w:szCs w:val="22"/>
        </w:rPr>
        <w:t xml:space="preserve"> </w:t>
      </w:r>
      <w:r w:rsidRPr="002A7225">
        <w:rPr>
          <w:sz w:val="20"/>
        </w:rPr>
        <w:t xml:space="preserve">Differences in means and medians are assessed using </w:t>
      </w:r>
      <w:r w:rsidRPr="002A7225">
        <w:rPr>
          <w:i/>
          <w:sz w:val="20"/>
        </w:rPr>
        <w:t>t</w:t>
      </w:r>
      <w:r w:rsidRPr="002A7225">
        <w:rPr>
          <w:sz w:val="20"/>
        </w:rPr>
        <w:t xml:space="preserve">-tests and Wilcoxon rank-sum tests. </w:t>
      </w:r>
      <w:r>
        <w:rPr>
          <w:rFonts w:hint="eastAsia"/>
          <w:sz w:val="20"/>
        </w:rPr>
        <w:t xml:space="preserve">** and </w:t>
      </w:r>
      <w:r w:rsidRPr="002A7225">
        <w:rPr>
          <w:sz w:val="20"/>
        </w:rPr>
        <w:t>***</w:t>
      </w:r>
      <w:r w:rsidRPr="002A7225">
        <w:rPr>
          <w:rFonts w:hint="eastAsia"/>
          <w:sz w:val="20"/>
        </w:rPr>
        <w:t xml:space="preserve"> </w:t>
      </w:r>
      <w:r w:rsidRPr="002A7225">
        <w:rPr>
          <w:sz w:val="20"/>
        </w:rPr>
        <w:t xml:space="preserve">represent </w:t>
      </w:r>
      <w:r w:rsidRPr="002A7225">
        <w:rPr>
          <w:rFonts w:hint="eastAsia"/>
          <w:sz w:val="20"/>
        </w:rPr>
        <w:t xml:space="preserve">the </w:t>
      </w:r>
      <w:r>
        <w:rPr>
          <w:rFonts w:hint="eastAsia"/>
          <w:sz w:val="20"/>
        </w:rPr>
        <w:t xml:space="preserve">5% and </w:t>
      </w:r>
      <w:r w:rsidRPr="002A7225">
        <w:rPr>
          <w:sz w:val="20"/>
        </w:rPr>
        <w:t>1%</w:t>
      </w:r>
      <w:r w:rsidRPr="002A7225">
        <w:rPr>
          <w:rFonts w:hint="eastAsia"/>
          <w:sz w:val="20"/>
        </w:rPr>
        <w:t xml:space="preserve"> </w:t>
      </w:r>
      <w:r w:rsidRPr="002A7225">
        <w:rPr>
          <w:sz w:val="20"/>
        </w:rPr>
        <w:t>significance level</w:t>
      </w:r>
      <w:r>
        <w:rPr>
          <w:rFonts w:hint="eastAsia"/>
          <w:sz w:val="20"/>
        </w:rPr>
        <w:t>s, respectively</w:t>
      </w:r>
      <w:r w:rsidRPr="002A7225">
        <w:rPr>
          <w:sz w:val="20"/>
        </w:rPr>
        <w:t>.</w:t>
      </w:r>
    </w:p>
    <w:tbl>
      <w:tblPr>
        <w:tblW w:w="14001" w:type="dxa"/>
        <w:tblInd w:w="13" w:type="dxa"/>
        <w:tblCellMar>
          <w:left w:w="28" w:type="dxa"/>
          <w:right w:w="28" w:type="dxa"/>
        </w:tblCellMar>
        <w:tblLook w:val="04A0" w:firstRow="1" w:lastRow="0" w:firstColumn="1" w:lastColumn="0" w:noHBand="0" w:noVBand="1"/>
      </w:tblPr>
      <w:tblGrid>
        <w:gridCol w:w="978"/>
        <w:gridCol w:w="995"/>
        <w:gridCol w:w="946"/>
        <w:gridCol w:w="947"/>
        <w:gridCol w:w="1242"/>
        <w:gridCol w:w="725"/>
        <w:gridCol w:w="197"/>
        <w:gridCol w:w="946"/>
        <w:gridCol w:w="946"/>
        <w:gridCol w:w="1242"/>
        <w:gridCol w:w="717"/>
        <w:gridCol w:w="197"/>
        <w:gridCol w:w="946"/>
        <w:gridCol w:w="946"/>
        <w:gridCol w:w="1242"/>
        <w:gridCol w:w="789"/>
      </w:tblGrid>
      <w:tr w:rsidR="00513D34" w:rsidRPr="005F1F09" w:rsidTr="00E73225">
        <w:trPr>
          <w:trHeight w:hRule="exact" w:val="340"/>
        </w:trPr>
        <w:tc>
          <w:tcPr>
            <w:tcW w:w="1973" w:type="dxa"/>
            <w:gridSpan w:val="2"/>
            <w:tcBorders>
              <w:top w:val="single" w:sz="4" w:space="0" w:color="auto"/>
              <w:bottom w:val="nil"/>
              <w:right w:val="nil"/>
            </w:tcBorders>
            <w:shd w:val="clear" w:color="auto" w:fill="auto"/>
            <w:noWrap/>
            <w:vAlign w:val="center"/>
            <w:hideMark/>
          </w:tcPr>
          <w:p w:rsidR="00513D34" w:rsidRPr="005F1F09" w:rsidRDefault="00513D34" w:rsidP="00E73225">
            <w:pPr>
              <w:rPr>
                <w:color w:val="000000"/>
                <w:sz w:val="22"/>
              </w:rPr>
            </w:pPr>
            <w:r w:rsidRPr="005F1F09">
              <w:rPr>
                <w:color w:val="000000"/>
                <w:sz w:val="22"/>
              </w:rPr>
              <w:t>Variables</w:t>
            </w:r>
          </w:p>
        </w:tc>
        <w:tc>
          <w:tcPr>
            <w:tcW w:w="3860" w:type="dxa"/>
            <w:gridSpan w:val="4"/>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Low</w:t>
            </w:r>
          </w:p>
        </w:tc>
        <w:tc>
          <w:tcPr>
            <w:tcW w:w="197" w:type="dxa"/>
            <w:tcBorders>
              <w:top w:val="single" w:sz="4" w:space="0" w:color="auto"/>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3851" w:type="dxa"/>
            <w:gridSpan w:val="4"/>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Middle</w:t>
            </w:r>
          </w:p>
        </w:tc>
        <w:tc>
          <w:tcPr>
            <w:tcW w:w="197" w:type="dxa"/>
            <w:tcBorders>
              <w:top w:val="single" w:sz="4" w:space="0" w:color="auto"/>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3923" w:type="dxa"/>
            <w:gridSpan w:val="4"/>
            <w:tcBorders>
              <w:top w:val="single" w:sz="4" w:space="0" w:color="auto"/>
              <w:left w:val="nil"/>
              <w:bottom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High</w:t>
            </w:r>
          </w:p>
        </w:tc>
      </w:tr>
      <w:tr w:rsidR="00513D34" w:rsidRPr="005F1F09" w:rsidTr="00E73225">
        <w:trPr>
          <w:trHeight w:hRule="exact" w:val="340"/>
        </w:trPr>
        <w:tc>
          <w:tcPr>
            <w:tcW w:w="1973" w:type="dxa"/>
            <w:gridSpan w:val="2"/>
            <w:tcBorders>
              <w:top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Within</w:t>
            </w:r>
          </w:p>
        </w:tc>
        <w:tc>
          <w:tcPr>
            <w:tcW w:w="947" w:type="dxa"/>
            <w:tcBorders>
              <w:top w:val="single" w:sz="4" w:space="0" w:color="auto"/>
              <w:left w:val="nil"/>
              <w:bottom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Outside</w:t>
            </w:r>
          </w:p>
        </w:tc>
        <w:tc>
          <w:tcPr>
            <w:tcW w:w="1242" w:type="dxa"/>
            <w:tcBorders>
              <w:top w:val="single" w:sz="4" w:space="0" w:color="auto"/>
              <w:bottom w:val="single" w:sz="4" w:space="0" w:color="auto"/>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Diff</w:t>
            </w:r>
          </w:p>
        </w:tc>
        <w:tc>
          <w:tcPr>
            <w:tcW w:w="725" w:type="dxa"/>
            <w:tcBorders>
              <w:top w:val="single" w:sz="4" w:space="0" w:color="auto"/>
              <w:bottom w:val="single" w:sz="4" w:space="0" w:color="auto"/>
            </w:tcBorders>
            <w:shd w:val="clear" w:color="auto" w:fill="auto"/>
            <w:noWrap/>
            <w:vAlign w:val="center"/>
            <w:hideMark/>
          </w:tcPr>
          <w:p w:rsidR="00513D34" w:rsidRPr="005F1F09" w:rsidRDefault="00513D34" w:rsidP="00E73225">
            <w:pPr>
              <w:jc w:val="center"/>
              <w:rPr>
                <w:color w:val="000000"/>
                <w:sz w:val="22"/>
              </w:rPr>
            </w:pPr>
            <w:r w:rsidRPr="005F1F09">
              <w:rPr>
                <w:i/>
                <w:iCs/>
                <w:color w:val="000000"/>
                <w:sz w:val="22"/>
              </w:rPr>
              <w:t>t</w:t>
            </w:r>
            <w:r w:rsidRPr="005F1F09">
              <w:rPr>
                <w:color w:val="000000"/>
                <w:sz w:val="22"/>
              </w:rPr>
              <w:t>-value</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Within</w:t>
            </w:r>
          </w:p>
        </w:tc>
        <w:tc>
          <w:tcPr>
            <w:tcW w:w="946" w:type="dxa"/>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Outside</w:t>
            </w:r>
          </w:p>
        </w:tc>
        <w:tc>
          <w:tcPr>
            <w:tcW w:w="1242" w:type="dxa"/>
            <w:tcBorders>
              <w:top w:val="single" w:sz="4" w:space="0" w:color="auto"/>
              <w:left w:val="nil"/>
              <w:bottom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Diff</w:t>
            </w:r>
          </w:p>
        </w:tc>
        <w:tc>
          <w:tcPr>
            <w:tcW w:w="717" w:type="dxa"/>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i/>
                <w:iCs/>
                <w:color w:val="000000"/>
                <w:sz w:val="22"/>
              </w:rPr>
              <w:t>t</w:t>
            </w:r>
            <w:r w:rsidRPr="005F1F09">
              <w:rPr>
                <w:color w:val="000000"/>
                <w:sz w:val="22"/>
              </w:rPr>
              <w:t>-value</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Within</w:t>
            </w:r>
          </w:p>
        </w:tc>
        <w:tc>
          <w:tcPr>
            <w:tcW w:w="946" w:type="dxa"/>
            <w:tcBorders>
              <w:top w:val="single" w:sz="4" w:space="0" w:color="auto"/>
              <w:left w:val="nil"/>
              <w:bottom w:val="nil"/>
              <w:right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Outside</w:t>
            </w:r>
          </w:p>
        </w:tc>
        <w:tc>
          <w:tcPr>
            <w:tcW w:w="1242" w:type="dxa"/>
            <w:tcBorders>
              <w:top w:val="single" w:sz="4" w:space="0" w:color="auto"/>
              <w:left w:val="nil"/>
              <w:bottom w:val="nil"/>
            </w:tcBorders>
            <w:shd w:val="clear" w:color="auto" w:fill="auto"/>
            <w:noWrap/>
            <w:vAlign w:val="center"/>
            <w:hideMark/>
          </w:tcPr>
          <w:p w:rsidR="00513D34" w:rsidRPr="005F1F09" w:rsidRDefault="00513D34" w:rsidP="00E73225">
            <w:pPr>
              <w:jc w:val="center"/>
              <w:rPr>
                <w:color w:val="000000"/>
                <w:sz w:val="22"/>
              </w:rPr>
            </w:pPr>
            <w:r w:rsidRPr="005F1F09">
              <w:rPr>
                <w:color w:val="000000"/>
                <w:sz w:val="22"/>
              </w:rPr>
              <w:t>Diff</w:t>
            </w:r>
          </w:p>
        </w:tc>
        <w:tc>
          <w:tcPr>
            <w:tcW w:w="789" w:type="dxa"/>
            <w:tcBorders>
              <w:top w:val="single" w:sz="4" w:space="0" w:color="auto"/>
              <w:left w:val="nil"/>
              <w:bottom w:val="nil"/>
            </w:tcBorders>
            <w:shd w:val="clear" w:color="auto" w:fill="auto"/>
            <w:noWrap/>
            <w:vAlign w:val="center"/>
            <w:hideMark/>
          </w:tcPr>
          <w:p w:rsidR="00513D34" w:rsidRPr="005F1F09" w:rsidRDefault="00513D34" w:rsidP="00E73225">
            <w:pPr>
              <w:jc w:val="center"/>
              <w:rPr>
                <w:color w:val="000000"/>
                <w:sz w:val="22"/>
              </w:rPr>
            </w:pPr>
            <w:r w:rsidRPr="005F1F09">
              <w:rPr>
                <w:i/>
                <w:iCs/>
                <w:color w:val="000000"/>
                <w:sz w:val="22"/>
              </w:rPr>
              <w:t>t</w:t>
            </w:r>
            <w:r w:rsidRPr="005F1F09">
              <w:rPr>
                <w:color w:val="000000"/>
                <w:sz w:val="22"/>
              </w:rPr>
              <w:t>-value</w:t>
            </w:r>
          </w:p>
        </w:tc>
      </w:tr>
      <w:tr w:rsidR="00513D34" w:rsidRPr="005F1F09" w:rsidTr="00E73225">
        <w:trPr>
          <w:trHeight w:hRule="exact" w:val="340"/>
        </w:trPr>
        <w:tc>
          <w:tcPr>
            <w:tcW w:w="14001" w:type="dxa"/>
            <w:gridSpan w:val="16"/>
            <w:tcBorders>
              <w:top w:val="double" w:sz="6" w:space="0" w:color="auto"/>
              <w:bottom w:val="single" w:sz="4" w:space="0" w:color="auto"/>
            </w:tcBorders>
            <w:shd w:val="clear" w:color="auto" w:fill="auto"/>
            <w:noWrap/>
            <w:vAlign w:val="center"/>
            <w:hideMark/>
          </w:tcPr>
          <w:p w:rsidR="00513D34" w:rsidRPr="005F1F09" w:rsidRDefault="00513D34" w:rsidP="00E73225">
            <w:pPr>
              <w:jc w:val="center"/>
              <w:rPr>
                <w:i/>
                <w:color w:val="000000"/>
                <w:sz w:val="22"/>
              </w:rPr>
            </w:pPr>
            <w:r w:rsidRPr="005F1F09">
              <w:rPr>
                <w:i/>
                <w:color w:val="000000"/>
                <w:sz w:val="22"/>
              </w:rPr>
              <w:t>Panel A: Institutional Ownership Percentage</w:t>
            </w:r>
          </w:p>
        </w:tc>
      </w:tr>
      <w:tr w:rsidR="00513D34" w:rsidRPr="005F1F09" w:rsidTr="00E73225">
        <w:trPr>
          <w:trHeight w:hRule="exact" w:val="340"/>
        </w:trPr>
        <w:tc>
          <w:tcPr>
            <w:tcW w:w="978" w:type="dxa"/>
            <w:tcBorders>
              <w:top w:val="nil"/>
              <w:bottom w:val="nil"/>
            </w:tcBorders>
            <w:shd w:val="clear" w:color="auto" w:fill="auto"/>
            <w:noWrap/>
            <w:vAlign w:val="center"/>
            <w:hideMark/>
          </w:tcPr>
          <w:p w:rsidR="00513D34" w:rsidRPr="005F1F09" w:rsidRDefault="00513D34" w:rsidP="00E73225">
            <w:pPr>
              <w:rPr>
                <w:color w:val="000000"/>
                <w:sz w:val="22"/>
              </w:rPr>
            </w:pPr>
            <w:r w:rsidRPr="005F1F09">
              <w:rPr>
                <w:color w:val="000000"/>
                <w:sz w:val="22"/>
              </w:rPr>
              <w:t>Prob(BN)</w:t>
            </w: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Mean</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0.5061</w:t>
            </w:r>
          </w:p>
        </w:tc>
        <w:tc>
          <w:tcPr>
            <w:tcW w:w="947"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0.4774</w:t>
            </w:r>
          </w:p>
        </w:tc>
        <w:tc>
          <w:tcPr>
            <w:tcW w:w="1242" w:type="dxa"/>
            <w:tcBorders>
              <w:top w:val="nil"/>
              <w:left w:val="nil"/>
              <w:bottom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0.0287</w:t>
            </w:r>
          </w:p>
        </w:tc>
        <w:tc>
          <w:tcPr>
            <w:tcW w:w="725"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0.88</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0.5429</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0.4693</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0.0735</w:t>
            </w:r>
            <w:r>
              <w:rPr>
                <w:rFonts w:hint="eastAsia"/>
                <w:b/>
                <w:color w:val="000000"/>
                <w:sz w:val="22"/>
              </w:rPr>
              <w:t>**</w:t>
            </w:r>
          </w:p>
        </w:tc>
        <w:tc>
          <w:tcPr>
            <w:tcW w:w="717"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2.25</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0.5429</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0.4655</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0.0774</w:t>
            </w:r>
            <w:r>
              <w:rPr>
                <w:rFonts w:hint="eastAsia"/>
                <w:b/>
                <w:color w:val="000000"/>
                <w:sz w:val="22"/>
              </w:rPr>
              <w:t>**</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2.37</w:t>
            </w:r>
          </w:p>
        </w:tc>
      </w:tr>
      <w:tr w:rsidR="00513D34" w:rsidRPr="005F1F09" w:rsidTr="00E73225">
        <w:trPr>
          <w:trHeight w:hRule="exact" w:val="340"/>
        </w:trPr>
        <w:tc>
          <w:tcPr>
            <w:tcW w:w="978" w:type="dxa"/>
            <w:tcBorders>
              <w:top w:val="nil"/>
              <w:bottom w:val="nil"/>
            </w:tcBorders>
            <w:shd w:val="clear" w:color="auto" w:fill="auto"/>
            <w:noWrap/>
            <w:vAlign w:val="center"/>
            <w:hideMark/>
          </w:tcPr>
          <w:p w:rsidR="00513D34" w:rsidRPr="005F1F09" w:rsidRDefault="00513D34" w:rsidP="00E73225">
            <w:pPr>
              <w:rPr>
                <w:color w:val="000000"/>
                <w:sz w:val="22"/>
              </w:rPr>
            </w:pP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7"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tcBorders>
            <w:shd w:val="clear" w:color="auto" w:fill="auto"/>
            <w:noWrap/>
            <w:vAlign w:val="bottom"/>
          </w:tcPr>
          <w:p w:rsidR="00513D34" w:rsidRPr="002D53C8" w:rsidRDefault="00513D34" w:rsidP="00E73225">
            <w:pPr>
              <w:tabs>
                <w:tab w:val="decimal" w:pos="288"/>
              </w:tabs>
              <w:rPr>
                <w:b/>
                <w:color w:val="000000"/>
                <w:sz w:val="22"/>
              </w:rPr>
            </w:pPr>
          </w:p>
        </w:tc>
        <w:tc>
          <w:tcPr>
            <w:tcW w:w="725"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17"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89" w:type="dxa"/>
            <w:tcBorders>
              <w:top w:val="nil"/>
              <w:left w:val="nil"/>
              <w:bottom w:val="nil"/>
            </w:tcBorders>
            <w:shd w:val="clear" w:color="auto" w:fill="auto"/>
            <w:noWrap/>
            <w:vAlign w:val="center"/>
          </w:tcPr>
          <w:p w:rsidR="00513D34" w:rsidRPr="005F1F09" w:rsidRDefault="00513D34" w:rsidP="00E73225">
            <w:pPr>
              <w:jc w:val="center"/>
              <w:rPr>
                <w:color w:val="000000"/>
                <w:sz w:val="22"/>
              </w:rPr>
            </w:pPr>
          </w:p>
        </w:tc>
      </w:tr>
      <w:tr w:rsidR="00513D34" w:rsidRPr="005F1F09" w:rsidTr="00E73225">
        <w:trPr>
          <w:trHeight w:hRule="exact" w:val="340"/>
        </w:trPr>
        <w:tc>
          <w:tcPr>
            <w:tcW w:w="978" w:type="dxa"/>
            <w:tcBorders>
              <w:top w:val="nil"/>
              <w:bottom w:val="nil"/>
            </w:tcBorders>
            <w:shd w:val="clear" w:color="auto" w:fill="auto"/>
            <w:noWrap/>
            <w:vAlign w:val="center"/>
          </w:tcPr>
          <w:p w:rsidR="00513D34" w:rsidRPr="005F1F09" w:rsidRDefault="00513D34" w:rsidP="00E73225">
            <w:pPr>
              <w:rPr>
                <w:color w:val="000000"/>
                <w:sz w:val="22"/>
              </w:rPr>
            </w:pPr>
            <w:r>
              <w:rPr>
                <w:rFonts w:hint="eastAsia"/>
                <w:color w:val="000000"/>
                <w:sz w:val="22"/>
              </w:rPr>
              <w:t>AR</w:t>
            </w: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Mean</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-0.0141</w:t>
            </w:r>
          </w:p>
        </w:tc>
        <w:tc>
          <w:tcPr>
            <w:tcW w:w="947"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-0.0061</w:t>
            </w:r>
          </w:p>
        </w:tc>
        <w:tc>
          <w:tcPr>
            <w:tcW w:w="1242" w:type="dxa"/>
            <w:tcBorders>
              <w:top w:val="nil"/>
              <w:left w:val="nil"/>
              <w:bottom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-0.0080</w:t>
            </w:r>
          </w:p>
        </w:tc>
        <w:tc>
          <w:tcPr>
            <w:tcW w:w="725"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1.61</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-0.0160</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-0.0018</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-0.0142</w:t>
            </w:r>
            <w:r>
              <w:rPr>
                <w:rFonts w:hint="eastAsia"/>
                <w:b/>
                <w:color w:val="000000"/>
                <w:sz w:val="22"/>
              </w:rPr>
              <w:t>***</w:t>
            </w:r>
          </w:p>
        </w:tc>
        <w:tc>
          <w:tcPr>
            <w:tcW w:w="717"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3.04</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-0.0200</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-0.0021</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-0.0179</w:t>
            </w:r>
            <w:r>
              <w:rPr>
                <w:rFonts w:hint="eastAsia"/>
                <w:b/>
                <w:color w:val="000000"/>
                <w:sz w:val="22"/>
              </w:rPr>
              <w:t>***</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3.05</w:t>
            </w:r>
          </w:p>
        </w:tc>
      </w:tr>
      <w:tr w:rsidR="00513D34" w:rsidRPr="005F1F09" w:rsidTr="00E73225">
        <w:trPr>
          <w:trHeight w:hRule="exact" w:val="340"/>
        </w:trPr>
        <w:tc>
          <w:tcPr>
            <w:tcW w:w="978" w:type="dxa"/>
            <w:tcBorders>
              <w:top w:val="nil"/>
              <w:bottom w:val="nil"/>
            </w:tcBorders>
            <w:shd w:val="clear" w:color="auto" w:fill="auto"/>
            <w:noWrap/>
            <w:vAlign w:val="center"/>
          </w:tcPr>
          <w:p w:rsidR="00513D34" w:rsidRPr="005F1F09" w:rsidRDefault="00513D34" w:rsidP="00E73225">
            <w:pPr>
              <w:rPr>
                <w:color w:val="000000"/>
                <w:sz w:val="22"/>
              </w:rPr>
            </w:pP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Median</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-0.0003</w:t>
            </w:r>
          </w:p>
        </w:tc>
        <w:tc>
          <w:tcPr>
            <w:tcW w:w="947"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0.0024</w:t>
            </w:r>
          </w:p>
        </w:tc>
        <w:tc>
          <w:tcPr>
            <w:tcW w:w="1242" w:type="dxa"/>
            <w:tcBorders>
              <w:top w:val="nil"/>
              <w:left w:val="nil"/>
              <w:bottom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-0.0027</w:t>
            </w:r>
          </w:p>
        </w:tc>
        <w:tc>
          <w:tcPr>
            <w:tcW w:w="725"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1.64</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-0.0088</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0.0033</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-0.0122</w:t>
            </w:r>
            <w:r>
              <w:rPr>
                <w:rFonts w:hint="eastAsia"/>
                <w:b/>
                <w:color w:val="000000"/>
                <w:sz w:val="22"/>
              </w:rPr>
              <w:t>***</w:t>
            </w:r>
          </w:p>
        </w:tc>
        <w:tc>
          <w:tcPr>
            <w:tcW w:w="717"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3.39</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-0.0095</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0.0045</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-0.0141</w:t>
            </w:r>
            <w:r>
              <w:rPr>
                <w:rFonts w:hint="eastAsia"/>
                <w:b/>
                <w:color w:val="000000"/>
                <w:sz w:val="22"/>
              </w:rPr>
              <w:t>***</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3.18</w:t>
            </w:r>
          </w:p>
        </w:tc>
      </w:tr>
      <w:tr w:rsidR="00513D34" w:rsidRPr="005F1F09" w:rsidTr="00E73225">
        <w:trPr>
          <w:trHeight w:hRule="exact" w:val="340"/>
        </w:trPr>
        <w:tc>
          <w:tcPr>
            <w:tcW w:w="978" w:type="dxa"/>
            <w:tcBorders>
              <w:top w:val="nil"/>
              <w:bottom w:val="double" w:sz="6" w:space="0" w:color="auto"/>
            </w:tcBorders>
            <w:shd w:val="clear" w:color="auto" w:fill="auto"/>
            <w:noWrap/>
            <w:vAlign w:val="center"/>
            <w:hideMark/>
          </w:tcPr>
          <w:p w:rsidR="00513D34" w:rsidRPr="005F1F09" w:rsidRDefault="00513D34" w:rsidP="00E73225">
            <w:pPr>
              <w:rPr>
                <w:color w:val="000000"/>
                <w:sz w:val="22"/>
              </w:rPr>
            </w:pPr>
            <w:r w:rsidRPr="005F1F09">
              <w:rPr>
                <w:color w:val="000000"/>
                <w:sz w:val="22"/>
              </w:rPr>
              <w:t>N</w:t>
            </w:r>
          </w:p>
        </w:tc>
        <w:tc>
          <w:tcPr>
            <w:tcW w:w="995" w:type="dxa"/>
            <w:tcBorders>
              <w:top w:val="nil"/>
              <w:bottom w:val="double" w:sz="6" w:space="0" w:color="auto"/>
              <w:right w:val="nil"/>
            </w:tcBorders>
            <w:shd w:val="clear" w:color="auto" w:fill="auto"/>
            <w:vAlign w:val="center"/>
          </w:tcPr>
          <w:p w:rsidR="00513D34" w:rsidRPr="005F1F09" w:rsidRDefault="00513D34" w:rsidP="00E73225">
            <w:pPr>
              <w:rPr>
                <w:color w:val="000000"/>
                <w:sz w:val="22"/>
              </w:rPr>
            </w:pP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245</w:t>
            </w:r>
          </w:p>
        </w:tc>
        <w:tc>
          <w:tcPr>
            <w:tcW w:w="94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4,619</w:t>
            </w:r>
          </w:p>
        </w:tc>
        <w:tc>
          <w:tcPr>
            <w:tcW w:w="1242" w:type="dxa"/>
            <w:tcBorders>
              <w:top w:val="nil"/>
              <w:left w:val="nil"/>
              <w:bottom w:val="double" w:sz="6" w:space="0" w:color="auto"/>
            </w:tcBorders>
            <w:shd w:val="clear" w:color="auto" w:fill="auto"/>
            <w:noWrap/>
            <w:vAlign w:val="center"/>
            <w:hideMark/>
          </w:tcPr>
          <w:p w:rsidR="00513D34" w:rsidRPr="005F1F09" w:rsidRDefault="00513D34" w:rsidP="00E73225">
            <w:pPr>
              <w:jc w:val="center"/>
              <w:rPr>
                <w:color w:val="000000"/>
                <w:sz w:val="22"/>
              </w:rPr>
            </w:pPr>
          </w:p>
        </w:tc>
        <w:tc>
          <w:tcPr>
            <w:tcW w:w="725"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19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245</w:t>
            </w: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4,632</w:t>
            </w:r>
          </w:p>
        </w:tc>
        <w:tc>
          <w:tcPr>
            <w:tcW w:w="1242"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1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19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245</w:t>
            </w: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4,619</w:t>
            </w:r>
          </w:p>
        </w:tc>
        <w:tc>
          <w:tcPr>
            <w:tcW w:w="1242" w:type="dxa"/>
            <w:tcBorders>
              <w:top w:val="nil"/>
              <w:left w:val="nil"/>
              <w:bottom w:val="double" w:sz="6" w:space="0" w:color="auto"/>
              <w:right w:val="nil"/>
            </w:tcBorders>
            <w:shd w:val="clear" w:color="auto" w:fill="auto"/>
            <w:noWrap/>
            <w:vAlign w:val="center"/>
            <w:hideMark/>
          </w:tcPr>
          <w:p w:rsidR="00513D34" w:rsidRPr="005F1F09" w:rsidRDefault="00513D34" w:rsidP="00E73225">
            <w:pPr>
              <w:tabs>
                <w:tab w:val="decimal" w:pos="288"/>
              </w:tabs>
              <w:jc w:val="center"/>
              <w:rPr>
                <w:color w:val="000000"/>
                <w:sz w:val="22"/>
              </w:rPr>
            </w:pPr>
          </w:p>
        </w:tc>
        <w:tc>
          <w:tcPr>
            <w:tcW w:w="789" w:type="dxa"/>
            <w:tcBorders>
              <w:top w:val="nil"/>
              <w:left w:val="nil"/>
              <w:bottom w:val="double" w:sz="6" w:space="0" w:color="auto"/>
            </w:tcBorders>
            <w:shd w:val="clear" w:color="auto" w:fill="auto"/>
            <w:noWrap/>
            <w:vAlign w:val="center"/>
            <w:hideMark/>
          </w:tcPr>
          <w:p w:rsidR="00513D34" w:rsidRPr="005F1F09" w:rsidRDefault="00513D34" w:rsidP="00E73225">
            <w:pPr>
              <w:jc w:val="center"/>
              <w:rPr>
                <w:color w:val="000000"/>
                <w:sz w:val="22"/>
              </w:rPr>
            </w:pPr>
          </w:p>
        </w:tc>
      </w:tr>
      <w:tr w:rsidR="00513D34" w:rsidRPr="005F1F09" w:rsidTr="00E73225">
        <w:trPr>
          <w:trHeight w:hRule="exact" w:val="340"/>
        </w:trPr>
        <w:tc>
          <w:tcPr>
            <w:tcW w:w="14001" w:type="dxa"/>
            <w:gridSpan w:val="16"/>
            <w:tcBorders>
              <w:top w:val="double" w:sz="6" w:space="0" w:color="auto"/>
              <w:bottom w:val="single" w:sz="4" w:space="0" w:color="auto"/>
            </w:tcBorders>
            <w:shd w:val="clear" w:color="auto" w:fill="auto"/>
            <w:noWrap/>
            <w:vAlign w:val="center"/>
            <w:hideMark/>
          </w:tcPr>
          <w:p w:rsidR="00513D34" w:rsidRPr="005F1F09" w:rsidRDefault="00513D34" w:rsidP="00E73225">
            <w:pPr>
              <w:jc w:val="center"/>
              <w:rPr>
                <w:i/>
                <w:color w:val="000000"/>
                <w:sz w:val="22"/>
              </w:rPr>
            </w:pPr>
            <w:r w:rsidRPr="005F1F09">
              <w:rPr>
                <w:i/>
                <w:color w:val="000000"/>
                <w:sz w:val="22"/>
              </w:rPr>
              <w:t>Panel B: Number of Analyst Following</w:t>
            </w:r>
          </w:p>
        </w:tc>
      </w:tr>
      <w:tr w:rsidR="00513D34" w:rsidRPr="005F1F09" w:rsidTr="00E73225">
        <w:trPr>
          <w:trHeight w:hRule="exact" w:val="340"/>
        </w:trPr>
        <w:tc>
          <w:tcPr>
            <w:tcW w:w="978" w:type="dxa"/>
            <w:tcBorders>
              <w:top w:val="nil"/>
              <w:bottom w:val="nil"/>
            </w:tcBorders>
            <w:shd w:val="clear" w:color="auto" w:fill="auto"/>
            <w:noWrap/>
            <w:vAlign w:val="center"/>
            <w:hideMark/>
          </w:tcPr>
          <w:p w:rsidR="00513D34" w:rsidRPr="005F1F09" w:rsidRDefault="00513D34" w:rsidP="00E73225">
            <w:pPr>
              <w:rPr>
                <w:color w:val="000000"/>
                <w:sz w:val="22"/>
              </w:rPr>
            </w:pPr>
            <w:r w:rsidRPr="005F1F09">
              <w:rPr>
                <w:color w:val="000000"/>
                <w:sz w:val="22"/>
              </w:rPr>
              <w:t>Prob(BN)</w:t>
            </w: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Mean</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0.5338</w:t>
            </w:r>
          </w:p>
        </w:tc>
        <w:tc>
          <w:tcPr>
            <w:tcW w:w="947"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0.4473</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0.0865</w:t>
            </w:r>
            <w:r w:rsidRPr="002D53C8">
              <w:rPr>
                <w:rFonts w:hint="eastAsia"/>
                <w:b/>
                <w:color w:val="000000"/>
                <w:sz w:val="22"/>
              </w:rPr>
              <w:t>***</w:t>
            </w:r>
          </w:p>
        </w:tc>
        <w:tc>
          <w:tcPr>
            <w:tcW w:w="725"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2.76</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0.5872</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0.4934</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0.0938</w:t>
            </w:r>
            <w:r w:rsidRPr="002D53C8">
              <w:rPr>
                <w:rFonts w:hint="eastAsia"/>
                <w:b/>
                <w:color w:val="000000"/>
                <w:sz w:val="22"/>
              </w:rPr>
              <w:t>***</w:t>
            </w:r>
          </w:p>
        </w:tc>
        <w:tc>
          <w:tcPr>
            <w:tcW w:w="717"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2.70</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0.4781</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0.4748</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0.0032</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0.10</w:t>
            </w:r>
          </w:p>
        </w:tc>
      </w:tr>
      <w:tr w:rsidR="00513D34" w:rsidRPr="005F1F09" w:rsidTr="00E73225">
        <w:trPr>
          <w:trHeight w:hRule="exact" w:val="340"/>
        </w:trPr>
        <w:tc>
          <w:tcPr>
            <w:tcW w:w="978" w:type="dxa"/>
            <w:tcBorders>
              <w:top w:val="nil"/>
              <w:bottom w:val="nil"/>
            </w:tcBorders>
            <w:shd w:val="clear" w:color="auto" w:fill="auto"/>
            <w:noWrap/>
            <w:vAlign w:val="center"/>
            <w:hideMark/>
          </w:tcPr>
          <w:p w:rsidR="00513D34" w:rsidRPr="005F1F09" w:rsidRDefault="00513D34" w:rsidP="00E73225">
            <w:pPr>
              <w:rPr>
                <w:color w:val="000000"/>
                <w:sz w:val="22"/>
              </w:rPr>
            </w:pP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7"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25"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17"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89" w:type="dxa"/>
            <w:tcBorders>
              <w:top w:val="nil"/>
              <w:left w:val="nil"/>
              <w:bottom w:val="nil"/>
            </w:tcBorders>
            <w:shd w:val="clear" w:color="auto" w:fill="auto"/>
            <w:noWrap/>
            <w:vAlign w:val="center"/>
          </w:tcPr>
          <w:p w:rsidR="00513D34" w:rsidRPr="005F1F09" w:rsidRDefault="00513D34" w:rsidP="00E73225">
            <w:pPr>
              <w:jc w:val="center"/>
              <w:rPr>
                <w:color w:val="000000"/>
                <w:sz w:val="22"/>
              </w:rPr>
            </w:pPr>
          </w:p>
        </w:tc>
      </w:tr>
      <w:tr w:rsidR="00513D34" w:rsidRPr="005F1F09" w:rsidTr="00E73225">
        <w:trPr>
          <w:trHeight w:hRule="exact" w:val="340"/>
        </w:trPr>
        <w:tc>
          <w:tcPr>
            <w:tcW w:w="978" w:type="dxa"/>
            <w:tcBorders>
              <w:top w:val="nil"/>
              <w:bottom w:val="nil"/>
            </w:tcBorders>
            <w:shd w:val="clear" w:color="auto" w:fill="auto"/>
            <w:noWrap/>
            <w:vAlign w:val="center"/>
          </w:tcPr>
          <w:p w:rsidR="00513D34" w:rsidRPr="005F1F09" w:rsidRDefault="00513D34" w:rsidP="00E73225">
            <w:pPr>
              <w:rPr>
                <w:color w:val="000000"/>
                <w:sz w:val="22"/>
              </w:rPr>
            </w:pPr>
            <w:r>
              <w:rPr>
                <w:rFonts w:hint="eastAsia"/>
                <w:color w:val="000000"/>
                <w:sz w:val="22"/>
              </w:rPr>
              <w:t>AR</w:t>
            </w: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Mean</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-0.0222</w:t>
            </w:r>
          </w:p>
        </w:tc>
        <w:tc>
          <w:tcPr>
            <w:tcW w:w="947"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0.0025</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-0.0247</w:t>
            </w:r>
            <w:r w:rsidRPr="002D53C8">
              <w:rPr>
                <w:rFonts w:hint="eastAsia"/>
                <w:b/>
                <w:color w:val="000000"/>
                <w:sz w:val="22"/>
              </w:rPr>
              <w:t>***</w:t>
            </w:r>
          </w:p>
        </w:tc>
        <w:tc>
          <w:tcPr>
            <w:tcW w:w="725"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4.40</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-0.0191</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-0.0079</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-0.0112</w:t>
            </w:r>
            <w:r w:rsidRPr="002D53C8">
              <w:rPr>
                <w:rFonts w:hint="eastAsia"/>
                <w:b/>
                <w:color w:val="000000"/>
                <w:sz w:val="22"/>
              </w:rPr>
              <w:t>**</w:t>
            </w:r>
          </w:p>
        </w:tc>
        <w:tc>
          <w:tcPr>
            <w:tcW w:w="717"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1.99</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-0.0088</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-0.0052</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-0.0036</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0.77</w:t>
            </w:r>
          </w:p>
        </w:tc>
      </w:tr>
      <w:tr w:rsidR="00513D34" w:rsidRPr="005F1F09" w:rsidTr="00E73225">
        <w:trPr>
          <w:trHeight w:hRule="exact" w:val="340"/>
        </w:trPr>
        <w:tc>
          <w:tcPr>
            <w:tcW w:w="978" w:type="dxa"/>
            <w:tcBorders>
              <w:top w:val="nil"/>
              <w:bottom w:val="nil"/>
            </w:tcBorders>
            <w:shd w:val="clear" w:color="auto" w:fill="auto"/>
            <w:noWrap/>
            <w:vAlign w:val="center"/>
          </w:tcPr>
          <w:p w:rsidR="00513D34" w:rsidRPr="005F1F09" w:rsidRDefault="00513D34" w:rsidP="00E73225">
            <w:pPr>
              <w:rPr>
                <w:color w:val="000000"/>
                <w:sz w:val="22"/>
              </w:rPr>
            </w:pP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Median</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-0.0076</w:t>
            </w:r>
          </w:p>
        </w:tc>
        <w:tc>
          <w:tcPr>
            <w:tcW w:w="947"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0.0062</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-0.0139</w:t>
            </w:r>
            <w:r w:rsidRPr="002D53C8">
              <w:rPr>
                <w:rFonts w:hint="eastAsia"/>
                <w:b/>
                <w:color w:val="000000"/>
                <w:sz w:val="22"/>
              </w:rPr>
              <w:t>***</w:t>
            </w:r>
          </w:p>
        </w:tc>
        <w:tc>
          <w:tcPr>
            <w:tcW w:w="725"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4.23</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-0.0132</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0.0007</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-0.0139</w:t>
            </w:r>
            <w:r w:rsidRPr="002D53C8">
              <w:rPr>
                <w:rFonts w:hint="eastAsia"/>
                <w:b/>
                <w:color w:val="000000"/>
                <w:sz w:val="22"/>
              </w:rPr>
              <w:t>***</w:t>
            </w:r>
          </w:p>
        </w:tc>
        <w:tc>
          <w:tcPr>
            <w:tcW w:w="717" w:type="dxa"/>
            <w:tcBorders>
              <w:top w:val="nil"/>
              <w:left w:val="nil"/>
              <w:bottom w:val="nil"/>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2.88</w:t>
            </w:r>
          </w:p>
        </w:tc>
        <w:tc>
          <w:tcPr>
            <w:tcW w:w="197" w:type="dxa"/>
            <w:tcBorders>
              <w:top w:val="nil"/>
              <w:left w:val="nil"/>
              <w:bottom w:val="nil"/>
              <w:right w:val="nil"/>
            </w:tcBorders>
            <w:shd w:val="clear" w:color="auto" w:fill="auto"/>
            <w:noWrap/>
            <w:vAlign w:val="center"/>
            <w:hideMark/>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0.0032</w:t>
            </w:r>
          </w:p>
        </w:tc>
        <w:tc>
          <w:tcPr>
            <w:tcW w:w="946" w:type="dxa"/>
            <w:tcBorders>
              <w:top w:val="nil"/>
              <w:left w:val="nil"/>
              <w:bottom w:val="nil"/>
              <w:right w:val="nil"/>
            </w:tcBorders>
            <w:shd w:val="clear" w:color="auto" w:fill="auto"/>
            <w:noWrap/>
            <w:vAlign w:val="bottom"/>
            <w:hideMark/>
          </w:tcPr>
          <w:p w:rsidR="00513D34" w:rsidRPr="005F1F09" w:rsidRDefault="00513D34" w:rsidP="00E73225">
            <w:pPr>
              <w:tabs>
                <w:tab w:val="decimal" w:pos="288"/>
              </w:tabs>
              <w:rPr>
                <w:color w:val="000000"/>
                <w:sz w:val="22"/>
              </w:rPr>
            </w:pPr>
            <w:r w:rsidRPr="005F1F09">
              <w:rPr>
                <w:color w:val="000000"/>
                <w:sz w:val="22"/>
              </w:rPr>
              <w:t>0.0029</w:t>
            </w:r>
          </w:p>
        </w:tc>
        <w:tc>
          <w:tcPr>
            <w:tcW w:w="1242" w:type="dxa"/>
            <w:tcBorders>
              <w:top w:val="nil"/>
              <w:left w:val="nil"/>
              <w:bottom w:val="nil"/>
              <w:right w:val="nil"/>
            </w:tcBorders>
            <w:shd w:val="clear" w:color="auto" w:fill="auto"/>
            <w:noWrap/>
            <w:vAlign w:val="bottom"/>
            <w:hideMark/>
          </w:tcPr>
          <w:p w:rsidR="00513D34" w:rsidRPr="002D53C8" w:rsidRDefault="00513D34" w:rsidP="00E73225">
            <w:pPr>
              <w:tabs>
                <w:tab w:val="decimal" w:pos="288"/>
              </w:tabs>
              <w:rPr>
                <w:b/>
                <w:color w:val="000000"/>
                <w:sz w:val="22"/>
              </w:rPr>
            </w:pPr>
            <w:r w:rsidRPr="002D53C8">
              <w:rPr>
                <w:b/>
                <w:color w:val="000000"/>
                <w:sz w:val="22"/>
              </w:rPr>
              <w:t>0.0003</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1.04</w:t>
            </w:r>
          </w:p>
        </w:tc>
      </w:tr>
      <w:tr w:rsidR="00513D34" w:rsidRPr="005F1F09" w:rsidTr="00E73225">
        <w:trPr>
          <w:trHeight w:hRule="exact" w:val="340"/>
        </w:trPr>
        <w:tc>
          <w:tcPr>
            <w:tcW w:w="978" w:type="dxa"/>
            <w:tcBorders>
              <w:top w:val="nil"/>
              <w:bottom w:val="double" w:sz="6" w:space="0" w:color="auto"/>
            </w:tcBorders>
            <w:shd w:val="clear" w:color="auto" w:fill="auto"/>
            <w:noWrap/>
            <w:vAlign w:val="center"/>
            <w:hideMark/>
          </w:tcPr>
          <w:p w:rsidR="00513D34" w:rsidRPr="005F1F09" w:rsidRDefault="00513D34" w:rsidP="00E73225">
            <w:pPr>
              <w:rPr>
                <w:color w:val="000000"/>
                <w:sz w:val="22"/>
              </w:rPr>
            </w:pPr>
            <w:r w:rsidRPr="005F1F09">
              <w:rPr>
                <w:color w:val="000000"/>
                <w:sz w:val="22"/>
              </w:rPr>
              <w:t>N</w:t>
            </w:r>
          </w:p>
        </w:tc>
        <w:tc>
          <w:tcPr>
            <w:tcW w:w="995" w:type="dxa"/>
            <w:tcBorders>
              <w:top w:val="nil"/>
              <w:bottom w:val="double" w:sz="6" w:space="0" w:color="auto"/>
              <w:right w:val="nil"/>
            </w:tcBorders>
            <w:shd w:val="clear" w:color="auto" w:fill="auto"/>
            <w:vAlign w:val="center"/>
          </w:tcPr>
          <w:p w:rsidR="00513D34" w:rsidRPr="005F1F09" w:rsidRDefault="00513D34" w:rsidP="00E73225">
            <w:pPr>
              <w:rPr>
                <w:color w:val="000000"/>
                <w:sz w:val="22"/>
              </w:rPr>
            </w:pP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266</w:t>
            </w:r>
          </w:p>
        </w:tc>
        <w:tc>
          <w:tcPr>
            <w:tcW w:w="94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4,775</w:t>
            </w:r>
          </w:p>
        </w:tc>
        <w:tc>
          <w:tcPr>
            <w:tcW w:w="1242"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25"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19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218</w:t>
            </w: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4,007</w:t>
            </w:r>
          </w:p>
        </w:tc>
        <w:tc>
          <w:tcPr>
            <w:tcW w:w="1242"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1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197"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251</w:t>
            </w:r>
          </w:p>
        </w:tc>
        <w:tc>
          <w:tcPr>
            <w:tcW w:w="946"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5,088</w:t>
            </w:r>
          </w:p>
        </w:tc>
        <w:tc>
          <w:tcPr>
            <w:tcW w:w="1242" w:type="dxa"/>
            <w:tcBorders>
              <w:top w:val="nil"/>
              <w:left w:val="nil"/>
              <w:bottom w:val="double" w:sz="6"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89" w:type="dxa"/>
            <w:tcBorders>
              <w:top w:val="nil"/>
              <w:left w:val="nil"/>
              <w:bottom w:val="double" w:sz="6" w:space="0" w:color="auto"/>
            </w:tcBorders>
            <w:shd w:val="clear" w:color="auto" w:fill="auto"/>
            <w:noWrap/>
            <w:vAlign w:val="center"/>
            <w:hideMark/>
          </w:tcPr>
          <w:p w:rsidR="00513D34" w:rsidRPr="005F1F09" w:rsidRDefault="00513D34" w:rsidP="00E73225">
            <w:pPr>
              <w:jc w:val="center"/>
              <w:rPr>
                <w:color w:val="000000"/>
                <w:sz w:val="22"/>
              </w:rPr>
            </w:pPr>
          </w:p>
        </w:tc>
      </w:tr>
      <w:tr w:rsidR="00513D34" w:rsidRPr="005F1F09" w:rsidTr="00E73225">
        <w:trPr>
          <w:trHeight w:hRule="exact" w:val="340"/>
        </w:trPr>
        <w:tc>
          <w:tcPr>
            <w:tcW w:w="14001" w:type="dxa"/>
            <w:gridSpan w:val="16"/>
            <w:tcBorders>
              <w:top w:val="double" w:sz="6" w:space="0" w:color="auto"/>
              <w:bottom w:val="single" w:sz="4" w:space="0" w:color="auto"/>
            </w:tcBorders>
            <w:shd w:val="clear" w:color="auto" w:fill="auto"/>
            <w:noWrap/>
            <w:vAlign w:val="center"/>
            <w:hideMark/>
          </w:tcPr>
          <w:p w:rsidR="00513D34" w:rsidRPr="005F1F09" w:rsidRDefault="00513D34" w:rsidP="00E73225">
            <w:pPr>
              <w:jc w:val="center"/>
              <w:rPr>
                <w:i/>
                <w:color w:val="000000"/>
                <w:sz w:val="22"/>
              </w:rPr>
            </w:pPr>
            <w:r w:rsidRPr="005F1F09">
              <w:rPr>
                <w:i/>
                <w:color w:val="000000"/>
                <w:sz w:val="22"/>
              </w:rPr>
              <w:t>Panel C: Outside Director Percentage</w:t>
            </w:r>
          </w:p>
        </w:tc>
      </w:tr>
      <w:tr w:rsidR="00513D34" w:rsidRPr="005F1F09" w:rsidTr="00E73225">
        <w:trPr>
          <w:trHeight w:hRule="exact" w:val="340"/>
        </w:trPr>
        <w:tc>
          <w:tcPr>
            <w:tcW w:w="978" w:type="dxa"/>
            <w:tcBorders>
              <w:top w:val="nil"/>
              <w:bottom w:val="nil"/>
            </w:tcBorders>
            <w:shd w:val="clear" w:color="auto" w:fill="auto"/>
            <w:noWrap/>
            <w:vAlign w:val="center"/>
            <w:hideMark/>
          </w:tcPr>
          <w:p w:rsidR="00513D34" w:rsidRPr="005F1F09" w:rsidRDefault="00513D34" w:rsidP="00E73225">
            <w:pPr>
              <w:rPr>
                <w:color w:val="000000"/>
                <w:sz w:val="22"/>
              </w:rPr>
            </w:pPr>
            <w:r w:rsidRPr="005F1F09">
              <w:rPr>
                <w:color w:val="000000"/>
                <w:sz w:val="22"/>
              </w:rPr>
              <w:t>Prob(BN)</w:t>
            </w: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Mean</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0.5956</w:t>
            </w:r>
          </w:p>
        </w:tc>
        <w:tc>
          <w:tcPr>
            <w:tcW w:w="947"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0.4654</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0.1302</w:t>
            </w:r>
            <w:r>
              <w:rPr>
                <w:rFonts w:hint="eastAsia"/>
                <w:b/>
                <w:color w:val="000000"/>
                <w:sz w:val="22"/>
              </w:rPr>
              <w:t>***</w:t>
            </w:r>
          </w:p>
        </w:tc>
        <w:tc>
          <w:tcPr>
            <w:tcW w:w="725"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r>
              <w:rPr>
                <w:rFonts w:hint="eastAsia"/>
                <w:color w:val="000000"/>
                <w:sz w:val="22"/>
              </w:rPr>
              <w:t>3.82</w:t>
            </w: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0.5075</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0.4755</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0.0320</w:t>
            </w:r>
          </w:p>
        </w:tc>
        <w:tc>
          <w:tcPr>
            <w:tcW w:w="717"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r>
              <w:rPr>
                <w:rFonts w:hint="eastAsia"/>
                <w:color w:val="000000"/>
                <w:sz w:val="22"/>
              </w:rPr>
              <w:t>1.02</w:t>
            </w: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0.4959</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0.4705</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0.0254</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0.77</w:t>
            </w:r>
          </w:p>
        </w:tc>
      </w:tr>
      <w:tr w:rsidR="00513D34" w:rsidRPr="005F1F09" w:rsidTr="00E73225">
        <w:trPr>
          <w:trHeight w:hRule="exact" w:val="340"/>
        </w:trPr>
        <w:tc>
          <w:tcPr>
            <w:tcW w:w="978" w:type="dxa"/>
            <w:tcBorders>
              <w:top w:val="nil"/>
              <w:bottom w:val="nil"/>
            </w:tcBorders>
            <w:shd w:val="clear" w:color="auto" w:fill="auto"/>
            <w:noWrap/>
            <w:vAlign w:val="center"/>
            <w:hideMark/>
          </w:tcPr>
          <w:p w:rsidR="00513D34" w:rsidRPr="005F1F09" w:rsidRDefault="00513D34" w:rsidP="00E73225">
            <w:pPr>
              <w:rPr>
                <w:color w:val="000000"/>
                <w:sz w:val="22"/>
              </w:rPr>
            </w:pP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7"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25"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17"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p>
        </w:tc>
        <w:tc>
          <w:tcPr>
            <w:tcW w:w="789" w:type="dxa"/>
            <w:tcBorders>
              <w:top w:val="nil"/>
              <w:left w:val="nil"/>
              <w:bottom w:val="nil"/>
            </w:tcBorders>
            <w:shd w:val="clear" w:color="auto" w:fill="auto"/>
            <w:noWrap/>
            <w:vAlign w:val="center"/>
          </w:tcPr>
          <w:p w:rsidR="00513D34" w:rsidRPr="005F1F09" w:rsidRDefault="00513D34" w:rsidP="00E73225">
            <w:pPr>
              <w:jc w:val="center"/>
              <w:rPr>
                <w:color w:val="000000"/>
                <w:sz w:val="22"/>
              </w:rPr>
            </w:pPr>
          </w:p>
        </w:tc>
      </w:tr>
      <w:tr w:rsidR="00513D34" w:rsidRPr="005F1F09" w:rsidTr="00E73225">
        <w:trPr>
          <w:trHeight w:hRule="exact" w:val="340"/>
        </w:trPr>
        <w:tc>
          <w:tcPr>
            <w:tcW w:w="978" w:type="dxa"/>
            <w:tcBorders>
              <w:top w:val="nil"/>
              <w:bottom w:val="nil"/>
            </w:tcBorders>
            <w:shd w:val="clear" w:color="auto" w:fill="auto"/>
            <w:noWrap/>
            <w:vAlign w:val="center"/>
          </w:tcPr>
          <w:p w:rsidR="00513D34" w:rsidRPr="005F1F09" w:rsidRDefault="00513D34" w:rsidP="00E73225">
            <w:pPr>
              <w:rPr>
                <w:color w:val="000000"/>
                <w:sz w:val="22"/>
              </w:rPr>
            </w:pPr>
            <w:r>
              <w:rPr>
                <w:rFonts w:hint="eastAsia"/>
                <w:color w:val="000000"/>
                <w:sz w:val="22"/>
              </w:rPr>
              <w:t>AR</w:t>
            </w: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Mean</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-0.0328</w:t>
            </w:r>
          </w:p>
        </w:tc>
        <w:tc>
          <w:tcPr>
            <w:tcW w:w="947"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-0.0044</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-0.0283</w:t>
            </w:r>
            <w:r>
              <w:rPr>
                <w:rFonts w:hint="eastAsia"/>
                <w:b/>
                <w:color w:val="000000"/>
                <w:sz w:val="22"/>
              </w:rPr>
              <w:t>***</w:t>
            </w:r>
          </w:p>
        </w:tc>
        <w:tc>
          <w:tcPr>
            <w:tcW w:w="725"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r>
              <w:rPr>
                <w:rFonts w:hint="eastAsia"/>
                <w:color w:val="000000"/>
                <w:sz w:val="22"/>
              </w:rPr>
              <w:t>4.85</w:t>
            </w: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-0.0084</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-0.0023</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-0.0061</w:t>
            </w:r>
          </w:p>
        </w:tc>
        <w:tc>
          <w:tcPr>
            <w:tcW w:w="717"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r>
              <w:rPr>
                <w:rFonts w:hint="eastAsia"/>
                <w:color w:val="000000"/>
                <w:sz w:val="22"/>
              </w:rPr>
              <w:t>1.19</w:t>
            </w: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-0.0109</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-0.0034</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-0.0075</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1.61</w:t>
            </w:r>
          </w:p>
        </w:tc>
      </w:tr>
      <w:tr w:rsidR="00513D34" w:rsidRPr="005F1F09" w:rsidTr="00E73225">
        <w:trPr>
          <w:trHeight w:hRule="exact" w:val="340"/>
        </w:trPr>
        <w:tc>
          <w:tcPr>
            <w:tcW w:w="978" w:type="dxa"/>
            <w:tcBorders>
              <w:top w:val="nil"/>
              <w:bottom w:val="nil"/>
            </w:tcBorders>
            <w:shd w:val="clear" w:color="auto" w:fill="auto"/>
            <w:noWrap/>
            <w:vAlign w:val="center"/>
          </w:tcPr>
          <w:p w:rsidR="00513D34" w:rsidRPr="005F1F09" w:rsidRDefault="00513D34" w:rsidP="00E73225">
            <w:pPr>
              <w:rPr>
                <w:color w:val="000000"/>
                <w:sz w:val="22"/>
              </w:rPr>
            </w:pPr>
          </w:p>
        </w:tc>
        <w:tc>
          <w:tcPr>
            <w:tcW w:w="995" w:type="dxa"/>
            <w:tcBorders>
              <w:top w:val="nil"/>
              <w:bottom w:val="nil"/>
              <w:right w:val="nil"/>
            </w:tcBorders>
            <w:shd w:val="clear" w:color="auto" w:fill="auto"/>
            <w:vAlign w:val="center"/>
          </w:tcPr>
          <w:p w:rsidR="00513D34" w:rsidRPr="005F1F09" w:rsidRDefault="00513D34" w:rsidP="00E73225">
            <w:pPr>
              <w:rPr>
                <w:color w:val="000000"/>
                <w:sz w:val="22"/>
              </w:rPr>
            </w:pPr>
            <w:r>
              <w:rPr>
                <w:rFonts w:hint="eastAsia"/>
                <w:color w:val="000000"/>
                <w:sz w:val="22"/>
              </w:rPr>
              <w:t>Median</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-0.0178</w:t>
            </w:r>
          </w:p>
        </w:tc>
        <w:tc>
          <w:tcPr>
            <w:tcW w:w="947"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0.0045</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-0.0223</w:t>
            </w:r>
            <w:r>
              <w:rPr>
                <w:rFonts w:hint="eastAsia"/>
                <w:b/>
                <w:color w:val="000000"/>
                <w:sz w:val="22"/>
              </w:rPr>
              <w:t>***</w:t>
            </w:r>
          </w:p>
        </w:tc>
        <w:tc>
          <w:tcPr>
            <w:tcW w:w="725"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r>
              <w:rPr>
                <w:rFonts w:hint="eastAsia"/>
                <w:color w:val="000000"/>
                <w:sz w:val="22"/>
              </w:rPr>
              <w:t>5.43</w:t>
            </w: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-0.0010</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0.0027</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-0.0037</w:t>
            </w:r>
          </w:p>
        </w:tc>
        <w:tc>
          <w:tcPr>
            <w:tcW w:w="717" w:type="dxa"/>
            <w:tcBorders>
              <w:top w:val="nil"/>
              <w:left w:val="nil"/>
              <w:bottom w:val="nil"/>
              <w:right w:val="nil"/>
            </w:tcBorders>
            <w:shd w:val="clear" w:color="auto" w:fill="auto"/>
            <w:noWrap/>
            <w:vAlign w:val="center"/>
          </w:tcPr>
          <w:p w:rsidR="00513D34" w:rsidRPr="005F1F09" w:rsidRDefault="00513D34" w:rsidP="00E73225">
            <w:pPr>
              <w:jc w:val="center"/>
              <w:rPr>
                <w:color w:val="000000"/>
                <w:sz w:val="22"/>
              </w:rPr>
            </w:pPr>
            <w:r>
              <w:rPr>
                <w:rFonts w:hint="eastAsia"/>
                <w:color w:val="000000"/>
                <w:sz w:val="22"/>
              </w:rPr>
              <w:t>1.32</w:t>
            </w:r>
          </w:p>
        </w:tc>
        <w:tc>
          <w:tcPr>
            <w:tcW w:w="197" w:type="dxa"/>
            <w:tcBorders>
              <w:top w:val="nil"/>
              <w:left w:val="nil"/>
              <w:bottom w:val="nil"/>
              <w:right w:val="nil"/>
            </w:tcBorders>
            <w:shd w:val="clear" w:color="auto" w:fill="auto"/>
            <w:noWrap/>
            <w:vAlign w:val="center"/>
          </w:tcPr>
          <w:p w:rsidR="00513D34" w:rsidRPr="005F1F09" w:rsidRDefault="00513D34" w:rsidP="00E73225">
            <w:pPr>
              <w:rPr>
                <w:color w:val="000000"/>
                <w:sz w:val="22"/>
              </w:rPr>
            </w:pP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0.0005</w:t>
            </w:r>
          </w:p>
        </w:tc>
        <w:tc>
          <w:tcPr>
            <w:tcW w:w="946" w:type="dxa"/>
            <w:tcBorders>
              <w:top w:val="nil"/>
              <w:left w:val="nil"/>
              <w:bottom w:val="nil"/>
              <w:right w:val="nil"/>
            </w:tcBorders>
            <w:shd w:val="clear" w:color="auto" w:fill="auto"/>
            <w:noWrap/>
            <w:vAlign w:val="bottom"/>
          </w:tcPr>
          <w:p w:rsidR="00513D34" w:rsidRPr="005F1F09" w:rsidRDefault="00513D34" w:rsidP="00E73225">
            <w:pPr>
              <w:tabs>
                <w:tab w:val="decimal" w:pos="288"/>
              </w:tabs>
              <w:rPr>
                <w:color w:val="000000"/>
                <w:sz w:val="22"/>
              </w:rPr>
            </w:pPr>
            <w:r w:rsidRPr="005F1F09">
              <w:rPr>
                <w:color w:val="000000"/>
                <w:sz w:val="22"/>
              </w:rPr>
              <w:t>0.0032</w:t>
            </w:r>
          </w:p>
        </w:tc>
        <w:tc>
          <w:tcPr>
            <w:tcW w:w="1242" w:type="dxa"/>
            <w:tcBorders>
              <w:top w:val="nil"/>
              <w:left w:val="nil"/>
              <w:bottom w:val="nil"/>
              <w:right w:val="nil"/>
            </w:tcBorders>
            <w:shd w:val="clear" w:color="auto" w:fill="auto"/>
            <w:noWrap/>
            <w:vAlign w:val="bottom"/>
          </w:tcPr>
          <w:p w:rsidR="00513D34" w:rsidRPr="002D53C8" w:rsidRDefault="00513D34" w:rsidP="00E73225">
            <w:pPr>
              <w:tabs>
                <w:tab w:val="decimal" w:pos="288"/>
              </w:tabs>
              <w:rPr>
                <w:b/>
                <w:color w:val="000000"/>
                <w:sz w:val="22"/>
              </w:rPr>
            </w:pPr>
            <w:r w:rsidRPr="002D53C8">
              <w:rPr>
                <w:b/>
                <w:color w:val="000000"/>
                <w:sz w:val="22"/>
              </w:rPr>
              <w:t>-0.0027</w:t>
            </w:r>
          </w:p>
        </w:tc>
        <w:tc>
          <w:tcPr>
            <w:tcW w:w="789" w:type="dxa"/>
            <w:tcBorders>
              <w:top w:val="nil"/>
              <w:left w:val="nil"/>
              <w:bottom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1.58</w:t>
            </w:r>
          </w:p>
        </w:tc>
      </w:tr>
      <w:tr w:rsidR="00513D34" w:rsidRPr="005F1F09" w:rsidTr="00E73225">
        <w:trPr>
          <w:trHeight w:hRule="exact" w:val="340"/>
        </w:trPr>
        <w:tc>
          <w:tcPr>
            <w:tcW w:w="978" w:type="dxa"/>
            <w:tcBorders>
              <w:top w:val="nil"/>
              <w:bottom w:val="single" w:sz="4" w:space="0" w:color="auto"/>
            </w:tcBorders>
            <w:shd w:val="clear" w:color="auto" w:fill="auto"/>
            <w:noWrap/>
            <w:vAlign w:val="center"/>
            <w:hideMark/>
          </w:tcPr>
          <w:p w:rsidR="00513D34" w:rsidRPr="005F1F09" w:rsidRDefault="00513D34" w:rsidP="00E73225">
            <w:pPr>
              <w:rPr>
                <w:color w:val="000000"/>
                <w:sz w:val="22"/>
              </w:rPr>
            </w:pPr>
            <w:r w:rsidRPr="005F1F09">
              <w:rPr>
                <w:color w:val="000000"/>
                <w:sz w:val="22"/>
              </w:rPr>
              <w:t>N</w:t>
            </w:r>
          </w:p>
        </w:tc>
        <w:tc>
          <w:tcPr>
            <w:tcW w:w="995" w:type="dxa"/>
            <w:tcBorders>
              <w:top w:val="nil"/>
              <w:bottom w:val="single" w:sz="4" w:space="0" w:color="auto"/>
              <w:right w:val="nil"/>
            </w:tcBorders>
            <w:shd w:val="clear" w:color="auto" w:fill="auto"/>
            <w:vAlign w:val="center"/>
          </w:tcPr>
          <w:p w:rsidR="00513D34" w:rsidRPr="005F1F09" w:rsidRDefault="00513D34" w:rsidP="00E73225">
            <w:pPr>
              <w:rPr>
                <w:color w:val="000000"/>
                <w:sz w:val="22"/>
              </w:rPr>
            </w:pPr>
          </w:p>
        </w:tc>
        <w:tc>
          <w:tcPr>
            <w:tcW w:w="946"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225</w:t>
            </w:r>
          </w:p>
        </w:tc>
        <w:tc>
          <w:tcPr>
            <w:tcW w:w="947"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4,564</w:t>
            </w:r>
          </w:p>
        </w:tc>
        <w:tc>
          <w:tcPr>
            <w:tcW w:w="1242"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25"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197"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946"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266</w:t>
            </w:r>
          </w:p>
        </w:tc>
        <w:tc>
          <w:tcPr>
            <w:tcW w:w="946"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5,289</w:t>
            </w:r>
          </w:p>
        </w:tc>
        <w:tc>
          <w:tcPr>
            <w:tcW w:w="1242"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17"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197"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946"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244</w:t>
            </w:r>
          </w:p>
        </w:tc>
        <w:tc>
          <w:tcPr>
            <w:tcW w:w="946"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r>
              <w:rPr>
                <w:rFonts w:hint="eastAsia"/>
                <w:color w:val="000000"/>
                <w:sz w:val="22"/>
              </w:rPr>
              <w:t>4,017</w:t>
            </w:r>
          </w:p>
        </w:tc>
        <w:tc>
          <w:tcPr>
            <w:tcW w:w="1242" w:type="dxa"/>
            <w:tcBorders>
              <w:top w:val="nil"/>
              <w:left w:val="nil"/>
              <w:bottom w:val="single" w:sz="4" w:space="0" w:color="auto"/>
              <w:right w:val="nil"/>
            </w:tcBorders>
            <w:shd w:val="clear" w:color="auto" w:fill="auto"/>
            <w:noWrap/>
            <w:vAlign w:val="center"/>
            <w:hideMark/>
          </w:tcPr>
          <w:p w:rsidR="00513D34" w:rsidRPr="005F1F09" w:rsidRDefault="00513D34" w:rsidP="00E73225">
            <w:pPr>
              <w:jc w:val="center"/>
              <w:rPr>
                <w:color w:val="000000"/>
                <w:sz w:val="22"/>
              </w:rPr>
            </w:pPr>
          </w:p>
        </w:tc>
        <w:tc>
          <w:tcPr>
            <w:tcW w:w="789" w:type="dxa"/>
            <w:tcBorders>
              <w:top w:val="nil"/>
              <w:left w:val="nil"/>
              <w:bottom w:val="single" w:sz="4" w:space="0" w:color="auto"/>
            </w:tcBorders>
            <w:shd w:val="clear" w:color="auto" w:fill="auto"/>
            <w:noWrap/>
            <w:vAlign w:val="center"/>
            <w:hideMark/>
          </w:tcPr>
          <w:p w:rsidR="00513D34" w:rsidRPr="005F1F09" w:rsidRDefault="00513D34" w:rsidP="00E73225">
            <w:pPr>
              <w:jc w:val="center"/>
              <w:rPr>
                <w:color w:val="000000"/>
                <w:sz w:val="22"/>
              </w:rPr>
            </w:pPr>
          </w:p>
        </w:tc>
      </w:tr>
    </w:tbl>
    <w:p w:rsidR="00513D34" w:rsidRDefault="00513D34" w:rsidP="00513D34">
      <w:pPr>
        <w:sectPr w:rsidR="00513D34" w:rsidSect="00997FC2">
          <w:pgSz w:w="16838" w:h="11906" w:orient="landscape"/>
          <w:pgMar w:top="1701" w:right="1440" w:bottom="1701" w:left="1440" w:header="851" w:footer="992" w:gutter="0"/>
          <w:cols w:space="425"/>
          <w:docGrid w:type="lines" w:linePitch="360"/>
        </w:sectPr>
      </w:pPr>
    </w:p>
    <w:p w:rsidR="00513D34" w:rsidRPr="001C2FB5" w:rsidRDefault="00513D34" w:rsidP="00513D34">
      <w:pPr>
        <w:rPr>
          <w:b/>
          <w:szCs w:val="24"/>
        </w:rPr>
      </w:pPr>
      <w:r w:rsidRPr="001C2FB5">
        <w:rPr>
          <w:b/>
          <w:szCs w:val="24"/>
        </w:rPr>
        <w:lastRenderedPageBreak/>
        <w:t>Table 5 Regression Results</w:t>
      </w:r>
    </w:p>
    <w:p w:rsidR="00513D34" w:rsidRPr="002A54DB" w:rsidRDefault="00513D34" w:rsidP="00513D34">
      <w:pPr>
        <w:spacing w:line="240" w:lineRule="exact"/>
        <w:jc w:val="both"/>
        <w:rPr>
          <w:sz w:val="20"/>
        </w:rPr>
      </w:pPr>
      <w:r w:rsidRPr="002A54DB">
        <w:rPr>
          <w:rFonts w:hint="eastAsia"/>
          <w:sz w:val="20"/>
        </w:rPr>
        <w:t xml:space="preserve">This table reports the regression results of estimating the relation among the repurchase event, corporate governance variables, and disclosure of bad news. Panel A presents logistic regression results clustered by </w:t>
      </w:r>
      <w:r w:rsidRPr="002A54DB">
        <w:rPr>
          <w:sz w:val="20"/>
        </w:rPr>
        <w:t>industry</w:t>
      </w:r>
      <w:r w:rsidRPr="002A54DB">
        <w:rPr>
          <w:rFonts w:hint="eastAsia"/>
          <w:sz w:val="20"/>
        </w:rPr>
        <w:t xml:space="preserve"> and year using the dependent variable, BN, a dummy variable that equals one if the management forecast is classified as bad news and zero otherwise. Panel B presents ordinary least squares regression r</w:t>
      </w:r>
      <w:r>
        <w:rPr>
          <w:rFonts w:hint="eastAsia"/>
          <w:sz w:val="20"/>
        </w:rPr>
        <w:t xml:space="preserve">esults </w:t>
      </w:r>
      <w:r w:rsidRPr="002A54DB">
        <w:rPr>
          <w:rFonts w:hint="eastAsia"/>
          <w:sz w:val="20"/>
        </w:rPr>
        <w:t xml:space="preserve">clustered by </w:t>
      </w:r>
      <w:r w:rsidRPr="002A54DB">
        <w:rPr>
          <w:sz w:val="20"/>
        </w:rPr>
        <w:t>industry</w:t>
      </w:r>
      <w:r w:rsidRPr="002A54DB">
        <w:rPr>
          <w:rFonts w:hint="eastAsia"/>
          <w:sz w:val="20"/>
        </w:rPr>
        <w:t xml:space="preserve"> and year using the dependent variable, AR, the abnormal return over the 3-day window [-1, 1] around management forecasts.</w:t>
      </w:r>
      <w:r w:rsidRPr="002A54DB">
        <w:rPr>
          <w:sz w:val="20"/>
        </w:rPr>
        <w:t xml:space="preserve"> </w:t>
      </w:r>
      <w:r w:rsidRPr="002A54DB">
        <w:rPr>
          <w:rFonts w:hint="eastAsia"/>
          <w:sz w:val="20"/>
        </w:rPr>
        <w:t xml:space="preserve">*, **, and </w:t>
      </w:r>
      <w:r w:rsidRPr="002A54DB">
        <w:rPr>
          <w:sz w:val="20"/>
        </w:rPr>
        <w:t>***</w:t>
      </w:r>
      <w:r w:rsidRPr="002A54DB">
        <w:rPr>
          <w:rFonts w:hint="eastAsia"/>
          <w:sz w:val="20"/>
        </w:rPr>
        <w:t xml:space="preserve"> </w:t>
      </w:r>
      <w:r w:rsidRPr="002A54DB">
        <w:rPr>
          <w:sz w:val="20"/>
        </w:rPr>
        <w:t xml:space="preserve">represent </w:t>
      </w:r>
      <w:r w:rsidRPr="002A54DB">
        <w:rPr>
          <w:rFonts w:hint="eastAsia"/>
          <w:sz w:val="20"/>
        </w:rPr>
        <w:t xml:space="preserve">the 10%, 5%, and </w:t>
      </w:r>
      <w:r w:rsidRPr="002A54DB">
        <w:rPr>
          <w:sz w:val="20"/>
        </w:rPr>
        <w:t>1%</w:t>
      </w:r>
      <w:r w:rsidRPr="002A54DB">
        <w:rPr>
          <w:rFonts w:hint="eastAsia"/>
          <w:sz w:val="20"/>
        </w:rPr>
        <w:t xml:space="preserve"> </w:t>
      </w:r>
      <w:r w:rsidRPr="002A54DB">
        <w:rPr>
          <w:sz w:val="20"/>
        </w:rPr>
        <w:t>significance level</w:t>
      </w:r>
      <w:r w:rsidRPr="002A54DB">
        <w:rPr>
          <w:rFonts w:hint="eastAsia"/>
          <w:sz w:val="20"/>
        </w:rPr>
        <w:t>s, respectively</w:t>
      </w:r>
      <w:r w:rsidRPr="002A54DB">
        <w:rPr>
          <w:sz w:val="20"/>
        </w:rPr>
        <w:t>.</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432"/>
        <w:gridCol w:w="1433"/>
      </w:tblGrid>
      <w:tr w:rsidR="00513D34" w:rsidRPr="005A507B" w:rsidTr="00E73225">
        <w:trPr>
          <w:trHeight w:hRule="exact" w:val="312"/>
        </w:trPr>
        <w:tc>
          <w:tcPr>
            <w:tcW w:w="5637" w:type="dxa"/>
            <w:tcBorders>
              <w:bottom w:val="double" w:sz="4" w:space="0" w:color="auto"/>
            </w:tcBorders>
          </w:tcPr>
          <w:p w:rsidR="00513D34" w:rsidRPr="005A507B" w:rsidRDefault="00513D34" w:rsidP="00E73225">
            <w:pPr>
              <w:rPr>
                <w:sz w:val="22"/>
                <w:szCs w:val="22"/>
              </w:rPr>
            </w:pPr>
            <w:r w:rsidRPr="005A507B">
              <w:rPr>
                <w:sz w:val="22"/>
                <w:szCs w:val="22"/>
              </w:rPr>
              <w:t>Variables</w:t>
            </w:r>
          </w:p>
        </w:tc>
        <w:tc>
          <w:tcPr>
            <w:tcW w:w="2865" w:type="dxa"/>
            <w:gridSpan w:val="2"/>
            <w:tcBorders>
              <w:bottom w:val="double" w:sz="4" w:space="0" w:color="auto"/>
            </w:tcBorders>
          </w:tcPr>
          <w:p w:rsidR="00513D34" w:rsidRPr="005A507B" w:rsidRDefault="00513D34" w:rsidP="00E73225">
            <w:pPr>
              <w:jc w:val="center"/>
              <w:rPr>
                <w:sz w:val="22"/>
                <w:szCs w:val="22"/>
              </w:rPr>
            </w:pPr>
            <w:r w:rsidRPr="005A507B">
              <w:rPr>
                <w:sz w:val="22"/>
                <w:szCs w:val="22"/>
              </w:rPr>
              <w:t>Parameter estimate</w:t>
            </w:r>
          </w:p>
        </w:tc>
      </w:tr>
      <w:tr w:rsidR="00513D34" w:rsidRPr="005A507B" w:rsidTr="00E73225">
        <w:trPr>
          <w:trHeight w:hRule="exact" w:val="312"/>
        </w:trPr>
        <w:tc>
          <w:tcPr>
            <w:tcW w:w="8502" w:type="dxa"/>
            <w:gridSpan w:val="3"/>
            <w:tcBorders>
              <w:top w:val="double" w:sz="4" w:space="0" w:color="auto"/>
              <w:bottom w:val="single" w:sz="4" w:space="0" w:color="auto"/>
            </w:tcBorders>
          </w:tcPr>
          <w:p w:rsidR="00513D34" w:rsidRPr="005A507B" w:rsidRDefault="00513D34" w:rsidP="00E73225">
            <w:pPr>
              <w:jc w:val="center"/>
              <w:rPr>
                <w:i/>
                <w:sz w:val="22"/>
                <w:szCs w:val="22"/>
              </w:rPr>
            </w:pPr>
            <w:r w:rsidRPr="005A507B">
              <w:rPr>
                <w:i/>
                <w:sz w:val="22"/>
                <w:szCs w:val="22"/>
              </w:rPr>
              <w:t>Panel A: Prob(BN) as Dependent Variable</w:t>
            </w:r>
          </w:p>
        </w:tc>
      </w:tr>
      <w:tr w:rsidR="00513D34" w:rsidRPr="005A507B" w:rsidTr="00E73225">
        <w:trPr>
          <w:trHeight w:hRule="exact" w:val="312"/>
        </w:trPr>
        <w:tc>
          <w:tcPr>
            <w:tcW w:w="5637" w:type="dxa"/>
            <w:tcBorders>
              <w:top w:val="single" w:sz="4" w:space="0" w:color="auto"/>
            </w:tcBorders>
          </w:tcPr>
          <w:p w:rsidR="00513D34" w:rsidRPr="005A507B" w:rsidRDefault="00513D34" w:rsidP="00E73225">
            <w:pPr>
              <w:rPr>
                <w:sz w:val="22"/>
                <w:szCs w:val="22"/>
              </w:rPr>
            </w:pPr>
            <w:r w:rsidRPr="005A507B">
              <w:rPr>
                <w:sz w:val="22"/>
                <w:szCs w:val="22"/>
              </w:rPr>
              <w:t>Intercept</w:t>
            </w:r>
          </w:p>
        </w:tc>
        <w:tc>
          <w:tcPr>
            <w:tcW w:w="1432" w:type="dxa"/>
            <w:tcBorders>
              <w:top w:val="single" w:sz="4" w:space="0" w:color="auto"/>
            </w:tcBorders>
          </w:tcPr>
          <w:p w:rsidR="00513D34" w:rsidRPr="005A507B" w:rsidRDefault="00513D34" w:rsidP="00E73225">
            <w:pPr>
              <w:tabs>
                <w:tab w:val="decimal" w:pos="288"/>
              </w:tabs>
              <w:rPr>
                <w:sz w:val="22"/>
                <w:szCs w:val="22"/>
              </w:rPr>
            </w:pPr>
            <w:r w:rsidRPr="005A507B">
              <w:rPr>
                <w:sz w:val="22"/>
                <w:szCs w:val="22"/>
              </w:rPr>
              <w:t>0.0014</w:t>
            </w:r>
          </w:p>
          <w:p w:rsidR="00513D34" w:rsidRPr="005A507B" w:rsidRDefault="00513D34" w:rsidP="00E73225">
            <w:pPr>
              <w:tabs>
                <w:tab w:val="decimal" w:pos="288"/>
              </w:tabs>
              <w:rPr>
                <w:sz w:val="22"/>
                <w:szCs w:val="22"/>
              </w:rPr>
            </w:pPr>
          </w:p>
        </w:tc>
        <w:tc>
          <w:tcPr>
            <w:tcW w:w="1433" w:type="dxa"/>
            <w:tcBorders>
              <w:top w:val="single" w:sz="4" w:space="0" w:color="auto"/>
            </w:tcBorders>
          </w:tcPr>
          <w:p w:rsidR="00513D34" w:rsidRPr="005A507B" w:rsidRDefault="00513D34" w:rsidP="00E73225">
            <w:pPr>
              <w:tabs>
                <w:tab w:val="decimal" w:pos="288"/>
              </w:tabs>
              <w:rPr>
                <w:sz w:val="22"/>
                <w:szCs w:val="22"/>
              </w:rPr>
            </w:pPr>
            <w:r w:rsidRPr="005A507B">
              <w:rPr>
                <w:sz w:val="22"/>
                <w:szCs w:val="22"/>
              </w:rPr>
              <w:t>0.2621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(0.01)</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(1.17)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DisclosureRep</w:t>
            </w:r>
          </w:p>
        </w:tc>
        <w:tc>
          <w:tcPr>
            <w:tcW w:w="1432" w:type="dxa"/>
          </w:tcPr>
          <w:p w:rsidR="00513D34" w:rsidRPr="005A507B" w:rsidRDefault="00513D34" w:rsidP="00E73225">
            <w:pPr>
              <w:tabs>
                <w:tab w:val="decimal" w:pos="288"/>
              </w:tabs>
              <w:rPr>
                <w:b/>
                <w:sz w:val="22"/>
                <w:szCs w:val="22"/>
              </w:rPr>
            </w:pPr>
            <w:r w:rsidRPr="005A507B">
              <w:rPr>
                <w:b/>
                <w:sz w:val="22"/>
                <w:szCs w:val="22"/>
              </w:rPr>
              <w:t>0.2114**</w:t>
            </w:r>
          </w:p>
          <w:p w:rsidR="00513D34" w:rsidRPr="005A507B" w:rsidRDefault="00513D34" w:rsidP="00E73225">
            <w:pPr>
              <w:tabs>
                <w:tab w:val="decimal" w:pos="288"/>
              </w:tabs>
              <w:rPr>
                <w:b/>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0.8656</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p>
        </w:tc>
        <w:tc>
          <w:tcPr>
            <w:tcW w:w="1432" w:type="dxa"/>
          </w:tcPr>
          <w:p w:rsidR="00513D34" w:rsidRPr="005A507B" w:rsidRDefault="00513D34" w:rsidP="00E73225">
            <w:pPr>
              <w:tabs>
                <w:tab w:val="decimal" w:pos="288"/>
              </w:tabs>
              <w:rPr>
                <w:b/>
                <w:sz w:val="22"/>
                <w:szCs w:val="22"/>
              </w:rPr>
            </w:pPr>
            <w:r w:rsidRPr="005A507B">
              <w:rPr>
                <w:b/>
                <w:sz w:val="22"/>
                <w:szCs w:val="22"/>
              </w:rPr>
              <w:t>(2.03)</w:t>
            </w:r>
          </w:p>
        </w:tc>
        <w:tc>
          <w:tcPr>
            <w:tcW w:w="1433" w:type="dxa"/>
          </w:tcPr>
          <w:p w:rsidR="00513D34" w:rsidRPr="005A507B" w:rsidRDefault="00513D34" w:rsidP="00E73225">
            <w:pPr>
              <w:tabs>
                <w:tab w:val="decimal" w:pos="288"/>
              </w:tabs>
              <w:rPr>
                <w:b/>
                <w:sz w:val="22"/>
                <w:szCs w:val="22"/>
              </w:rPr>
            </w:pPr>
            <w:r w:rsidRPr="005A507B">
              <w:rPr>
                <w:b/>
                <w:sz w:val="22"/>
                <w:szCs w:val="22"/>
              </w:rPr>
              <w:t>(1.58)</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Institutional ownership percentage</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-0.1144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(0.91)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Institutional ownership percentage*DisclosureRep</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0.5384</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(1.24)</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Number of analyst following</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0.0093***</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(4.42)</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Number of analyst following* DisclosureRep</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-0.0119**</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(2.13)</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Outside director percentage</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0.1534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(1.31)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Outside director percentage* DisclosureRep</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-1.3382***</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b/>
                <w:sz w:val="22"/>
                <w:szCs w:val="22"/>
              </w:rPr>
              <w:t>(3.94)</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rFonts w:hint="eastAsia"/>
                <w:sz w:val="22"/>
                <w:szCs w:val="22"/>
              </w:rPr>
              <w:t>Log m</w:t>
            </w:r>
            <w:r w:rsidRPr="005A507B">
              <w:rPr>
                <w:sz w:val="22"/>
                <w:szCs w:val="22"/>
              </w:rPr>
              <w:t>arket value</w:t>
            </w:r>
          </w:p>
        </w:tc>
        <w:tc>
          <w:tcPr>
            <w:tcW w:w="1432" w:type="dxa"/>
          </w:tcPr>
          <w:p w:rsidR="00513D34" w:rsidRPr="005A507B" w:rsidRDefault="00513D34" w:rsidP="00E73225">
            <w:pPr>
              <w:tabs>
                <w:tab w:val="decimal" w:pos="288"/>
              </w:tabs>
              <w:rPr>
                <w:sz w:val="22"/>
                <w:szCs w:val="22"/>
              </w:rPr>
            </w:pPr>
            <w:r w:rsidRPr="005A507B">
              <w:rPr>
                <w:sz w:val="22"/>
                <w:szCs w:val="22"/>
              </w:rPr>
              <w:t>-0.0095</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-0.0331***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(0.89)</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(2.68)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Market-to-book ratio</w:t>
            </w:r>
          </w:p>
        </w:tc>
        <w:tc>
          <w:tcPr>
            <w:tcW w:w="1432" w:type="dxa"/>
          </w:tcPr>
          <w:p w:rsidR="00513D34" w:rsidRPr="005A507B" w:rsidRDefault="00513D34" w:rsidP="00E73225">
            <w:pPr>
              <w:tabs>
                <w:tab w:val="decimal" w:pos="288"/>
              </w:tabs>
              <w:rPr>
                <w:sz w:val="22"/>
                <w:szCs w:val="22"/>
              </w:rPr>
            </w:pPr>
            <w:r w:rsidRPr="005A507B">
              <w:rPr>
                <w:sz w:val="22"/>
                <w:szCs w:val="22"/>
              </w:rPr>
              <w:t>-0.0008</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-0.0008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(0.40)</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(0.36)</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Litigation industry</w:t>
            </w:r>
          </w:p>
        </w:tc>
        <w:tc>
          <w:tcPr>
            <w:tcW w:w="1432" w:type="dxa"/>
          </w:tcPr>
          <w:p w:rsidR="00513D34" w:rsidRPr="005A507B" w:rsidRDefault="00513D34" w:rsidP="00E73225">
            <w:pPr>
              <w:tabs>
                <w:tab w:val="decimal" w:pos="288"/>
              </w:tabs>
              <w:rPr>
                <w:sz w:val="22"/>
                <w:szCs w:val="22"/>
              </w:rPr>
            </w:pPr>
            <w:r w:rsidRPr="005A507B">
              <w:rPr>
                <w:sz w:val="22"/>
                <w:szCs w:val="22"/>
              </w:rPr>
              <w:t>0.0060</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-0.0164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(0.16)</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(0.41)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Return on equity</w:t>
            </w:r>
          </w:p>
        </w:tc>
        <w:tc>
          <w:tcPr>
            <w:tcW w:w="1432" w:type="dxa"/>
          </w:tcPr>
          <w:p w:rsidR="00513D34" w:rsidRPr="005A507B" w:rsidRDefault="00513D34" w:rsidP="00E73225">
            <w:pPr>
              <w:tabs>
                <w:tab w:val="decimal" w:pos="288"/>
              </w:tabs>
              <w:rPr>
                <w:sz w:val="22"/>
                <w:szCs w:val="22"/>
              </w:rPr>
            </w:pPr>
            <w:r w:rsidRPr="005A507B">
              <w:rPr>
                <w:sz w:val="22"/>
                <w:szCs w:val="22"/>
              </w:rPr>
              <w:t>0.0084</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0.0097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(0.29)</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(0.28)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Loss</w:t>
            </w:r>
          </w:p>
        </w:tc>
        <w:tc>
          <w:tcPr>
            <w:tcW w:w="1432" w:type="dxa"/>
          </w:tcPr>
          <w:p w:rsidR="00513D34" w:rsidRPr="005A507B" w:rsidRDefault="00513D34" w:rsidP="00E73225">
            <w:pPr>
              <w:tabs>
                <w:tab w:val="decimal" w:pos="288"/>
              </w:tabs>
              <w:rPr>
                <w:sz w:val="22"/>
                <w:szCs w:val="22"/>
              </w:rPr>
            </w:pPr>
            <w:r w:rsidRPr="005A507B">
              <w:rPr>
                <w:sz w:val="22"/>
                <w:szCs w:val="22"/>
              </w:rPr>
              <w:t>-0.0082</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-0.0227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(0.13)</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(0.46)</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 xml:space="preserve">Earnings </w:t>
            </w:r>
            <w:r w:rsidRPr="005A507B">
              <w:rPr>
                <w:rFonts w:hint="eastAsia"/>
                <w:sz w:val="22"/>
                <w:szCs w:val="22"/>
              </w:rPr>
              <w:t>v</w:t>
            </w:r>
            <w:r w:rsidRPr="005A507B">
              <w:rPr>
                <w:sz w:val="22"/>
                <w:szCs w:val="22"/>
              </w:rPr>
              <w:t>olatility</w:t>
            </w:r>
          </w:p>
        </w:tc>
        <w:tc>
          <w:tcPr>
            <w:tcW w:w="1432" w:type="dxa"/>
          </w:tcPr>
          <w:p w:rsidR="00513D34" w:rsidRPr="005A507B" w:rsidRDefault="00513D34" w:rsidP="00E73225">
            <w:pPr>
              <w:tabs>
                <w:tab w:val="decimal" w:pos="288"/>
              </w:tabs>
              <w:rPr>
                <w:sz w:val="22"/>
                <w:szCs w:val="22"/>
              </w:rPr>
            </w:pPr>
            <w:r w:rsidRPr="005A507B">
              <w:rPr>
                <w:sz w:val="22"/>
                <w:szCs w:val="22"/>
              </w:rPr>
              <w:t>58.0022**</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56.3990*</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(2.06)</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(1.83)</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Prior cumulative abnormal returns</w:t>
            </w:r>
          </w:p>
        </w:tc>
        <w:tc>
          <w:tcPr>
            <w:tcW w:w="1432" w:type="dxa"/>
          </w:tcPr>
          <w:p w:rsidR="00513D34" w:rsidRPr="005A507B" w:rsidRDefault="00513D34" w:rsidP="00E73225">
            <w:pPr>
              <w:tabs>
                <w:tab w:val="decimal" w:pos="288"/>
              </w:tabs>
              <w:rPr>
                <w:sz w:val="22"/>
                <w:szCs w:val="22"/>
              </w:rPr>
            </w:pPr>
            <w:r w:rsidRPr="005A507B">
              <w:rPr>
                <w:sz w:val="22"/>
                <w:szCs w:val="22"/>
              </w:rPr>
              <w:t>-0.0491</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-0.0398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(0.31)</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(0.27)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rFonts w:hint="eastAsia"/>
                <w:sz w:val="22"/>
                <w:szCs w:val="22"/>
              </w:rPr>
              <w:t>Stock compensation</w:t>
            </w:r>
            <w:r w:rsidRPr="005A507B">
              <w:rPr>
                <w:sz w:val="22"/>
                <w:szCs w:val="22"/>
              </w:rPr>
              <w:t xml:space="preserve"> of CEO</w:t>
            </w:r>
          </w:p>
        </w:tc>
        <w:tc>
          <w:tcPr>
            <w:tcW w:w="1432" w:type="dxa"/>
          </w:tcPr>
          <w:p w:rsidR="00513D34" w:rsidRPr="005A507B" w:rsidRDefault="00513D34" w:rsidP="00E73225">
            <w:pPr>
              <w:tabs>
                <w:tab w:val="decimal" w:pos="288"/>
              </w:tabs>
              <w:rPr>
                <w:sz w:val="22"/>
                <w:szCs w:val="22"/>
              </w:rPr>
            </w:pPr>
            <w:r w:rsidRPr="005A507B">
              <w:rPr>
                <w:sz w:val="22"/>
                <w:szCs w:val="22"/>
              </w:rPr>
              <w:t>0.0702*</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0.0718</w:t>
            </w:r>
            <w:r w:rsidRPr="005A507B">
              <w:rPr>
                <w:rFonts w:hint="eastAsia"/>
                <w:sz w:val="22"/>
                <w:szCs w:val="22"/>
              </w:rPr>
              <w:t>**</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(1.85)</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(2.01)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Stock</w:t>
            </w:r>
            <w:r w:rsidRPr="005A507B">
              <w:rPr>
                <w:rFonts w:hint="eastAsia"/>
                <w:sz w:val="22"/>
                <w:szCs w:val="22"/>
              </w:rPr>
              <w:t xml:space="preserve"> compensation</w:t>
            </w:r>
            <w:r w:rsidRPr="005A507B">
              <w:rPr>
                <w:sz w:val="22"/>
                <w:szCs w:val="22"/>
              </w:rPr>
              <w:t xml:space="preserve"> of CEO*DisclosureRep</w:t>
            </w:r>
          </w:p>
        </w:tc>
        <w:tc>
          <w:tcPr>
            <w:tcW w:w="1432" w:type="dxa"/>
          </w:tcPr>
          <w:p w:rsidR="00513D34" w:rsidRPr="005A507B" w:rsidRDefault="00513D34" w:rsidP="00E73225">
            <w:pPr>
              <w:tabs>
                <w:tab w:val="decimal" w:pos="288"/>
              </w:tabs>
              <w:rPr>
                <w:sz w:val="22"/>
                <w:szCs w:val="22"/>
              </w:rPr>
            </w:pPr>
            <w:r w:rsidRPr="005A507B">
              <w:rPr>
                <w:sz w:val="22"/>
                <w:szCs w:val="22"/>
              </w:rPr>
              <w:t>0.1754</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0.0369</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sz w:val="22"/>
                <w:szCs w:val="22"/>
              </w:rPr>
              <w:t>(0.79)</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sz w:val="22"/>
                <w:szCs w:val="22"/>
              </w:rPr>
              <w:t>(0.18)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N</w:t>
            </w:r>
          </w:p>
        </w:tc>
        <w:tc>
          <w:tcPr>
            <w:tcW w:w="1432" w:type="dxa"/>
          </w:tcPr>
          <w:p w:rsidR="00513D34" w:rsidRPr="005A507B" w:rsidRDefault="00513D34" w:rsidP="00E73225">
            <w:pPr>
              <w:jc w:val="center"/>
              <w:rPr>
                <w:sz w:val="22"/>
                <w:szCs w:val="22"/>
              </w:rPr>
            </w:pPr>
            <w:r w:rsidRPr="005A507B">
              <w:rPr>
                <w:rFonts w:hint="eastAsia"/>
                <w:sz w:val="22"/>
                <w:szCs w:val="22"/>
              </w:rPr>
              <w:t>14,605</w:t>
            </w:r>
          </w:p>
        </w:tc>
        <w:tc>
          <w:tcPr>
            <w:tcW w:w="1433" w:type="dxa"/>
          </w:tcPr>
          <w:p w:rsidR="00513D34" w:rsidRPr="005A507B" w:rsidRDefault="00513D34" w:rsidP="00E73225">
            <w:pPr>
              <w:jc w:val="center"/>
              <w:rPr>
                <w:sz w:val="22"/>
                <w:szCs w:val="22"/>
              </w:rPr>
            </w:pPr>
            <w:r w:rsidRPr="005A507B">
              <w:rPr>
                <w:rFonts w:hint="eastAsia"/>
                <w:sz w:val="22"/>
                <w:szCs w:val="22"/>
              </w:rPr>
              <w:t>14,605</w:t>
            </w:r>
          </w:p>
        </w:tc>
      </w:tr>
    </w:tbl>
    <w:p w:rsidR="00513D34" w:rsidRDefault="00513D34" w:rsidP="00513D34">
      <w:pPr>
        <w:sectPr w:rsidR="00513D34" w:rsidSect="002A54DB">
          <w:pgSz w:w="11906" w:h="16838"/>
          <w:pgMar w:top="1134" w:right="1797" w:bottom="1134" w:left="1797" w:header="851" w:footer="992" w:gutter="0"/>
          <w:cols w:space="425"/>
          <w:docGrid w:type="lines" w:linePitch="360"/>
        </w:sectPr>
      </w:pPr>
    </w:p>
    <w:p w:rsidR="00513D34" w:rsidRPr="00F71387" w:rsidRDefault="00513D34" w:rsidP="00513D34">
      <w:pPr>
        <w:rPr>
          <w:b/>
          <w:szCs w:val="24"/>
        </w:rPr>
      </w:pPr>
      <w:r w:rsidRPr="00F71387">
        <w:rPr>
          <w:b/>
          <w:szCs w:val="24"/>
        </w:rPr>
        <w:lastRenderedPageBreak/>
        <w:t>Table 5 (Continu</w:t>
      </w:r>
      <w:r w:rsidRPr="00F71387">
        <w:rPr>
          <w:rFonts w:hint="eastAsia"/>
          <w:b/>
          <w:szCs w:val="24"/>
        </w:rPr>
        <w:t>ed</w:t>
      </w:r>
      <w:r w:rsidRPr="00F71387">
        <w:rPr>
          <w:b/>
          <w:szCs w:val="24"/>
        </w:rPr>
        <w:t>)</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432"/>
        <w:gridCol w:w="1433"/>
      </w:tblGrid>
      <w:tr w:rsidR="00513D34" w:rsidRPr="005A507B" w:rsidTr="00E73225">
        <w:trPr>
          <w:trHeight w:hRule="exact" w:val="312"/>
        </w:trPr>
        <w:tc>
          <w:tcPr>
            <w:tcW w:w="5637" w:type="dxa"/>
            <w:tcBorders>
              <w:bottom w:val="double" w:sz="4" w:space="0" w:color="auto"/>
            </w:tcBorders>
          </w:tcPr>
          <w:p w:rsidR="00513D34" w:rsidRPr="005A507B" w:rsidRDefault="00513D34" w:rsidP="00E73225">
            <w:pPr>
              <w:rPr>
                <w:sz w:val="22"/>
                <w:szCs w:val="22"/>
              </w:rPr>
            </w:pPr>
            <w:r w:rsidRPr="005A507B">
              <w:rPr>
                <w:sz w:val="22"/>
                <w:szCs w:val="22"/>
              </w:rPr>
              <w:t>Variables</w:t>
            </w:r>
          </w:p>
        </w:tc>
        <w:tc>
          <w:tcPr>
            <w:tcW w:w="2865" w:type="dxa"/>
            <w:gridSpan w:val="2"/>
            <w:tcBorders>
              <w:bottom w:val="double" w:sz="4" w:space="0" w:color="auto"/>
            </w:tcBorders>
          </w:tcPr>
          <w:p w:rsidR="00513D34" w:rsidRPr="005A507B" w:rsidRDefault="00513D34" w:rsidP="00E73225">
            <w:pPr>
              <w:jc w:val="center"/>
              <w:rPr>
                <w:sz w:val="22"/>
                <w:szCs w:val="22"/>
              </w:rPr>
            </w:pPr>
            <w:r w:rsidRPr="005A507B">
              <w:rPr>
                <w:sz w:val="22"/>
                <w:szCs w:val="22"/>
              </w:rPr>
              <w:t>Parameter estimate</w:t>
            </w:r>
          </w:p>
        </w:tc>
      </w:tr>
      <w:tr w:rsidR="00513D34" w:rsidRPr="005A507B" w:rsidTr="00E73225">
        <w:trPr>
          <w:trHeight w:hRule="exact" w:val="312"/>
        </w:trPr>
        <w:tc>
          <w:tcPr>
            <w:tcW w:w="8502" w:type="dxa"/>
            <w:gridSpan w:val="3"/>
            <w:tcBorders>
              <w:top w:val="double" w:sz="4" w:space="0" w:color="auto"/>
              <w:bottom w:val="single" w:sz="4" w:space="0" w:color="auto"/>
            </w:tcBorders>
          </w:tcPr>
          <w:p w:rsidR="00513D34" w:rsidRPr="005A507B" w:rsidRDefault="00513D34" w:rsidP="00E73225">
            <w:pPr>
              <w:jc w:val="center"/>
              <w:rPr>
                <w:i/>
                <w:sz w:val="22"/>
                <w:szCs w:val="22"/>
              </w:rPr>
            </w:pPr>
            <w:r w:rsidRPr="005A507B">
              <w:rPr>
                <w:i/>
                <w:sz w:val="22"/>
                <w:szCs w:val="22"/>
              </w:rPr>
              <w:t>Panel B: AR as Dependent Variable</w:t>
            </w:r>
          </w:p>
        </w:tc>
      </w:tr>
      <w:tr w:rsidR="00513D34" w:rsidRPr="005A507B" w:rsidTr="00E73225">
        <w:trPr>
          <w:trHeight w:hRule="exact" w:val="312"/>
        </w:trPr>
        <w:tc>
          <w:tcPr>
            <w:tcW w:w="5637" w:type="dxa"/>
            <w:tcBorders>
              <w:top w:val="single" w:sz="4" w:space="0" w:color="auto"/>
            </w:tcBorders>
          </w:tcPr>
          <w:p w:rsidR="00513D34" w:rsidRPr="005A507B" w:rsidRDefault="00513D34" w:rsidP="00E73225">
            <w:pPr>
              <w:rPr>
                <w:sz w:val="22"/>
                <w:szCs w:val="22"/>
              </w:rPr>
            </w:pPr>
            <w:r w:rsidRPr="005A507B">
              <w:rPr>
                <w:sz w:val="22"/>
                <w:szCs w:val="22"/>
              </w:rPr>
              <w:t>Intercept</w:t>
            </w:r>
          </w:p>
        </w:tc>
        <w:tc>
          <w:tcPr>
            <w:tcW w:w="1432" w:type="dxa"/>
            <w:tcBorders>
              <w:top w:val="single" w:sz="4" w:space="0" w:color="auto"/>
            </w:tcBorders>
          </w:tcPr>
          <w:p w:rsidR="00513D34" w:rsidRPr="005A507B" w:rsidRDefault="00513D34" w:rsidP="00E73225">
            <w:pPr>
              <w:tabs>
                <w:tab w:val="decimal" w:pos="288"/>
              </w:tabs>
              <w:rPr>
                <w:sz w:val="22"/>
                <w:szCs w:val="22"/>
              </w:rPr>
            </w:pPr>
            <w:r w:rsidRPr="005A507B">
              <w:rPr>
                <w:rFonts w:hint="eastAsia"/>
                <w:sz w:val="22"/>
                <w:szCs w:val="22"/>
              </w:rPr>
              <w:t>-0.0063</w:t>
            </w:r>
          </w:p>
          <w:p w:rsidR="00513D34" w:rsidRPr="005A507B" w:rsidRDefault="00513D34" w:rsidP="00E73225">
            <w:pPr>
              <w:tabs>
                <w:tab w:val="decimal" w:pos="288"/>
              </w:tabs>
              <w:rPr>
                <w:sz w:val="22"/>
                <w:szCs w:val="22"/>
              </w:rPr>
            </w:pPr>
          </w:p>
        </w:tc>
        <w:tc>
          <w:tcPr>
            <w:tcW w:w="1433" w:type="dxa"/>
            <w:tcBorders>
              <w:top w:val="single" w:sz="4" w:space="0" w:color="auto"/>
            </w:tcBorders>
          </w:tcPr>
          <w:p w:rsidR="00513D34" w:rsidRPr="005A507B" w:rsidRDefault="00513D34" w:rsidP="00E73225">
            <w:pPr>
              <w:tabs>
                <w:tab w:val="decimal" w:pos="288"/>
              </w:tabs>
              <w:rPr>
                <w:sz w:val="22"/>
                <w:szCs w:val="22"/>
              </w:rPr>
            </w:pPr>
            <w:r w:rsidRPr="005A507B">
              <w:rPr>
                <w:rFonts w:hint="eastAsia"/>
                <w:sz w:val="22"/>
                <w:szCs w:val="22"/>
              </w:rPr>
              <w:t>-0.0311**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(1.00)</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(2.07)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DisclosureRep</w:t>
            </w:r>
          </w:p>
        </w:tc>
        <w:tc>
          <w:tcPr>
            <w:tcW w:w="1432" w:type="dxa"/>
          </w:tcPr>
          <w:p w:rsidR="00513D34" w:rsidRPr="005A507B" w:rsidRDefault="00513D34" w:rsidP="00E73225">
            <w:pPr>
              <w:tabs>
                <w:tab w:val="decimal" w:pos="288"/>
              </w:tabs>
              <w:rPr>
                <w:b/>
                <w:sz w:val="22"/>
                <w:szCs w:val="22"/>
              </w:rPr>
            </w:pPr>
            <w:r w:rsidRPr="005A507B">
              <w:rPr>
                <w:rFonts w:hint="eastAsia"/>
                <w:b/>
                <w:sz w:val="22"/>
                <w:szCs w:val="22"/>
              </w:rPr>
              <w:t>-0.0093**</w:t>
            </w:r>
          </w:p>
          <w:p w:rsidR="00513D34" w:rsidRPr="005A507B" w:rsidRDefault="00513D34" w:rsidP="00E73225">
            <w:pPr>
              <w:tabs>
                <w:tab w:val="decimal" w:pos="288"/>
              </w:tabs>
              <w:rPr>
                <w:b/>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-0.0350</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p>
        </w:tc>
        <w:tc>
          <w:tcPr>
            <w:tcW w:w="1432" w:type="dxa"/>
          </w:tcPr>
          <w:p w:rsidR="00513D34" w:rsidRPr="005A507B" w:rsidRDefault="00513D34" w:rsidP="00E73225">
            <w:pPr>
              <w:tabs>
                <w:tab w:val="decimal" w:pos="288"/>
              </w:tabs>
              <w:rPr>
                <w:b/>
                <w:sz w:val="22"/>
                <w:szCs w:val="22"/>
              </w:rPr>
            </w:pPr>
            <w:r w:rsidRPr="005A507B">
              <w:rPr>
                <w:rFonts w:hint="eastAsia"/>
                <w:b/>
                <w:sz w:val="22"/>
                <w:szCs w:val="22"/>
              </w:rPr>
              <w:t>(2.42)</w:t>
            </w:r>
          </w:p>
          <w:p w:rsidR="00513D34" w:rsidRPr="005A507B" w:rsidRDefault="00513D34" w:rsidP="00E73225">
            <w:pPr>
              <w:tabs>
                <w:tab w:val="decimal" w:pos="288"/>
              </w:tabs>
              <w:rPr>
                <w:b/>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(1.55)</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Institutional ownership percentage</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0.0097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(1.16)</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Institutional ownership percentage*DisclosureRep</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-0.0278</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(1.19)</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Number of analyst following</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-0.0006***</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(3.53)</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Number of analyst following* DisclosureRep</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0.0007**</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(2.00)</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Outside director percentage</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-0.0005</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b/>
                <w:sz w:val="22"/>
                <w:szCs w:val="22"/>
              </w:rPr>
            </w:pPr>
            <w:r w:rsidRPr="005A507B">
              <w:rPr>
                <w:b/>
                <w:sz w:val="22"/>
                <w:szCs w:val="22"/>
              </w:rPr>
              <w:t>Outside director percentage* DisclosureRep</w:t>
            </w: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0.0572***</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tabs>
                <w:tab w:val="decimal" w:pos="288"/>
              </w:tabs>
              <w:rPr>
                <w:b/>
                <w:sz w:val="22"/>
                <w:szCs w:val="22"/>
              </w:rPr>
            </w:pPr>
            <w:r w:rsidRPr="005A507B">
              <w:rPr>
                <w:rFonts w:hint="eastAsia"/>
                <w:b/>
                <w:sz w:val="22"/>
                <w:szCs w:val="22"/>
              </w:rPr>
              <w:t>(2.75)</w:t>
            </w:r>
          </w:p>
          <w:p w:rsidR="00513D34" w:rsidRPr="005A507B" w:rsidRDefault="00513D34" w:rsidP="00E73225">
            <w:pPr>
              <w:tabs>
                <w:tab w:val="decimal" w:pos="288"/>
              </w:tabs>
              <w:rPr>
                <w:b/>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rFonts w:hint="eastAsia"/>
                <w:sz w:val="22"/>
                <w:szCs w:val="22"/>
              </w:rPr>
              <w:t>Log m</w:t>
            </w:r>
            <w:r w:rsidRPr="005A507B">
              <w:rPr>
                <w:sz w:val="22"/>
                <w:szCs w:val="22"/>
              </w:rPr>
              <w:t>arket value</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0.0003</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0.0017***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(0.67)</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(2.84)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Market-to-book ratio</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0.0001</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0.0002</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(1.52)</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(1.59)</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Litigation industry</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0.0001</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0.0018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(0.08)</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(0.94)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Return on equity</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-0.0025</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-0.0027*</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(1.64)</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(1.73)</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Loss</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-0.0012</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-0.0002</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(0.75)</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(0.14)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 xml:space="preserve">Earnings </w:t>
            </w:r>
            <w:r w:rsidRPr="005A507B">
              <w:rPr>
                <w:rFonts w:hint="eastAsia"/>
                <w:sz w:val="22"/>
                <w:szCs w:val="22"/>
              </w:rPr>
              <w:t>v</w:t>
            </w:r>
            <w:r w:rsidRPr="005A507B">
              <w:rPr>
                <w:sz w:val="22"/>
                <w:szCs w:val="22"/>
              </w:rPr>
              <w:t>olatility</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-3.5683*</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-3.3381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(1.77)</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(1.64)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Prior cumulative abnormal returns</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0.0134</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0.0131</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(1.27)</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(1.24)</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rFonts w:hint="eastAsia"/>
                <w:sz w:val="22"/>
                <w:szCs w:val="22"/>
              </w:rPr>
              <w:t>Stock compensation</w:t>
            </w:r>
            <w:r w:rsidRPr="005A507B">
              <w:rPr>
                <w:sz w:val="22"/>
                <w:szCs w:val="22"/>
              </w:rPr>
              <w:t xml:space="preserve"> of CEO</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-0.0024</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-0.0018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(1.59)</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(1.29)</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Stock</w:t>
            </w:r>
            <w:r w:rsidRPr="005A507B">
              <w:rPr>
                <w:rFonts w:hint="eastAsia"/>
                <w:sz w:val="22"/>
                <w:szCs w:val="22"/>
              </w:rPr>
              <w:t xml:space="preserve"> compensation</w:t>
            </w:r>
            <w:r w:rsidRPr="005A507B">
              <w:rPr>
                <w:sz w:val="22"/>
                <w:szCs w:val="22"/>
              </w:rPr>
              <w:t xml:space="preserve"> of CEO*DisclosureRep</w:t>
            </w:r>
          </w:p>
        </w:tc>
        <w:tc>
          <w:tcPr>
            <w:tcW w:w="1432" w:type="dxa"/>
          </w:tcPr>
          <w:p w:rsidR="00513D34" w:rsidRPr="005A507B" w:rsidRDefault="00513D34" w:rsidP="00E73225">
            <w:pPr>
              <w:tabs>
                <w:tab w:val="decimal" w:pos="288"/>
              </w:tabs>
              <w:rPr>
                <w:sz w:val="22"/>
                <w:szCs w:val="22"/>
              </w:rPr>
            </w:pPr>
            <w:r w:rsidRPr="005A507B">
              <w:rPr>
                <w:rFonts w:hint="eastAsia"/>
                <w:sz w:val="22"/>
                <w:szCs w:val="22"/>
              </w:rPr>
              <w:t>-0.0221***</w:t>
            </w:r>
          </w:p>
          <w:p w:rsidR="00513D34" w:rsidRPr="005A507B" w:rsidRDefault="00513D34" w:rsidP="00E73225">
            <w:pPr>
              <w:tabs>
                <w:tab w:val="decimal" w:pos="288"/>
              </w:tabs>
              <w:rPr>
                <w:sz w:val="22"/>
                <w:szCs w:val="22"/>
              </w:rPr>
            </w:pPr>
          </w:p>
        </w:tc>
        <w:tc>
          <w:tcPr>
            <w:tcW w:w="1433" w:type="dxa"/>
          </w:tcPr>
          <w:p w:rsidR="00513D34" w:rsidRPr="005A507B" w:rsidRDefault="00513D34" w:rsidP="00E73225">
            <w:pPr>
              <w:tabs>
                <w:tab w:val="decimal" w:pos="288"/>
              </w:tabs>
              <w:rPr>
                <w:sz w:val="22"/>
                <w:szCs w:val="22"/>
              </w:rPr>
            </w:pPr>
            <w:r w:rsidRPr="005A507B">
              <w:rPr>
                <w:rFonts w:hint="eastAsia"/>
                <w:sz w:val="22"/>
                <w:szCs w:val="22"/>
              </w:rPr>
              <w:t>-0.0159***</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tabs>
                <w:tab w:val="decimal" w:pos="288"/>
              </w:tabs>
              <w:rPr>
                <w:sz w:val="22"/>
                <w:szCs w:val="22"/>
              </w:rPr>
            </w:pPr>
            <w:r w:rsidRPr="005A507B">
              <w:rPr>
                <w:rFonts w:hint="eastAsia"/>
                <w:sz w:val="22"/>
                <w:szCs w:val="22"/>
              </w:rPr>
              <w:t>(3.92)</w:t>
            </w:r>
          </w:p>
        </w:tc>
        <w:tc>
          <w:tcPr>
            <w:tcW w:w="1433" w:type="dxa"/>
          </w:tcPr>
          <w:p w:rsidR="00513D34" w:rsidRPr="005A507B" w:rsidRDefault="00513D34" w:rsidP="00E73225">
            <w:pPr>
              <w:tabs>
                <w:tab w:val="decimal" w:pos="288"/>
              </w:tabs>
              <w:rPr>
                <w:sz w:val="22"/>
                <w:szCs w:val="22"/>
              </w:rPr>
            </w:pPr>
            <w:r w:rsidRPr="005A507B">
              <w:rPr>
                <w:rFonts w:hint="eastAsia"/>
                <w:sz w:val="22"/>
                <w:szCs w:val="22"/>
              </w:rPr>
              <w:t>(6.58)</w:t>
            </w:r>
          </w:p>
          <w:p w:rsidR="00513D34" w:rsidRPr="005A507B" w:rsidRDefault="00513D34" w:rsidP="00E73225">
            <w:pPr>
              <w:tabs>
                <w:tab w:val="decimal" w:pos="288"/>
              </w:tabs>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p>
        </w:tc>
        <w:tc>
          <w:tcPr>
            <w:tcW w:w="1432" w:type="dxa"/>
          </w:tcPr>
          <w:p w:rsidR="00513D34" w:rsidRPr="005A507B" w:rsidRDefault="00513D34" w:rsidP="00E73225">
            <w:pPr>
              <w:rPr>
                <w:sz w:val="22"/>
                <w:szCs w:val="22"/>
              </w:rPr>
            </w:pPr>
          </w:p>
        </w:tc>
        <w:tc>
          <w:tcPr>
            <w:tcW w:w="1433" w:type="dxa"/>
          </w:tcPr>
          <w:p w:rsidR="00513D34" w:rsidRPr="005A507B" w:rsidRDefault="00513D34" w:rsidP="00E73225">
            <w:pPr>
              <w:rPr>
                <w:sz w:val="22"/>
                <w:szCs w:val="22"/>
              </w:rPr>
            </w:pPr>
          </w:p>
        </w:tc>
      </w:tr>
      <w:tr w:rsidR="00513D34" w:rsidRPr="005A507B" w:rsidTr="00E73225">
        <w:trPr>
          <w:trHeight w:hRule="exact" w:val="312"/>
        </w:trPr>
        <w:tc>
          <w:tcPr>
            <w:tcW w:w="5637" w:type="dxa"/>
          </w:tcPr>
          <w:p w:rsidR="00513D34" w:rsidRPr="005A507B" w:rsidRDefault="00513D34" w:rsidP="00E73225">
            <w:pPr>
              <w:rPr>
                <w:sz w:val="22"/>
                <w:szCs w:val="22"/>
              </w:rPr>
            </w:pPr>
            <w:r w:rsidRPr="005A507B">
              <w:rPr>
                <w:sz w:val="22"/>
                <w:szCs w:val="22"/>
              </w:rPr>
              <w:t>N</w:t>
            </w:r>
          </w:p>
        </w:tc>
        <w:tc>
          <w:tcPr>
            <w:tcW w:w="1432" w:type="dxa"/>
          </w:tcPr>
          <w:p w:rsidR="00513D34" w:rsidRPr="005A507B" w:rsidRDefault="00513D34" w:rsidP="00E73225">
            <w:pPr>
              <w:jc w:val="center"/>
              <w:rPr>
                <w:sz w:val="22"/>
                <w:szCs w:val="22"/>
              </w:rPr>
            </w:pPr>
            <w:r w:rsidRPr="005A507B">
              <w:rPr>
                <w:rFonts w:hint="eastAsia"/>
                <w:sz w:val="22"/>
                <w:szCs w:val="22"/>
              </w:rPr>
              <w:t>14,605</w:t>
            </w:r>
          </w:p>
        </w:tc>
        <w:tc>
          <w:tcPr>
            <w:tcW w:w="1433" w:type="dxa"/>
          </w:tcPr>
          <w:p w:rsidR="00513D34" w:rsidRPr="005A507B" w:rsidRDefault="00513D34" w:rsidP="00E73225">
            <w:pPr>
              <w:jc w:val="center"/>
              <w:rPr>
                <w:sz w:val="22"/>
                <w:szCs w:val="22"/>
              </w:rPr>
            </w:pPr>
            <w:r w:rsidRPr="005A507B">
              <w:rPr>
                <w:rFonts w:hint="eastAsia"/>
                <w:sz w:val="22"/>
                <w:szCs w:val="22"/>
              </w:rPr>
              <w:t>14,605</w:t>
            </w:r>
          </w:p>
        </w:tc>
      </w:tr>
    </w:tbl>
    <w:p w:rsidR="00513D34" w:rsidRPr="00654A58" w:rsidRDefault="00513D34" w:rsidP="00513D34"/>
    <w:p w:rsidR="00D44CA6" w:rsidRPr="00654A58" w:rsidRDefault="00D44CA6" w:rsidP="00513D34">
      <w:pPr>
        <w:jc w:val="both"/>
      </w:pPr>
    </w:p>
    <w:sectPr w:rsidR="00D44CA6" w:rsidRPr="00654A58" w:rsidSect="008607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06" w:rsidRDefault="002D0C06" w:rsidP="001E1AA0">
      <w:r>
        <w:separator/>
      </w:r>
    </w:p>
  </w:endnote>
  <w:endnote w:type="continuationSeparator" w:id="0">
    <w:p w:rsidR="002D0C06" w:rsidRDefault="002D0C06" w:rsidP="001E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MB X 12">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
    <w:altName w:val="Arial Unicode MS"/>
    <w:panose1 w:val="00000000000000000000"/>
    <w:charset w:val="88"/>
    <w:family w:val="roman"/>
    <w:notTrueType/>
    <w:pitch w:val="variable"/>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62691"/>
      <w:docPartObj>
        <w:docPartGallery w:val="Page Numbers (Bottom of Page)"/>
        <w:docPartUnique/>
      </w:docPartObj>
    </w:sdtPr>
    <w:sdtEndPr/>
    <w:sdtContent>
      <w:p w:rsidR="00C60B61" w:rsidRDefault="00C60B61">
        <w:pPr>
          <w:pStyle w:val="ac"/>
          <w:jc w:val="center"/>
        </w:pPr>
        <w:r>
          <w:fldChar w:fldCharType="begin"/>
        </w:r>
        <w:r>
          <w:instrText>PAGE   \* MERGEFORMAT</w:instrText>
        </w:r>
        <w:r>
          <w:fldChar w:fldCharType="separate"/>
        </w:r>
        <w:r w:rsidR="0010026A" w:rsidRPr="0010026A">
          <w:rPr>
            <w:noProof/>
            <w:lang w:val="zh-TW" w:eastAsia="zh-TW"/>
          </w:rPr>
          <w:t>19</w:t>
        </w:r>
        <w:r>
          <w:fldChar w:fldCharType="end"/>
        </w:r>
      </w:p>
    </w:sdtContent>
  </w:sdt>
  <w:p w:rsidR="00C60B61" w:rsidRDefault="00C60B6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06" w:rsidRDefault="002D0C06" w:rsidP="001E1AA0">
      <w:r>
        <w:separator/>
      </w:r>
    </w:p>
  </w:footnote>
  <w:footnote w:type="continuationSeparator" w:id="0">
    <w:p w:rsidR="002D0C06" w:rsidRDefault="002D0C06" w:rsidP="001E1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AA"/>
    <w:rsid w:val="000006B2"/>
    <w:rsid w:val="00005537"/>
    <w:rsid w:val="00007D61"/>
    <w:rsid w:val="00013599"/>
    <w:rsid w:val="00013B91"/>
    <w:rsid w:val="0001692F"/>
    <w:rsid w:val="00020605"/>
    <w:rsid w:val="0002305D"/>
    <w:rsid w:val="000230E5"/>
    <w:rsid w:val="00025851"/>
    <w:rsid w:val="000262BB"/>
    <w:rsid w:val="000322D8"/>
    <w:rsid w:val="00033356"/>
    <w:rsid w:val="00033B9B"/>
    <w:rsid w:val="00040121"/>
    <w:rsid w:val="0004090D"/>
    <w:rsid w:val="000436AC"/>
    <w:rsid w:val="0004467B"/>
    <w:rsid w:val="00052654"/>
    <w:rsid w:val="00055414"/>
    <w:rsid w:val="000560DC"/>
    <w:rsid w:val="00056D1F"/>
    <w:rsid w:val="000576A7"/>
    <w:rsid w:val="00057CC6"/>
    <w:rsid w:val="00057F78"/>
    <w:rsid w:val="0006084B"/>
    <w:rsid w:val="00061C94"/>
    <w:rsid w:val="00066434"/>
    <w:rsid w:val="00071FF8"/>
    <w:rsid w:val="00072761"/>
    <w:rsid w:val="00072905"/>
    <w:rsid w:val="00072E66"/>
    <w:rsid w:val="000742CB"/>
    <w:rsid w:val="00075FFB"/>
    <w:rsid w:val="00076DED"/>
    <w:rsid w:val="00077B01"/>
    <w:rsid w:val="00077B86"/>
    <w:rsid w:val="00080629"/>
    <w:rsid w:val="00082E52"/>
    <w:rsid w:val="000923AA"/>
    <w:rsid w:val="00093A51"/>
    <w:rsid w:val="00093D3B"/>
    <w:rsid w:val="00096C37"/>
    <w:rsid w:val="00097092"/>
    <w:rsid w:val="000A274F"/>
    <w:rsid w:val="000A2AD6"/>
    <w:rsid w:val="000A56BD"/>
    <w:rsid w:val="000A7536"/>
    <w:rsid w:val="000B2BDA"/>
    <w:rsid w:val="000B390D"/>
    <w:rsid w:val="000B3B0A"/>
    <w:rsid w:val="000B48D1"/>
    <w:rsid w:val="000B4E4A"/>
    <w:rsid w:val="000B791F"/>
    <w:rsid w:val="000C00EE"/>
    <w:rsid w:val="000C1951"/>
    <w:rsid w:val="000C35E8"/>
    <w:rsid w:val="000C3A65"/>
    <w:rsid w:val="000C6E72"/>
    <w:rsid w:val="000D6844"/>
    <w:rsid w:val="000E1F94"/>
    <w:rsid w:val="000E26B2"/>
    <w:rsid w:val="000E3107"/>
    <w:rsid w:val="000E3C10"/>
    <w:rsid w:val="000E4991"/>
    <w:rsid w:val="000E7D2E"/>
    <w:rsid w:val="000F058E"/>
    <w:rsid w:val="000F1005"/>
    <w:rsid w:val="000F263E"/>
    <w:rsid w:val="000F3B77"/>
    <w:rsid w:val="000F3D99"/>
    <w:rsid w:val="000F40D6"/>
    <w:rsid w:val="000F4D19"/>
    <w:rsid w:val="0010026A"/>
    <w:rsid w:val="0010267D"/>
    <w:rsid w:val="00103BC8"/>
    <w:rsid w:val="00106A8D"/>
    <w:rsid w:val="00107E60"/>
    <w:rsid w:val="001108B3"/>
    <w:rsid w:val="00110C59"/>
    <w:rsid w:val="00110F29"/>
    <w:rsid w:val="001117F6"/>
    <w:rsid w:val="00121557"/>
    <w:rsid w:val="00122B0C"/>
    <w:rsid w:val="00122B24"/>
    <w:rsid w:val="00124A92"/>
    <w:rsid w:val="001275EC"/>
    <w:rsid w:val="00127E85"/>
    <w:rsid w:val="001313A8"/>
    <w:rsid w:val="001346EC"/>
    <w:rsid w:val="0013483A"/>
    <w:rsid w:val="001365C4"/>
    <w:rsid w:val="001432C7"/>
    <w:rsid w:val="001456F8"/>
    <w:rsid w:val="00151031"/>
    <w:rsid w:val="001571E4"/>
    <w:rsid w:val="00161A6E"/>
    <w:rsid w:val="00161A8F"/>
    <w:rsid w:val="001632F8"/>
    <w:rsid w:val="00165D03"/>
    <w:rsid w:val="0016672A"/>
    <w:rsid w:val="001674B4"/>
    <w:rsid w:val="001675A0"/>
    <w:rsid w:val="00176855"/>
    <w:rsid w:val="00181A1F"/>
    <w:rsid w:val="0018433C"/>
    <w:rsid w:val="00186670"/>
    <w:rsid w:val="00186896"/>
    <w:rsid w:val="00186B82"/>
    <w:rsid w:val="0018786D"/>
    <w:rsid w:val="0019015A"/>
    <w:rsid w:val="00192591"/>
    <w:rsid w:val="0019356D"/>
    <w:rsid w:val="00193736"/>
    <w:rsid w:val="00195490"/>
    <w:rsid w:val="001954F8"/>
    <w:rsid w:val="00195962"/>
    <w:rsid w:val="001A02B8"/>
    <w:rsid w:val="001A036B"/>
    <w:rsid w:val="001A1202"/>
    <w:rsid w:val="001A4C4F"/>
    <w:rsid w:val="001A6A74"/>
    <w:rsid w:val="001A717E"/>
    <w:rsid w:val="001A7E26"/>
    <w:rsid w:val="001B1391"/>
    <w:rsid w:val="001B425B"/>
    <w:rsid w:val="001B46D2"/>
    <w:rsid w:val="001B7294"/>
    <w:rsid w:val="001C11E5"/>
    <w:rsid w:val="001C2FB5"/>
    <w:rsid w:val="001C3EAB"/>
    <w:rsid w:val="001C71E7"/>
    <w:rsid w:val="001C75A9"/>
    <w:rsid w:val="001E1AA0"/>
    <w:rsid w:val="001E1EE8"/>
    <w:rsid w:val="001E22CB"/>
    <w:rsid w:val="001E266E"/>
    <w:rsid w:val="001E2C17"/>
    <w:rsid w:val="001E5028"/>
    <w:rsid w:val="001F2743"/>
    <w:rsid w:val="001F30DB"/>
    <w:rsid w:val="001F57CA"/>
    <w:rsid w:val="001F6A50"/>
    <w:rsid w:val="001F700F"/>
    <w:rsid w:val="001F7E5A"/>
    <w:rsid w:val="00200865"/>
    <w:rsid w:val="002028BA"/>
    <w:rsid w:val="00202C31"/>
    <w:rsid w:val="00205593"/>
    <w:rsid w:val="00213CFD"/>
    <w:rsid w:val="00216671"/>
    <w:rsid w:val="00216689"/>
    <w:rsid w:val="00217AAA"/>
    <w:rsid w:val="0022283B"/>
    <w:rsid w:val="002229EE"/>
    <w:rsid w:val="002232B1"/>
    <w:rsid w:val="00226D57"/>
    <w:rsid w:val="00241C3C"/>
    <w:rsid w:val="0024200A"/>
    <w:rsid w:val="0024667C"/>
    <w:rsid w:val="00247215"/>
    <w:rsid w:val="0024730D"/>
    <w:rsid w:val="00250119"/>
    <w:rsid w:val="00251B07"/>
    <w:rsid w:val="00251CAA"/>
    <w:rsid w:val="00256A64"/>
    <w:rsid w:val="002573ED"/>
    <w:rsid w:val="00260B88"/>
    <w:rsid w:val="002627B9"/>
    <w:rsid w:val="00264756"/>
    <w:rsid w:val="0026487C"/>
    <w:rsid w:val="00264D03"/>
    <w:rsid w:val="00270CB5"/>
    <w:rsid w:val="002711CD"/>
    <w:rsid w:val="002718D1"/>
    <w:rsid w:val="00272047"/>
    <w:rsid w:val="00272FA8"/>
    <w:rsid w:val="00283133"/>
    <w:rsid w:val="00285FFB"/>
    <w:rsid w:val="002912C3"/>
    <w:rsid w:val="00291900"/>
    <w:rsid w:val="00293708"/>
    <w:rsid w:val="0029589D"/>
    <w:rsid w:val="002A1DA2"/>
    <w:rsid w:val="002A3DFC"/>
    <w:rsid w:val="002A3EDC"/>
    <w:rsid w:val="002A54DB"/>
    <w:rsid w:val="002A68B2"/>
    <w:rsid w:val="002B3A6A"/>
    <w:rsid w:val="002B60D9"/>
    <w:rsid w:val="002C0CB6"/>
    <w:rsid w:val="002C5EB0"/>
    <w:rsid w:val="002D0C06"/>
    <w:rsid w:val="002D20EA"/>
    <w:rsid w:val="002D33F2"/>
    <w:rsid w:val="002D4696"/>
    <w:rsid w:val="002D4B12"/>
    <w:rsid w:val="002D7B00"/>
    <w:rsid w:val="002E312B"/>
    <w:rsid w:val="002E48D1"/>
    <w:rsid w:val="002F1253"/>
    <w:rsid w:val="002F1D2E"/>
    <w:rsid w:val="002F2D86"/>
    <w:rsid w:val="002F3FA4"/>
    <w:rsid w:val="002F4CEA"/>
    <w:rsid w:val="002F6ABA"/>
    <w:rsid w:val="00300766"/>
    <w:rsid w:val="00303ABF"/>
    <w:rsid w:val="00305B85"/>
    <w:rsid w:val="00306B6E"/>
    <w:rsid w:val="00310BC5"/>
    <w:rsid w:val="003114E9"/>
    <w:rsid w:val="003124DB"/>
    <w:rsid w:val="003132AD"/>
    <w:rsid w:val="003139BB"/>
    <w:rsid w:val="00314DBE"/>
    <w:rsid w:val="00323312"/>
    <w:rsid w:val="0033672D"/>
    <w:rsid w:val="00345850"/>
    <w:rsid w:val="003465A2"/>
    <w:rsid w:val="003469F5"/>
    <w:rsid w:val="0035188A"/>
    <w:rsid w:val="003525E7"/>
    <w:rsid w:val="00356521"/>
    <w:rsid w:val="0036502A"/>
    <w:rsid w:val="003762BC"/>
    <w:rsid w:val="003771D6"/>
    <w:rsid w:val="00386058"/>
    <w:rsid w:val="00391409"/>
    <w:rsid w:val="0039739B"/>
    <w:rsid w:val="00397E0E"/>
    <w:rsid w:val="003A0B7F"/>
    <w:rsid w:val="003A1D67"/>
    <w:rsid w:val="003A2E24"/>
    <w:rsid w:val="003A7A50"/>
    <w:rsid w:val="003B2A6C"/>
    <w:rsid w:val="003B4207"/>
    <w:rsid w:val="003B5D61"/>
    <w:rsid w:val="003C015B"/>
    <w:rsid w:val="003C3C5E"/>
    <w:rsid w:val="003C4B90"/>
    <w:rsid w:val="003D0A75"/>
    <w:rsid w:val="003D223E"/>
    <w:rsid w:val="003D35B0"/>
    <w:rsid w:val="003D3B5F"/>
    <w:rsid w:val="003E0A74"/>
    <w:rsid w:val="003E1A89"/>
    <w:rsid w:val="003E2DAC"/>
    <w:rsid w:val="003E2EA1"/>
    <w:rsid w:val="003E5FEC"/>
    <w:rsid w:val="003F0A46"/>
    <w:rsid w:val="003F2190"/>
    <w:rsid w:val="003F410A"/>
    <w:rsid w:val="00400ED8"/>
    <w:rsid w:val="0040489A"/>
    <w:rsid w:val="00414858"/>
    <w:rsid w:val="004161DE"/>
    <w:rsid w:val="00416357"/>
    <w:rsid w:val="004171BE"/>
    <w:rsid w:val="0041720E"/>
    <w:rsid w:val="00422B73"/>
    <w:rsid w:val="00423B03"/>
    <w:rsid w:val="004346B6"/>
    <w:rsid w:val="00435A52"/>
    <w:rsid w:val="00443EF7"/>
    <w:rsid w:val="0044615D"/>
    <w:rsid w:val="0044748A"/>
    <w:rsid w:val="00450EAA"/>
    <w:rsid w:val="00454E78"/>
    <w:rsid w:val="00462313"/>
    <w:rsid w:val="00463028"/>
    <w:rsid w:val="00465199"/>
    <w:rsid w:val="004665D3"/>
    <w:rsid w:val="004679A3"/>
    <w:rsid w:val="00471289"/>
    <w:rsid w:val="004717F8"/>
    <w:rsid w:val="00471B65"/>
    <w:rsid w:val="00472690"/>
    <w:rsid w:val="00472F80"/>
    <w:rsid w:val="004742BF"/>
    <w:rsid w:val="00475779"/>
    <w:rsid w:val="004762D6"/>
    <w:rsid w:val="0047698D"/>
    <w:rsid w:val="00484771"/>
    <w:rsid w:val="00485E6C"/>
    <w:rsid w:val="00490476"/>
    <w:rsid w:val="00492EB9"/>
    <w:rsid w:val="00496621"/>
    <w:rsid w:val="004A45F5"/>
    <w:rsid w:val="004A5A46"/>
    <w:rsid w:val="004B2722"/>
    <w:rsid w:val="004B34F3"/>
    <w:rsid w:val="004B38B0"/>
    <w:rsid w:val="004B748D"/>
    <w:rsid w:val="004B7C72"/>
    <w:rsid w:val="004C3F8F"/>
    <w:rsid w:val="004C4C61"/>
    <w:rsid w:val="004C4E1B"/>
    <w:rsid w:val="004D0CAB"/>
    <w:rsid w:val="004D1213"/>
    <w:rsid w:val="004D182F"/>
    <w:rsid w:val="004D2C29"/>
    <w:rsid w:val="004D30DF"/>
    <w:rsid w:val="004D664E"/>
    <w:rsid w:val="004D6C79"/>
    <w:rsid w:val="004E08A0"/>
    <w:rsid w:val="004E1EE7"/>
    <w:rsid w:val="004E5330"/>
    <w:rsid w:val="004E635B"/>
    <w:rsid w:val="004F1070"/>
    <w:rsid w:val="004F1184"/>
    <w:rsid w:val="004F23B4"/>
    <w:rsid w:val="004F287A"/>
    <w:rsid w:val="004F629C"/>
    <w:rsid w:val="0050001C"/>
    <w:rsid w:val="0050046B"/>
    <w:rsid w:val="00500855"/>
    <w:rsid w:val="00512508"/>
    <w:rsid w:val="00513102"/>
    <w:rsid w:val="00513815"/>
    <w:rsid w:val="00513D34"/>
    <w:rsid w:val="0051558A"/>
    <w:rsid w:val="00517E44"/>
    <w:rsid w:val="0052031E"/>
    <w:rsid w:val="0052096C"/>
    <w:rsid w:val="005243ED"/>
    <w:rsid w:val="00536DDE"/>
    <w:rsid w:val="005379B0"/>
    <w:rsid w:val="00541A18"/>
    <w:rsid w:val="005448F2"/>
    <w:rsid w:val="00544B30"/>
    <w:rsid w:val="005454C9"/>
    <w:rsid w:val="0054597D"/>
    <w:rsid w:val="00546058"/>
    <w:rsid w:val="005474AC"/>
    <w:rsid w:val="005479C7"/>
    <w:rsid w:val="00547BA0"/>
    <w:rsid w:val="00550EDF"/>
    <w:rsid w:val="00551DE2"/>
    <w:rsid w:val="005547E0"/>
    <w:rsid w:val="00556D63"/>
    <w:rsid w:val="00560A80"/>
    <w:rsid w:val="00562906"/>
    <w:rsid w:val="00563129"/>
    <w:rsid w:val="00563B4D"/>
    <w:rsid w:val="00564319"/>
    <w:rsid w:val="00564F76"/>
    <w:rsid w:val="0056501D"/>
    <w:rsid w:val="00566FB9"/>
    <w:rsid w:val="00567BEB"/>
    <w:rsid w:val="00575A7A"/>
    <w:rsid w:val="0057649A"/>
    <w:rsid w:val="00576B51"/>
    <w:rsid w:val="005775C9"/>
    <w:rsid w:val="0057779B"/>
    <w:rsid w:val="00582B81"/>
    <w:rsid w:val="005834B6"/>
    <w:rsid w:val="00584B20"/>
    <w:rsid w:val="005925FB"/>
    <w:rsid w:val="005A3080"/>
    <w:rsid w:val="005A3D86"/>
    <w:rsid w:val="005A507B"/>
    <w:rsid w:val="005A5BFC"/>
    <w:rsid w:val="005A62DE"/>
    <w:rsid w:val="005A7C71"/>
    <w:rsid w:val="005B36E9"/>
    <w:rsid w:val="005B6068"/>
    <w:rsid w:val="005B681A"/>
    <w:rsid w:val="005C478C"/>
    <w:rsid w:val="005C4A1B"/>
    <w:rsid w:val="005C5AD4"/>
    <w:rsid w:val="005C6DA6"/>
    <w:rsid w:val="005D26BD"/>
    <w:rsid w:val="005D38FD"/>
    <w:rsid w:val="005D7974"/>
    <w:rsid w:val="005E03EC"/>
    <w:rsid w:val="005E4FD6"/>
    <w:rsid w:val="005E6276"/>
    <w:rsid w:val="005E67DD"/>
    <w:rsid w:val="005E72B4"/>
    <w:rsid w:val="005F0126"/>
    <w:rsid w:val="005F121A"/>
    <w:rsid w:val="005F31F3"/>
    <w:rsid w:val="005F34A6"/>
    <w:rsid w:val="005F4221"/>
    <w:rsid w:val="005F4284"/>
    <w:rsid w:val="005F5C8F"/>
    <w:rsid w:val="005F68CE"/>
    <w:rsid w:val="00601BBA"/>
    <w:rsid w:val="00603AD0"/>
    <w:rsid w:val="006065B1"/>
    <w:rsid w:val="00606C1E"/>
    <w:rsid w:val="00610C59"/>
    <w:rsid w:val="006118C9"/>
    <w:rsid w:val="006132B3"/>
    <w:rsid w:val="00617945"/>
    <w:rsid w:val="00617E7F"/>
    <w:rsid w:val="00620FFA"/>
    <w:rsid w:val="00621684"/>
    <w:rsid w:val="00623AF8"/>
    <w:rsid w:val="006258ED"/>
    <w:rsid w:val="00626DF6"/>
    <w:rsid w:val="00627A6D"/>
    <w:rsid w:val="006322F1"/>
    <w:rsid w:val="00632728"/>
    <w:rsid w:val="00633BF3"/>
    <w:rsid w:val="00635A9A"/>
    <w:rsid w:val="006360BA"/>
    <w:rsid w:val="0064195E"/>
    <w:rsid w:val="00642D1D"/>
    <w:rsid w:val="00644B63"/>
    <w:rsid w:val="006462C7"/>
    <w:rsid w:val="006502FE"/>
    <w:rsid w:val="00650EB9"/>
    <w:rsid w:val="00651170"/>
    <w:rsid w:val="00654A58"/>
    <w:rsid w:val="00660341"/>
    <w:rsid w:val="0066327E"/>
    <w:rsid w:val="0066355E"/>
    <w:rsid w:val="00665D6E"/>
    <w:rsid w:val="0066768B"/>
    <w:rsid w:val="00667C2C"/>
    <w:rsid w:val="00670592"/>
    <w:rsid w:val="00670A23"/>
    <w:rsid w:val="00670F13"/>
    <w:rsid w:val="00670F2B"/>
    <w:rsid w:val="006773B5"/>
    <w:rsid w:val="006843FB"/>
    <w:rsid w:val="00684806"/>
    <w:rsid w:val="0068512A"/>
    <w:rsid w:val="0068570A"/>
    <w:rsid w:val="006871CA"/>
    <w:rsid w:val="006877B8"/>
    <w:rsid w:val="006948C5"/>
    <w:rsid w:val="006A617D"/>
    <w:rsid w:val="006A6280"/>
    <w:rsid w:val="006A7E98"/>
    <w:rsid w:val="006B0D9B"/>
    <w:rsid w:val="006B1461"/>
    <w:rsid w:val="006B7A82"/>
    <w:rsid w:val="006C0497"/>
    <w:rsid w:val="006C18E9"/>
    <w:rsid w:val="006C6AD9"/>
    <w:rsid w:val="006D0C45"/>
    <w:rsid w:val="006D0F36"/>
    <w:rsid w:val="006D2D58"/>
    <w:rsid w:val="006D3E96"/>
    <w:rsid w:val="006D4AE6"/>
    <w:rsid w:val="006D6E99"/>
    <w:rsid w:val="006D7C56"/>
    <w:rsid w:val="006E1ED9"/>
    <w:rsid w:val="006F296D"/>
    <w:rsid w:val="006F38A3"/>
    <w:rsid w:val="006F42A3"/>
    <w:rsid w:val="006F5F0F"/>
    <w:rsid w:val="006F66DE"/>
    <w:rsid w:val="006F74D9"/>
    <w:rsid w:val="0070458A"/>
    <w:rsid w:val="00705CD5"/>
    <w:rsid w:val="00705EDB"/>
    <w:rsid w:val="0070665E"/>
    <w:rsid w:val="007129D9"/>
    <w:rsid w:val="00713DBB"/>
    <w:rsid w:val="0071427A"/>
    <w:rsid w:val="00716B24"/>
    <w:rsid w:val="00721F71"/>
    <w:rsid w:val="007229FB"/>
    <w:rsid w:val="00724C15"/>
    <w:rsid w:val="007313C1"/>
    <w:rsid w:val="00732169"/>
    <w:rsid w:val="00734692"/>
    <w:rsid w:val="00735105"/>
    <w:rsid w:val="00737CF0"/>
    <w:rsid w:val="00751886"/>
    <w:rsid w:val="007522AD"/>
    <w:rsid w:val="007550AA"/>
    <w:rsid w:val="00756DB7"/>
    <w:rsid w:val="0075782D"/>
    <w:rsid w:val="00762A37"/>
    <w:rsid w:val="00762F8A"/>
    <w:rsid w:val="00767C4F"/>
    <w:rsid w:val="00770A79"/>
    <w:rsid w:val="007724A1"/>
    <w:rsid w:val="00773519"/>
    <w:rsid w:val="0077572F"/>
    <w:rsid w:val="007760BA"/>
    <w:rsid w:val="007811EC"/>
    <w:rsid w:val="00782AEF"/>
    <w:rsid w:val="007939E1"/>
    <w:rsid w:val="00793C85"/>
    <w:rsid w:val="00795311"/>
    <w:rsid w:val="00797020"/>
    <w:rsid w:val="007A00B6"/>
    <w:rsid w:val="007A6E76"/>
    <w:rsid w:val="007B0760"/>
    <w:rsid w:val="007B1368"/>
    <w:rsid w:val="007B1D42"/>
    <w:rsid w:val="007B7028"/>
    <w:rsid w:val="007C000F"/>
    <w:rsid w:val="007C12FF"/>
    <w:rsid w:val="007C2C94"/>
    <w:rsid w:val="007C39FF"/>
    <w:rsid w:val="007C3D26"/>
    <w:rsid w:val="007C45A2"/>
    <w:rsid w:val="007D1E58"/>
    <w:rsid w:val="007D284E"/>
    <w:rsid w:val="007D6E2D"/>
    <w:rsid w:val="007D6E35"/>
    <w:rsid w:val="007D7F45"/>
    <w:rsid w:val="007E0888"/>
    <w:rsid w:val="007E238B"/>
    <w:rsid w:val="007E5A7D"/>
    <w:rsid w:val="00801B03"/>
    <w:rsid w:val="00805E35"/>
    <w:rsid w:val="00810EEE"/>
    <w:rsid w:val="00811E5A"/>
    <w:rsid w:val="008121C2"/>
    <w:rsid w:val="00812E89"/>
    <w:rsid w:val="00814E64"/>
    <w:rsid w:val="00822C25"/>
    <w:rsid w:val="008231FD"/>
    <w:rsid w:val="00826E86"/>
    <w:rsid w:val="00827E39"/>
    <w:rsid w:val="00833A8A"/>
    <w:rsid w:val="008354A1"/>
    <w:rsid w:val="00841A0B"/>
    <w:rsid w:val="008441B8"/>
    <w:rsid w:val="00844486"/>
    <w:rsid w:val="00844C09"/>
    <w:rsid w:val="00845F7A"/>
    <w:rsid w:val="008550BC"/>
    <w:rsid w:val="00855F98"/>
    <w:rsid w:val="00860737"/>
    <w:rsid w:val="0086222B"/>
    <w:rsid w:val="00862E09"/>
    <w:rsid w:val="0086674A"/>
    <w:rsid w:val="008747F9"/>
    <w:rsid w:val="008748A4"/>
    <w:rsid w:val="0087744F"/>
    <w:rsid w:val="00877F5E"/>
    <w:rsid w:val="008828D1"/>
    <w:rsid w:val="00887465"/>
    <w:rsid w:val="00890569"/>
    <w:rsid w:val="008905FF"/>
    <w:rsid w:val="00890839"/>
    <w:rsid w:val="008928B1"/>
    <w:rsid w:val="00896334"/>
    <w:rsid w:val="008A2501"/>
    <w:rsid w:val="008B0526"/>
    <w:rsid w:val="008B0C4E"/>
    <w:rsid w:val="008B2769"/>
    <w:rsid w:val="008B300A"/>
    <w:rsid w:val="008B4F75"/>
    <w:rsid w:val="008B7D9E"/>
    <w:rsid w:val="008C346E"/>
    <w:rsid w:val="008C49A4"/>
    <w:rsid w:val="008C4CE0"/>
    <w:rsid w:val="008C51AC"/>
    <w:rsid w:val="008C579F"/>
    <w:rsid w:val="008C5DCF"/>
    <w:rsid w:val="008D2A9D"/>
    <w:rsid w:val="008D5D6E"/>
    <w:rsid w:val="008D5DD6"/>
    <w:rsid w:val="008D6417"/>
    <w:rsid w:val="008E32FC"/>
    <w:rsid w:val="008E5A78"/>
    <w:rsid w:val="008E62D6"/>
    <w:rsid w:val="008F392A"/>
    <w:rsid w:val="008F6DF6"/>
    <w:rsid w:val="00900C35"/>
    <w:rsid w:val="009014B1"/>
    <w:rsid w:val="00902932"/>
    <w:rsid w:val="00904338"/>
    <w:rsid w:val="00904552"/>
    <w:rsid w:val="00904727"/>
    <w:rsid w:val="00904D82"/>
    <w:rsid w:val="0090572D"/>
    <w:rsid w:val="00906A05"/>
    <w:rsid w:val="009110C9"/>
    <w:rsid w:val="009111F9"/>
    <w:rsid w:val="00912467"/>
    <w:rsid w:val="00912B87"/>
    <w:rsid w:val="00913C66"/>
    <w:rsid w:val="009154B6"/>
    <w:rsid w:val="0092105C"/>
    <w:rsid w:val="00923AE4"/>
    <w:rsid w:val="00924E6B"/>
    <w:rsid w:val="00925DD9"/>
    <w:rsid w:val="0092655B"/>
    <w:rsid w:val="00926DDC"/>
    <w:rsid w:val="0093114D"/>
    <w:rsid w:val="009332EB"/>
    <w:rsid w:val="0093611A"/>
    <w:rsid w:val="0094461D"/>
    <w:rsid w:val="00946D88"/>
    <w:rsid w:val="00950931"/>
    <w:rsid w:val="00950D1E"/>
    <w:rsid w:val="0095687A"/>
    <w:rsid w:val="0096155B"/>
    <w:rsid w:val="00963171"/>
    <w:rsid w:val="0096437B"/>
    <w:rsid w:val="009652AC"/>
    <w:rsid w:val="009654A9"/>
    <w:rsid w:val="0096560F"/>
    <w:rsid w:val="0097007D"/>
    <w:rsid w:val="009717DB"/>
    <w:rsid w:val="00972228"/>
    <w:rsid w:val="00974F02"/>
    <w:rsid w:val="0097619B"/>
    <w:rsid w:val="00977673"/>
    <w:rsid w:val="00982AE9"/>
    <w:rsid w:val="00984B5A"/>
    <w:rsid w:val="00984E3A"/>
    <w:rsid w:val="00993CED"/>
    <w:rsid w:val="00994A7E"/>
    <w:rsid w:val="00997E70"/>
    <w:rsid w:val="00997FC2"/>
    <w:rsid w:val="009A4680"/>
    <w:rsid w:val="009B02B7"/>
    <w:rsid w:val="009B06CD"/>
    <w:rsid w:val="009B0A27"/>
    <w:rsid w:val="009B2C61"/>
    <w:rsid w:val="009B49E9"/>
    <w:rsid w:val="009B5E70"/>
    <w:rsid w:val="009B63B1"/>
    <w:rsid w:val="009B64B9"/>
    <w:rsid w:val="009B6AA0"/>
    <w:rsid w:val="009C0FF1"/>
    <w:rsid w:val="009C1525"/>
    <w:rsid w:val="009C16BA"/>
    <w:rsid w:val="009C16E1"/>
    <w:rsid w:val="009C2CD6"/>
    <w:rsid w:val="009C5515"/>
    <w:rsid w:val="009C6785"/>
    <w:rsid w:val="009C77DD"/>
    <w:rsid w:val="009C7D1E"/>
    <w:rsid w:val="009D02C5"/>
    <w:rsid w:val="009D29DE"/>
    <w:rsid w:val="009D6F03"/>
    <w:rsid w:val="009E03CB"/>
    <w:rsid w:val="009E047C"/>
    <w:rsid w:val="009E0D65"/>
    <w:rsid w:val="009E3CD9"/>
    <w:rsid w:val="009E52EF"/>
    <w:rsid w:val="009F0F35"/>
    <w:rsid w:val="009F409D"/>
    <w:rsid w:val="009F502F"/>
    <w:rsid w:val="00A03DA0"/>
    <w:rsid w:val="00A0470F"/>
    <w:rsid w:val="00A06232"/>
    <w:rsid w:val="00A06EC7"/>
    <w:rsid w:val="00A07ABE"/>
    <w:rsid w:val="00A11D51"/>
    <w:rsid w:val="00A11E8B"/>
    <w:rsid w:val="00A13AB4"/>
    <w:rsid w:val="00A1699E"/>
    <w:rsid w:val="00A16E86"/>
    <w:rsid w:val="00A16FAE"/>
    <w:rsid w:val="00A17E3B"/>
    <w:rsid w:val="00A22B12"/>
    <w:rsid w:val="00A24486"/>
    <w:rsid w:val="00A30F28"/>
    <w:rsid w:val="00A31F8D"/>
    <w:rsid w:val="00A3479C"/>
    <w:rsid w:val="00A3519B"/>
    <w:rsid w:val="00A45D88"/>
    <w:rsid w:val="00A50643"/>
    <w:rsid w:val="00A53208"/>
    <w:rsid w:val="00A53EE1"/>
    <w:rsid w:val="00A55BD0"/>
    <w:rsid w:val="00A62E58"/>
    <w:rsid w:val="00A635BA"/>
    <w:rsid w:val="00A71635"/>
    <w:rsid w:val="00A717A9"/>
    <w:rsid w:val="00A723CF"/>
    <w:rsid w:val="00A77B64"/>
    <w:rsid w:val="00A86F84"/>
    <w:rsid w:val="00A900DA"/>
    <w:rsid w:val="00A9162E"/>
    <w:rsid w:val="00A91DC1"/>
    <w:rsid w:val="00A93ACD"/>
    <w:rsid w:val="00A95853"/>
    <w:rsid w:val="00A97210"/>
    <w:rsid w:val="00AA0E9F"/>
    <w:rsid w:val="00AA64E3"/>
    <w:rsid w:val="00AB17F0"/>
    <w:rsid w:val="00AB2350"/>
    <w:rsid w:val="00AB494A"/>
    <w:rsid w:val="00AB5D38"/>
    <w:rsid w:val="00AC0BD9"/>
    <w:rsid w:val="00AC2B45"/>
    <w:rsid w:val="00AC476F"/>
    <w:rsid w:val="00AC4A1D"/>
    <w:rsid w:val="00AC543D"/>
    <w:rsid w:val="00AC6656"/>
    <w:rsid w:val="00AD0611"/>
    <w:rsid w:val="00AD17DE"/>
    <w:rsid w:val="00AD1CD1"/>
    <w:rsid w:val="00AD21D4"/>
    <w:rsid w:val="00AD3120"/>
    <w:rsid w:val="00AE150F"/>
    <w:rsid w:val="00AE3397"/>
    <w:rsid w:val="00AE518D"/>
    <w:rsid w:val="00AE6A80"/>
    <w:rsid w:val="00AF01A6"/>
    <w:rsid w:val="00AF04C8"/>
    <w:rsid w:val="00AF4E25"/>
    <w:rsid w:val="00AF569E"/>
    <w:rsid w:val="00AF59CE"/>
    <w:rsid w:val="00B056B3"/>
    <w:rsid w:val="00B05D1C"/>
    <w:rsid w:val="00B05EF8"/>
    <w:rsid w:val="00B07670"/>
    <w:rsid w:val="00B12096"/>
    <w:rsid w:val="00B14CEE"/>
    <w:rsid w:val="00B16054"/>
    <w:rsid w:val="00B21E89"/>
    <w:rsid w:val="00B25963"/>
    <w:rsid w:val="00B26BB3"/>
    <w:rsid w:val="00B34DA7"/>
    <w:rsid w:val="00B360DF"/>
    <w:rsid w:val="00B43D5F"/>
    <w:rsid w:val="00B444AC"/>
    <w:rsid w:val="00B449EB"/>
    <w:rsid w:val="00B4583F"/>
    <w:rsid w:val="00B47473"/>
    <w:rsid w:val="00B52377"/>
    <w:rsid w:val="00B53B51"/>
    <w:rsid w:val="00B54044"/>
    <w:rsid w:val="00B55538"/>
    <w:rsid w:val="00B55798"/>
    <w:rsid w:val="00B56825"/>
    <w:rsid w:val="00B57127"/>
    <w:rsid w:val="00B604BE"/>
    <w:rsid w:val="00B658BA"/>
    <w:rsid w:val="00B6700A"/>
    <w:rsid w:val="00B67430"/>
    <w:rsid w:val="00B73595"/>
    <w:rsid w:val="00B74B74"/>
    <w:rsid w:val="00B84E87"/>
    <w:rsid w:val="00B85ED1"/>
    <w:rsid w:val="00B93277"/>
    <w:rsid w:val="00B94791"/>
    <w:rsid w:val="00B96F33"/>
    <w:rsid w:val="00BA3991"/>
    <w:rsid w:val="00BA582C"/>
    <w:rsid w:val="00BA7FE4"/>
    <w:rsid w:val="00BB1C04"/>
    <w:rsid w:val="00BB20F4"/>
    <w:rsid w:val="00BB6966"/>
    <w:rsid w:val="00BC0FFE"/>
    <w:rsid w:val="00BC5226"/>
    <w:rsid w:val="00BD0B2F"/>
    <w:rsid w:val="00BD5B9B"/>
    <w:rsid w:val="00BD6574"/>
    <w:rsid w:val="00BD6725"/>
    <w:rsid w:val="00BE0CEF"/>
    <w:rsid w:val="00BE10D0"/>
    <w:rsid w:val="00BE1AC4"/>
    <w:rsid w:val="00BE31CA"/>
    <w:rsid w:val="00BE364F"/>
    <w:rsid w:val="00BE42D2"/>
    <w:rsid w:val="00BE4FDE"/>
    <w:rsid w:val="00BE5A7E"/>
    <w:rsid w:val="00BE7EA8"/>
    <w:rsid w:val="00BF16AD"/>
    <w:rsid w:val="00BF1ED4"/>
    <w:rsid w:val="00BF2A11"/>
    <w:rsid w:val="00BF4079"/>
    <w:rsid w:val="00BF796A"/>
    <w:rsid w:val="00C02BF3"/>
    <w:rsid w:val="00C07CBB"/>
    <w:rsid w:val="00C12391"/>
    <w:rsid w:val="00C12447"/>
    <w:rsid w:val="00C1660C"/>
    <w:rsid w:val="00C16686"/>
    <w:rsid w:val="00C26A82"/>
    <w:rsid w:val="00C26DE9"/>
    <w:rsid w:val="00C32D43"/>
    <w:rsid w:val="00C34BDD"/>
    <w:rsid w:val="00C35464"/>
    <w:rsid w:val="00C40144"/>
    <w:rsid w:val="00C453FF"/>
    <w:rsid w:val="00C517FD"/>
    <w:rsid w:val="00C51855"/>
    <w:rsid w:val="00C6095F"/>
    <w:rsid w:val="00C60B61"/>
    <w:rsid w:val="00C640EF"/>
    <w:rsid w:val="00C6610C"/>
    <w:rsid w:val="00C66E96"/>
    <w:rsid w:val="00C67094"/>
    <w:rsid w:val="00C70EF8"/>
    <w:rsid w:val="00C75DCB"/>
    <w:rsid w:val="00C77094"/>
    <w:rsid w:val="00C77C64"/>
    <w:rsid w:val="00C77DEF"/>
    <w:rsid w:val="00C80F87"/>
    <w:rsid w:val="00C92CC7"/>
    <w:rsid w:val="00C93034"/>
    <w:rsid w:val="00C94E20"/>
    <w:rsid w:val="00C95DFD"/>
    <w:rsid w:val="00CA184B"/>
    <w:rsid w:val="00CA381A"/>
    <w:rsid w:val="00CA4DC9"/>
    <w:rsid w:val="00CB25BC"/>
    <w:rsid w:val="00CB27D8"/>
    <w:rsid w:val="00CB443B"/>
    <w:rsid w:val="00CB473A"/>
    <w:rsid w:val="00CB5C4C"/>
    <w:rsid w:val="00CB5C58"/>
    <w:rsid w:val="00CB7A4D"/>
    <w:rsid w:val="00CB7AAB"/>
    <w:rsid w:val="00CC006A"/>
    <w:rsid w:val="00CC15C1"/>
    <w:rsid w:val="00CC3904"/>
    <w:rsid w:val="00CC4556"/>
    <w:rsid w:val="00CC463D"/>
    <w:rsid w:val="00CC4942"/>
    <w:rsid w:val="00CD001A"/>
    <w:rsid w:val="00CD6EAF"/>
    <w:rsid w:val="00CD7EA4"/>
    <w:rsid w:val="00CE09E4"/>
    <w:rsid w:val="00CE1A24"/>
    <w:rsid w:val="00CE6A6C"/>
    <w:rsid w:val="00CF311A"/>
    <w:rsid w:val="00CF357F"/>
    <w:rsid w:val="00CF7A86"/>
    <w:rsid w:val="00D0270E"/>
    <w:rsid w:val="00D10DC1"/>
    <w:rsid w:val="00D11978"/>
    <w:rsid w:val="00D1430E"/>
    <w:rsid w:val="00D20719"/>
    <w:rsid w:val="00D218DC"/>
    <w:rsid w:val="00D2351C"/>
    <w:rsid w:val="00D30015"/>
    <w:rsid w:val="00D301D6"/>
    <w:rsid w:val="00D316B4"/>
    <w:rsid w:val="00D3353A"/>
    <w:rsid w:val="00D35E37"/>
    <w:rsid w:val="00D36047"/>
    <w:rsid w:val="00D41F31"/>
    <w:rsid w:val="00D42528"/>
    <w:rsid w:val="00D446B6"/>
    <w:rsid w:val="00D447E3"/>
    <w:rsid w:val="00D44CA6"/>
    <w:rsid w:val="00D47ACC"/>
    <w:rsid w:val="00D53A31"/>
    <w:rsid w:val="00D5588B"/>
    <w:rsid w:val="00D60CFD"/>
    <w:rsid w:val="00D61E40"/>
    <w:rsid w:val="00D62B5E"/>
    <w:rsid w:val="00D71897"/>
    <w:rsid w:val="00D73A9B"/>
    <w:rsid w:val="00D74463"/>
    <w:rsid w:val="00D7512B"/>
    <w:rsid w:val="00D75770"/>
    <w:rsid w:val="00D759F4"/>
    <w:rsid w:val="00D75F5C"/>
    <w:rsid w:val="00D7750A"/>
    <w:rsid w:val="00D77AE1"/>
    <w:rsid w:val="00D81093"/>
    <w:rsid w:val="00D832C9"/>
    <w:rsid w:val="00D8534B"/>
    <w:rsid w:val="00D85878"/>
    <w:rsid w:val="00D85915"/>
    <w:rsid w:val="00D8698E"/>
    <w:rsid w:val="00D87C02"/>
    <w:rsid w:val="00D9007B"/>
    <w:rsid w:val="00D924B2"/>
    <w:rsid w:val="00D92BF7"/>
    <w:rsid w:val="00D9532E"/>
    <w:rsid w:val="00D9561A"/>
    <w:rsid w:val="00DA25E3"/>
    <w:rsid w:val="00DB0906"/>
    <w:rsid w:val="00DB18E7"/>
    <w:rsid w:val="00DB1DEB"/>
    <w:rsid w:val="00DB360C"/>
    <w:rsid w:val="00DB6CF9"/>
    <w:rsid w:val="00DC1D52"/>
    <w:rsid w:val="00DC5BBA"/>
    <w:rsid w:val="00DC7EE9"/>
    <w:rsid w:val="00DD09DB"/>
    <w:rsid w:val="00DD4D01"/>
    <w:rsid w:val="00DE04CA"/>
    <w:rsid w:val="00DE1125"/>
    <w:rsid w:val="00DE1628"/>
    <w:rsid w:val="00DE2C50"/>
    <w:rsid w:val="00DE461E"/>
    <w:rsid w:val="00DE5668"/>
    <w:rsid w:val="00DE6B5C"/>
    <w:rsid w:val="00DE7AB9"/>
    <w:rsid w:val="00DF189F"/>
    <w:rsid w:val="00DF445E"/>
    <w:rsid w:val="00DF4990"/>
    <w:rsid w:val="00DF5BCF"/>
    <w:rsid w:val="00E005CE"/>
    <w:rsid w:val="00E006F3"/>
    <w:rsid w:val="00E00E22"/>
    <w:rsid w:val="00E0108D"/>
    <w:rsid w:val="00E01377"/>
    <w:rsid w:val="00E02EE5"/>
    <w:rsid w:val="00E04286"/>
    <w:rsid w:val="00E05326"/>
    <w:rsid w:val="00E108F6"/>
    <w:rsid w:val="00E11BE2"/>
    <w:rsid w:val="00E16858"/>
    <w:rsid w:val="00E17ACB"/>
    <w:rsid w:val="00E22270"/>
    <w:rsid w:val="00E26831"/>
    <w:rsid w:val="00E26D79"/>
    <w:rsid w:val="00E37594"/>
    <w:rsid w:val="00E40EAC"/>
    <w:rsid w:val="00E40F16"/>
    <w:rsid w:val="00E426DD"/>
    <w:rsid w:val="00E42779"/>
    <w:rsid w:val="00E42B2D"/>
    <w:rsid w:val="00E437A0"/>
    <w:rsid w:val="00E43DB2"/>
    <w:rsid w:val="00E45DBB"/>
    <w:rsid w:val="00E500A6"/>
    <w:rsid w:val="00E531E6"/>
    <w:rsid w:val="00E54DF6"/>
    <w:rsid w:val="00E553E2"/>
    <w:rsid w:val="00E61EC0"/>
    <w:rsid w:val="00E6620D"/>
    <w:rsid w:val="00E66BCD"/>
    <w:rsid w:val="00E673FB"/>
    <w:rsid w:val="00E70AD4"/>
    <w:rsid w:val="00E74431"/>
    <w:rsid w:val="00E753E8"/>
    <w:rsid w:val="00E761AF"/>
    <w:rsid w:val="00E77560"/>
    <w:rsid w:val="00E81777"/>
    <w:rsid w:val="00E858B2"/>
    <w:rsid w:val="00E905F4"/>
    <w:rsid w:val="00E90D6D"/>
    <w:rsid w:val="00E91C48"/>
    <w:rsid w:val="00E93837"/>
    <w:rsid w:val="00E96DAD"/>
    <w:rsid w:val="00EA256F"/>
    <w:rsid w:val="00EA4E67"/>
    <w:rsid w:val="00EB2474"/>
    <w:rsid w:val="00EB2664"/>
    <w:rsid w:val="00EB2DAC"/>
    <w:rsid w:val="00EB3151"/>
    <w:rsid w:val="00EB542B"/>
    <w:rsid w:val="00EC53DE"/>
    <w:rsid w:val="00EC5ECC"/>
    <w:rsid w:val="00EC62CA"/>
    <w:rsid w:val="00ED3EDA"/>
    <w:rsid w:val="00ED5259"/>
    <w:rsid w:val="00ED579D"/>
    <w:rsid w:val="00EF1A86"/>
    <w:rsid w:val="00EF2262"/>
    <w:rsid w:val="00EF486E"/>
    <w:rsid w:val="00EF4D13"/>
    <w:rsid w:val="00EF555B"/>
    <w:rsid w:val="00F03E21"/>
    <w:rsid w:val="00F06126"/>
    <w:rsid w:val="00F10639"/>
    <w:rsid w:val="00F13034"/>
    <w:rsid w:val="00F13D20"/>
    <w:rsid w:val="00F15317"/>
    <w:rsid w:val="00F15ACE"/>
    <w:rsid w:val="00F15BD3"/>
    <w:rsid w:val="00F200BE"/>
    <w:rsid w:val="00F21BCC"/>
    <w:rsid w:val="00F21C5D"/>
    <w:rsid w:val="00F222BC"/>
    <w:rsid w:val="00F23F30"/>
    <w:rsid w:val="00F24AC8"/>
    <w:rsid w:val="00F25172"/>
    <w:rsid w:val="00F27A39"/>
    <w:rsid w:val="00F27DCA"/>
    <w:rsid w:val="00F30D99"/>
    <w:rsid w:val="00F3183F"/>
    <w:rsid w:val="00F3221C"/>
    <w:rsid w:val="00F32C94"/>
    <w:rsid w:val="00F35662"/>
    <w:rsid w:val="00F36573"/>
    <w:rsid w:val="00F36ADD"/>
    <w:rsid w:val="00F4071F"/>
    <w:rsid w:val="00F42BB5"/>
    <w:rsid w:val="00F45BAE"/>
    <w:rsid w:val="00F46DC3"/>
    <w:rsid w:val="00F517EB"/>
    <w:rsid w:val="00F522A1"/>
    <w:rsid w:val="00F544B4"/>
    <w:rsid w:val="00F602A2"/>
    <w:rsid w:val="00F60680"/>
    <w:rsid w:val="00F61831"/>
    <w:rsid w:val="00F6257C"/>
    <w:rsid w:val="00F64BE3"/>
    <w:rsid w:val="00F6687A"/>
    <w:rsid w:val="00F66BBE"/>
    <w:rsid w:val="00F671D2"/>
    <w:rsid w:val="00F6781E"/>
    <w:rsid w:val="00F71387"/>
    <w:rsid w:val="00F72CFE"/>
    <w:rsid w:val="00F82387"/>
    <w:rsid w:val="00F8445A"/>
    <w:rsid w:val="00F903B3"/>
    <w:rsid w:val="00F92649"/>
    <w:rsid w:val="00F92749"/>
    <w:rsid w:val="00F970FB"/>
    <w:rsid w:val="00FA0BFA"/>
    <w:rsid w:val="00FA1BC8"/>
    <w:rsid w:val="00FA2E93"/>
    <w:rsid w:val="00FA3DD5"/>
    <w:rsid w:val="00FA6AAF"/>
    <w:rsid w:val="00FA769C"/>
    <w:rsid w:val="00FB0638"/>
    <w:rsid w:val="00FB145C"/>
    <w:rsid w:val="00FB4781"/>
    <w:rsid w:val="00FB5351"/>
    <w:rsid w:val="00FB6C0B"/>
    <w:rsid w:val="00FC05BE"/>
    <w:rsid w:val="00FC12E6"/>
    <w:rsid w:val="00FC2264"/>
    <w:rsid w:val="00FC2372"/>
    <w:rsid w:val="00FC26F9"/>
    <w:rsid w:val="00FC5E36"/>
    <w:rsid w:val="00FC77F5"/>
    <w:rsid w:val="00FC7D12"/>
    <w:rsid w:val="00FD02FD"/>
    <w:rsid w:val="00FD1272"/>
    <w:rsid w:val="00FD2D70"/>
    <w:rsid w:val="00FD3036"/>
    <w:rsid w:val="00FD5472"/>
    <w:rsid w:val="00FD7752"/>
    <w:rsid w:val="00FD7AC1"/>
    <w:rsid w:val="00FE2FE6"/>
    <w:rsid w:val="00FE6473"/>
    <w:rsid w:val="00FE7061"/>
    <w:rsid w:val="00FE7E37"/>
    <w:rsid w:val="00FF1550"/>
    <w:rsid w:val="00FF4BCF"/>
    <w:rsid w:val="00FF522E"/>
    <w:rsid w:val="00FF5AC9"/>
    <w:rsid w:val="00FF5CC5"/>
    <w:rsid w:val="00FF7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AA"/>
    <w:rPr>
      <w:rFonts w:ascii="Times New Roman" w:eastAsia="新細明體" w:hAnsi="Times New Roman" w:cs="Times New Roman"/>
      <w:kern w:val="0"/>
      <w:szCs w:val="20"/>
    </w:rPr>
  </w:style>
  <w:style w:type="paragraph" w:styleId="1">
    <w:name w:val="heading 1"/>
    <w:basedOn w:val="a"/>
    <w:next w:val="a"/>
    <w:link w:val="10"/>
    <w:qFormat/>
    <w:rsid w:val="001E1AA0"/>
    <w:pPr>
      <w:keepNext/>
      <w:widowControl w:val="0"/>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1E1AA0"/>
    <w:pPr>
      <w:keepNext/>
      <w:widowControl w:val="0"/>
      <w:spacing w:line="720" w:lineRule="auto"/>
      <w:outlineLvl w:val="1"/>
    </w:pPr>
    <w:rPr>
      <w:rFonts w:ascii="Arial" w:hAnsi="Arial"/>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Center">
    <w:name w:val="Normal Center"/>
    <w:basedOn w:val="a"/>
    <w:rsid w:val="000923AA"/>
    <w:pPr>
      <w:jc w:val="center"/>
    </w:pPr>
    <w:rPr>
      <w:kern w:val="24"/>
    </w:rPr>
  </w:style>
  <w:style w:type="table" w:styleId="a3">
    <w:name w:val="Table Grid"/>
    <w:basedOn w:val="a1"/>
    <w:uiPriority w:val="59"/>
    <w:rsid w:val="00416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1E1AA0"/>
    <w:rPr>
      <w:rFonts w:ascii="Arial" w:eastAsia="新細明體" w:hAnsi="Arial" w:cs="Times New Roman"/>
      <w:b/>
      <w:bCs/>
      <w:kern w:val="52"/>
      <w:sz w:val="52"/>
      <w:szCs w:val="52"/>
    </w:rPr>
  </w:style>
  <w:style w:type="character" w:customStyle="1" w:styleId="20">
    <w:name w:val="標題 2 字元"/>
    <w:basedOn w:val="a0"/>
    <w:link w:val="2"/>
    <w:semiHidden/>
    <w:rsid w:val="001E1AA0"/>
    <w:rPr>
      <w:rFonts w:ascii="Arial" w:eastAsia="新細明體" w:hAnsi="Arial" w:cs="Times New Roman"/>
      <w:b/>
      <w:bCs/>
      <w:sz w:val="48"/>
      <w:szCs w:val="48"/>
    </w:rPr>
  </w:style>
  <w:style w:type="character" w:styleId="a4">
    <w:name w:val="Hyperlink"/>
    <w:semiHidden/>
    <w:unhideWhenUsed/>
    <w:rsid w:val="001E1AA0"/>
    <w:rPr>
      <w:color w:val="71672D"/>
      <w:sz w:val="24"/>
      <w:szCs w:val="24"/>
      <w:u w:val="single"/>
    </w:rPr>
  </w:style>
  <w:style w:type="character" w:styleId="a5">
    <w:name w:val="FollowedHyperlink"/>
    <w:basedOn w:val="a0"/>
    <w:uiPriority w:val="99"/>
    <w:semiHidden/>
    <w:unhideWhenUsed/>
    <w:rsid w:val="001E1AA0"/>
    <w:rPr>
      <w:color w:val="800080" w:themeColor="followedHyperlink"/>
      <w:u w:val="single"/>
    </w:rPr>
  </w:style>
  <w:style w:type="paragraph" w:styleId="a6">
    <w:name w:val="footnote text"/>
    <w:basedOn w:val="a"/>
    <w:link w:val="a7"/>
    <w:semiHidden/>
    <w:unhideWhenUsed/>
    <w:rsid w:val="001E1AA0"/>
    <w:pPr>
      <w:widowControl w:val="0"/>
      <w:snapToGrid w:val="0"/>
    </w:pPr>
    <w:rPr>
      <w:kern w:val="2"/>
      <w:sz w:val="20"/>
    </w:rPr>
  </w:style>
  <w:style w:type="character" w:customStyle="1" w:styleId="a7">
    <w:name w:val="註腳文字 字元"/>
    <w:basedOn w:val="a0"/>
    <w:link w:val="a6"/>
    <w:semiHidden/>
    <w:rsid w:val="001E1AA0"/>
    <w:rPr>
      <w:rFonts w:ascii="Times New Roman" w:eastAsia="新細明體" w:hAnsi="Times New Roman" w:cs="Times New Roman"/>
      <w:sz w:val="20"/>
      <w:szCs w:val="20"/>
    </w:rPr>
  </w:style>
  <w:style w:type="paragraph" w:styleId="a8">
    <w:name w:val="annotation text"/>
    <w:basedOn w:val="a"/>
    <w:link w:val="a9"/>
    <w:semiHidden/>
    <w:unhideWhenUsed/>
    <w:rsid w:val="001E1AA0"/>
    <w:pPr>
      <w:widowControl w:val="0"/>
    </w:pPr>
    <w:rPr>
      <w:kern w:val="2"/>
      <w:szCs w:val="24"/>
      <w:lang w:val="x-none" w:eastAsia="x-none"/>
    </w:rPr>
  </w:style>
  <w:style w:type="character" w:customStyle="1" w:styleId="a9">
    <w:name w:val="註解文字 字元"/>
    <w:basedOn w:val="a0"/>
    <w:link w:val="a8"/>
    <w:semiHidden/>
    <w:rsid w:val="001E1AA0"/>
    <w:rPr>
      <w:rFonts w:ascii="Times New Roman" w:eastAsia="新細明體" w:hAnsi="Times New Roman" w:cs="Times New Roman"/>
      <w:szCs w:val="24"/>
      <w:lang w:val="x-none" w:eastAsia="x-none"/>
    </w:rPr>
  </w:style>
  <w:style w:type="paragraph" w:styleId="aa">
    <w:name w:val="header"/>
    <w:basedOn w:val="a"/>
    <w:link w:val="ab"/>
    <w:unhideWhenUsed/>
    <w:rsid w:val="001E1AA0"/>
    <w:pPr>
      <w:widowControl w:val="0"/>
      <w:tabs>
        <w:tab w:val="center" w:pos="4153"/>
        <w:tab w:val="right" w:pos="8306"/>
      </w:tabs>
      <w:snapToGrid w:val="0"/>
    </w:pPr>
    <w:rPr>
      <w:kern w:val="2"/>
      <w:sz w:val="20"/>
    </w:rPr>
  </w:style>
  <w:style w:type="character" w:customStyle="1" w:styleId="ab">
    <w:name w:val="頁首 字元"/>
    <w:basedOn w:val="a0"/>
    <w:link w:val="aa"/>
    <w:rsid w:val="001E1AA0"/>
    <w:rPr>
      <w:rFonts w:ascii="Times New Roman" w:eastAsia="新細明體" w:hAnsi="Times New Roman" w:cs="Times New Roman"/>
      <w:sz w:val="20"/>
      <w:szCs w:val="20"/>
    </w:rPr>
  </w:style>
  <w:style w:type="paragraph" w:styleId="ac">
    <w:name w:val="footer"/>
    <w:basedOn w:val="a"/>
    <w:link w:val="ad"/>
    <w:uiPriority w:val="99"/>
    <w:unhideWhenUsed/>
    <w:rsid w:val="001E1AA0"/>
    <w:pPr>
      <w:widowControl w:val="0"/>
      <w:tabs>
        <w:tab w:val="center" w:pos="4153"/>
        <w:tab w:val="right" w:pos="8306"/>
      </w:tabs>
      <w:snapToGrid w:val="0"/>
    </w:pPr>
    <w:rPr>
      <w:kern w:val="2"/>
      <w:sz w:val="20"/>
      <w:lang w:val="x-none" w:eastAsia="x-none"/>
    </w:rPr>
  </w:style>
  <w:style w:type="character" w:customStyle="1" w:styleId="ad">
    <w:name w:val="頁尾 字元"/>
    <w:basedOn w:val="a0"/>
    <w:link w:val="ac"/>
    <w:uiPriority w:val="99"/>
    <w:rsid w:val="001E1AA0"/>
    <w:rPr>
      <w:rFonts w:ascii="Times New Roman" w:eastAsia="新細明體" w:hAnsi="Times New Roman" w:cs="Times New Roman"/>
      <w:sz w:val="20"/>
      <w:szCs w:val="20"/>
      <w:lang w:val="x-none" w:eastAsia="x-none"/>
    </w:rPr>
  </w:style>
  <w:style w:type="paragraph" w:styleId="ae">
    <w:name w:val="endnote text"/>
    <w:basedOn w:val="a"/>
    <w:link w:val="af"/>
    <w:semiHidden/>
    <w:unhideWhenUsed/>
    <w:rsid w:val="001E1AA0"/>
    <w:pPr>
      <w:widowControl w:val="0"/>
      <w:snapToGrid w:val="0"/>
    </w:pPr>
    <w:rPr>
      <w:kern w:val="2"/>
      <w:szCs w:val="24"/>
      <w:lang w:val="x-none" w:eastAsia="x-none"/>
    </w:rPr>
  </w:style>
  <w:style w:type="character" w:customStyle="1" w:styleId="af">
    <w:name w:val="章節附註文字 字元"/>
    <w:basedOn w:val="a0"/>
    <w:link w:val="ae"/>
    <w:semiHidden/>
    <w:rsid w:val="001E1AA0"/>
    <w:rPr>
      <w:rFonts w:ascii="Times New Roman" w:eastAsia="新細明體" w:hAnsi="Times New Roman" w:cs="Times New Roman"/>
      <w:szCs w:val="24"/>
      <w:lang w:val="x-none" w:eastAsia="x-none"/>
    </w:rPr>
  </w:style>
  <w:style w:type="paragraph" w:styleId="af0">
    <w:name w:val="Body Text"/>
    <w:basedOn w:val="a"/>
    <w:link w:val="af1"/>
    <w:semiHidden/>
    <w:unhideWhenUsed/>
    <w:rsid w:val="001E1AA0"/>
    <w:pPr>
      <w:widowControl w:val="0"/>
      <w:spacing w:after="120"/>
    </w:pPr>
    <w:rPr>
      <w:kern w:val="2"/>
      <w:szCs w:val="24"/>
    </w:rPr>
  </w:style>
  <w:style w:type="character" w:customStyle="1" w:styleId="af1">
    <w:name w:val="本文 字元"/>
    <w:basedOn w:val="a0"/>
    <w:link w:val="af0"/>
    <w:semiHidden/>
    <w:rsid w:val="001E1AA0"/>
    <w:rPr>
      <w:rFonts w:ascii="Times New Roman" w:eastAsia="新細明體" w:hAnsi="Times New Roman" w:cs="Times New Roman"/>
      <w:szCs w:val="24"/>
    </w:rPr>
  </w:style>
  <w:style w:type="paragraph" w:styleId="af2">
    <w:name w:val="Body Text Indent"/>
    <w:basedOn w:val="a"/>
    <w:link w:val="af3"/>
    <w:semiHidden/>
    <w:unhideWhenUsed/>
    <w:rsid w:val="001E1AA0"/>
    <w:pPr>
      <w:widowControl w:val="0"/>
      <w:spacing w:after="120"/>
      <w:ind w:leftChars="200" w:left="480"/>
    </w:pPr>
    <w:rPr>
      <w:kern w:val="2"/>
      <w:szCs w:val="24"/>
    </w:rPr>
  </w:style>
  <w:style w:type="character" w:customStyle="1" w:styleId="af3">
    <w:name w:val="本文縮排 字元"/>
    <w:basedOn w:val="a0"/>
    <w:link w:val="af2"/>
    <w:semiHidden/>
    <w:rsid w:val="001E1AA0"/>
    <w:rPr>
      <w:rFonts w:ascii="Times New Roman" w:eastAsia="新細明體" w:hAnsi="Times New Roman" w:cs="Times New Roman"/>
      <w:szCs w:val="24"/>
    </w:rPr>
  </w:style>
  <w:style w:type="paragraph" w:styleId="af4">
    <w:name w:val="Body Text First Indent"/>
    <w:basedOn w:val="af0"/>
    <w:link w:val="af5"/>
    <w:semiHidden/>
    <w:unhideWhenUsed/>
    <w:rsid w:val="001E1AA0"/>
    <w:pPr>
      <w:widowControl/>
      <w:spacing w:after="0" w:line="480" w:lineRule="auto"/>
      <w:ind w:firstLine="720"/>
      <w:jc w:val="both"/>
    </w:pPr>
    <w:rPr>
      <w:kern w:val="24"/>
      <w:szCs w:val="20"/>
    </w:rPr>
  </w:style>
  <w:style w:type="character" w:customStyle="1" w:styleId="af5">
    <w:name w:val="本文第一層縮排 字元"/>
    <w:basedOn w:val="af1"/>
    <w:link w:val="af4"/>
    <w:semiHidden/>
    <w:rsid w:val="001E1AA0"/>
    <w:rPr>
      <w:rFonts w:ascii="Times New Roman" w:eastAsia="新細明體" w:hAnsi="Times New Roman" w:cs="Times New Roman"/>
      <w:kern w:val="24"/>
      <w:szCs w:val="20"/>
    </w:rPr>
  </w:style>
  <w:style w:type="paragraph" w:styleId="21">
    <w:name w:val="Body Text 2"/>
    <w:basedOn w:val="a"/>
    <w:link w:val="22"/>
    <w:semiHidden/>
    <w:unhideWhenUsed/>
    <w:rsid w:val="001E1AA0"/>
    <w:pPr>
      <w:widowControl w:val="0"/>
      <w:spacing w:after="120" w:line="480" w:lineRule="auto"/>
    </w:pPr>
    <w:rPr>
      <w:kern w:val="2"/>
      <w:szCs w:val="24"/>
    </w:rPr>
  </w:style>
  <w:style w:type="character" w:customStyle="1" w:styleId="22">
    <w:name w:val="本文 2 字元"/>
    <w:basedOn w:val="a0"/>
    <w:link w:val="21"/>
    <w:semiHidden/>
    <w:rsid w:val="001E1AA0"/>
    <w:rPr>
      <w:rFonts w:ascii="Times New Roman" w:eastAsia="新細明體" w:hAnsi="Times New Roman" w:cs="Times New Roman"/>
      <w:szCs w:val="24"/>
    </w:rPr>
  </w:style>
  <w:style w:type="paragraph" w:styleId="af6">
    <w:name w:val="annotation subject"/>
    <w:basedOn w:val="a8"/>
    <w:next w:val="a8"/>
    <w:link w:val="af7"/>
    <w:semiHidden/>
    <w:unhideWhenUsed/>
    <w:rsid w:val="001E1AA0"/>
    <w:rPr>
      <w:b/>
      <w:bCs/>
    </w:rPr>
  </w:style>
  <w:style w:type="character" w:customStyle="1" w:styleId="af7">
    <w:name w:val="註解主旨 字元"/>
    <w:basedOn w:val="a9"/>
    <w:link w:val="af6"/>
    <w:semiHidden/>
    <w:rsid w:val="001E1AA0"/>
    <w:rPr>
      <w:rFonts w:ascii="Times New Roman" w:eastAsia="新細明體" w:hAnsi="Times New Roman" w:cs="Times New Roman"/>
      <w:b/>
      <w:bCs/>
      <w:szCs w:val="24"/>
      <w:lang w:val="x-none" w:eastAsia="x-none"/>
    </w:rPr>
  </w:style>
  <w:style w:type="paragraph" w:styleId="af8">
    <w:name w:val="Balloon Text"/>
    <w:basedOn w:val="a"/>
    <w:link w:val="af9"/>
    <w:semiHidden/>
    <w:unhideWhenUsed/>
    <w:rsid w:val="001E1AA0"/>
    <w:pPr>
      <w:widowControl w:val="0"/>
    </w:pPr>
    <w:rPr>
      <w:rFonts w:ascii="Arial" w:hAnsi="Arial"/>
      <w:kern w:val="2"/>
      <w:sz w:val="18"/>
      <w:szCs w:val="18"/>
    </w:rPr>
  </w:style>
  <w:style w:type="character" w:customStyle="1" w:styleId="af9">
    <w:name w:val="註解方塊文字 字元"/>
    <w:basedOn w:val="a0"/>
    <w:link w:val="af8"/>
    <w:semiHidden/>
    <w:rsid w:val="001E1AA0"/>
    <w:rPr>
      <w:rFonts w:ascii="Arial" w:eastAsia="新細明體" w:hAnsi="Arial" w:cs="Times New Roman"/>
      <w:sz w:val="18"/>
      <w:szCs w:val="18"/>
    </w:rPr>
  </w:style>
  <w:style w:type="paragraph" w:styleId="afa">
    <w:name w:val="Revision"/>
    <w:uiPriority w:val="99"/>
    <w:semiHidden/>
    <w:rsid w:val="001E1AA0"/>
    <w:rPr>
      <w:rFonts w:ascii="Times New Roman" w:eastAsia="新細明體" w:hAnsi="Times New Roman" w:cs="Times New Roman"/>
      <w:szCs w:val="24"/>
    </w:rPr>
  </w:style>
  <w:style w:type="paragraph" w:customStyle="1" w:styleId="ReferenceLine">
    <w:name w:val="Reference Line"/>
    <w:basedOn w:val="21"/>
    <w:rsid w:val="001E1AA0"/>
    <w:pPr>
      <w:widowControl/>
      <w:spacing w:before="120" w:line="240" w:lineRule="auto"/>
      <w:ind w:left="720" w:hanging="720"/>
      <w:jc w:val="both"/>
    </w:pPr>
    <w:rPr>
      <w:kern w:val="24"/>
      <w:szCs w:val="20"/>
    </w:rPr>
  </w:style>
  <w:style w:type="paragraph" w:customStyle="1" w:styleId="-11">
    <w:name w:val="彩色網底 - 輔色 11"/>
    <w:uiPriority w:val="99"/>
    <w:semiHidden/>
    <w:rsid w:val="001E1AA0"/>
    <w:rPr>
      <w:rFonts w:ascii="Times New Roman" w:eastAsia="新細明體" w:hAnsi="Times New Roman" w:cs="Times New Roman"/>
      <w:szCs w:val="24"/>
    </w:rPr>
  </w:style>
  <w:style w:type="paragraph" w:customStyle="1" w:styleId="Default">
    <w:name w:val="Default"/>
    <w:rsid w:val="001E1AA0"/>
    <w:pPr>
      <w:widowControl w:val="0"/>
      <w:autoSpaceDE w:val="0"/>
      <w:autoSpaceDN w:val="0"/>
      <w:adjustRightInd w:val="0"/>
    </w:pPr>
    <w:rPr>
      <w:rFonts w:ascii="CMB X 12" w:eastAsia="CMB X 12" w:hAnsi="Times New Roman" w:cs="CMB X 12"/>
      <w:color w:val="000000"/>
      <w:kern w:val="0"/>
      <w:szCs w:val="24"/>
    </w:rPr>
  </w:style>
  <w:style w:type="character" w:styleId="afb">
    <w:name w:val="footnote reference"/>
    <w:semiHidden/>
    <w:unhideWhenUsed/>
    <w:rsid w:val="001E1AA0"/>
    <w:rPr>
      <w:vertAlign w:val="superscript"/>
    </w:rPr>
  </w:style>
  <w:style w:type="character" w:styleId="afc">
    <w:name w:val="annotation reference"/>
    <w:semiHidden/>
    <w:unhideWhenUsed/>
    <w:rsid w:val="001E1AA0"/>
    <w:rPr>
      <w:sz w:val="18"/>
      <w:szCs w:val="18"/>
    </w:rPr>
  </w:style>
  <w:style w:type="character" w:styleId="afd">
    <w:name w:val="endnote reference"/>
    <w:semiHidden/>
    <w:unhideWhenUsed/>
    <w:rsid w:val="001E1AA0"/>
    <w:rPr>
      <w:vertAlign w:val="superscript"/>
    </w:rPr>
  </w:style>
  <w:style w:type="paragraph" w:styleId="afe">
    <w:name w:val="TOC Heading"/>
    <w:basedOn w:val="1"/>
    <w:next w:val="a"/>
    <w:uiPriority w:val="39"/>
    <w:unhideWhenUsed/>
    <w:qFormat/>
    <w:rsid w:val="00890569"/>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890569"/>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845F7A"/>
    <w:pPr>
      <w:spacing w:after="100" w:line="276" w:lineRule="auto"/>
    </w:pPr>
    <w:rPr>
      <w:rFonts w:eastAsiaTheme="minorEastAsia"/>
      <w:b/>
      <w:szCs w:val="24"/>
    </w:rPr>
  </w:style>
  <w:style w:type="paragraph" w:styleId="3">
    <w:name w:val="toc 3"/>
    <w:basedOn w:val="a"/>
    <w:next w:val="a"/>
    <w:autoRedefine/>
    <w:uiPriority w:val="39"/>
    <w:unhideWhenUsed/>
    <w:qFormat/>
    <w:rsid w:val="00890569"/>
    <w:pPr>
      <w:spacing w:after="100" w:line="276" w:lineRule="auto"/>
      <w:ind w:left="440"/>
    </w:pPr>
    <w:rPr>
      <w:rFonts w:asciiTheme="minorHAnsi" w:eastAsiaTheme="minorEastAsia" w:hAnsiTheme="minorHAnsi" w:cstheme="minorBidi"/>
      <w:sz w:val="22"/>
      <w:szCs w:val="22"/>
    </w:rPr>
  </w:style>
  <w:style w:type="character" w:styleId="aff">
    <w:name w:val="Placeholder Text"/>
    <w:basedOn w:val="a0"/>
    <w:uiPriority w:val="99"/>
    <w:semiHidden/>
    <w:rsid w:val="008A25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AA"/>
    <w:rPr>
      <w:rFonts w:ascii="Times New Roman" w:eastAsia="新細明體" w:hAnsi="Times New Roman" w:cs="Times New Roman"/>
      <w:kern w:val="0"/>
      <w:szCs w:val="20"/>
    </w:rPr>
  </w:style>
  <w:style w:type="paragraph" w:styleId="1">
    <w:name w:val="heading 1"/>
    <w:basedOn w:val="a"/>
    <w:next w:val="a"/>
    <w:link w:val="10"/>
    <w:qFormat/>
    <w:rsid w:val="001E1AA0"/>
    <w:pPr>
      <w:keepNext/>
      <w:widowControl w:val="0"/>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1E1AA0"/>
    <w:pPr>
      <w:keepNext/>
      <w:widowControl w:val="0"/>
      <w:spacing w:line="720" w:lineRule="auto"/>
      <w:outlineLvl w:val="1"/>
    </w:pPr>
    <w:rPr>
      <w:rFonts w:ascii="Arial" w:hAnsi="Arial"/>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Center">
    <w:name w:val="Normal Center"/>
    <w:basedOn w:val="a"/>
    <w:rsid w:val="000923AA"/>
    <w:pPr>
      <w:jc w:val="center"/>
    </w:pPr>
    <w:rPr>
      <w:kern w:val="24"/>
    </w:rPr>
  </w:style>
  <w:style w:type="table" w:styleId="a3">
    <w:name w:val="Table Grid"/>
    <w:basedOn w:val="a1"/>
    <w:uiPriority w:val="59"/>
    <w:rsid w:val="00416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1E1AA0"/>
    <w:rPr>
      <w:rFonts w:ascii="Arial" w:eastAsia="新細明體" w:hAnsi="Arial" w:cs="Times New Roman"/>
      <w:b/>
      <w:bCs/>
      <w:kern w:val="52"/>
      <w:sz w:val="52"/>
      <w:szCs w:val="52"/>
    </w:rPr>
  </w:style>
  <w:style w:type="character" w:customStyle="1" w:styleId="20">
    <w:name w:val="標題 2 字元"/>
    <w:basedOn w:val="a0"/>
    <w:link w:val="2"/>
    <w:semiHidden/>
    <w:rsid w:val="001E1AA0"/>
    <w:rPr>
      <w:rFonts w:ascii="Arial" w:eastAsia="新細明體" w:hAnsi="Arial" w:cs="Times New Roman"/>
      <w:b/>
      <w:bCs/>
      <w:sz w:val="48"/>
      <w:szCs w:val="48"/>
    </w:rPr>
  </w:style>
  <w:style w:type="character" w:styleId="a4">
    <w:name w:val="Hyperlink"/>
    <w:semiHidden/>
    <w:unhideWhenUsed/>
    <w:rsid w:val="001E1AA0"/>
    <w:rPr>
      <w:color w:val="71672D"/>
      <w:sz w:val="24"/>
      <w:szCs w:val="24"/>
      <w:u w:val="single"/>
    </w:rPr>
  </w:style>
  <w:style w:type="character" w:styleId="a5">
    <w:name w:val="FollowedHyperlink"/>
    <w:basedOn w:val="a0"/>
    <w:uiPriority w:val="99"/>
    <w:semiHidden/>
    <w:unhideWhenUsed/>
    <w:rsid w:val="001E1AA0"/>
    <w:rPr>
      <w:color w:val="800080" w:themeColor="followedHyperlink"/>
      <w:u w:val="single"/>
    </w:rPr>
  </w:style>
  <w:style w:type="paragraph" w:styleId="a6">
    <w:name w:val="footnote text"/>
    <w:basedOn w:val="a"/>
    <w:link w:val="a7"/>
    <w:semiHidden/>
    <w:unhideWhenUsed/>
    <w:rsid w:val="001E1AA0"/>
    <w:pPr>
      <w:widowControl w:val="0"/>
      <w:snapToGrid w:val="0"/>
    </w:pPr>
    <w:rPr>
      <w:kern w:val="2"/>
      <w:sz w:val="20"/>
    </w:rPr>
  </w:style>
  <w:style w:type="character" w:customStyle="1" w:styleId="a7">
    <w:name w:val="註腳文字 字元"/>
    <w:basedOn w:val="a0"/>
    <w:link w:val="a6"/>
    <w:semiHidden/>
    <w:rsid w:val="001E1AA0"/>
    <w:rPr>
      <w:rFonts w:ascii="Times New Roman" w:eastAsia="新細明體" w:hAnsi="Times New Roman" w:cs="Times New Roman"/>
      <w:sz w:val="20"/>
      <w:szCs w:val="20"/>
    </w:rPr>
  </w:style>
  <w:style w:type="paragraph" w:styleId="a8">
    <w:name w:val="annotation text"/>
    <w:basedOn w:val="a"/>
    <w:link w:val="a9"/>
    <w:semiHidden/>
    <w:unhideWhenUsed/>
    <w:rsid w:val="001E1AA0"/>
    <w:pPr>
      <w:widowControl w:val="0"/>
    </w:pPr>
    <w:rPr>
      <w:kern w:val="2"/>
      <w:szCs w:val="24"/>
      <w:lang w:val="x-none" w:eastAsia="x-none"/>
    </w:rPr>
  </w:style>
  <w:style w:type="character" w:customStyle="1" w:styleId="a9">
    <w:name w:val="註解文字 字元"/>
    <w:basedOn w:val="a0"/>
    <w:link w:val="a8"/>
    <w:semiHidden/>
    <w:rsid w:val="001E1AA0"/>
    <w:rPr>
      <w:rFonts w:ascii="Times New Roman" w:eastAsia="新細明體" w:hAnsi="Times New Roman" w:cs="Times New Roman"/>
      <w:szCs w:val="24"/>
      <w:lang w:val="x-none" w:eastAsia="x-none"/>
    </w:rPr>
  </w:style>
  <w:style w:type="paragraph" w:styleId="aa">
    <w:name w:val="header"/>
    <w:basedOn w:val="a"/>
    <w:link w:val="ab"/>
    <w:unhideWhenUsed/>
    <w:rsid w:val="001E1AA0"/>
    <w:pPr>
      <w:widowControl w:val="0"/>
      <w:tabs>
        <w:tab w:val="center" w:pos="4153"/>
        <w:tab w:val="right" w:pos="8306"/>
      </w:tabs>
      <w:snapToGrid w:val="0"/>
    </w:pPr>
    <w:rPr>
      <w:kern w:val="2"/>
      <w:sz w:val="20"/>
    </w:rPr>
  </w:style>
  <w:style w:type="character" w:customStyle="1" w:styleId="ab">
    <w:name w:val="頁首 字元"/>
    <w:basedOn w:val="a0"/>
    <w:link w:val="aa"/>
    <w:rsid w:val="001E1AA0"/>
    <w:rPr>
      <w:rFonts w:ascii="Times New Roman" w:eastAsia="新細明體" w:hAnsi="Times New Roman" w:cs="Times New Roman"/>
      <w:sz w:val="20"/>
      <w:szCs w:val="20"/>
    </w:rPr>
  </w:style>
  <w:style w:type="paragraph" w:styleId="ac">
    <w:name w:val="footer"/>
    <w:basedOn w:val="a"/>
    <w:link w:val="ad"/>
    <w:uiPriority w:val="99"/>
    <w:unhideWhenUsed/>
    <w:rsid w:val="001E1AA0"/>
    <w:pPr>
      <w:widowControl w:val="0"/>
      <w:tabs>
        <w:tab w:val="center" w:pos="4153"/>
        <w:tab w:val="right" w:pos="8306"/>
      </w:tabs>
      <w:snapToGrid w:val="0"/>
    </w:pPr>
    <w:rPr>
      <w:kern w:val="2"/>
      <w:sz w:val="20"/>
      <w:lang w:val="x-none" w:eastAsia="x-none"/>
    </w:rPr>
  </w:style>
  <w:style w:type="character" w:customStyle="1" w:styleId="ad">
    <w:name w:val="頁尾 字元"/>
    <w:basedOn w:val="a0"/>
    <w:link w:val="ac"/>
    <w:uiPriority w:val="99"/>
    <w:rsid w:val="001E1AA0"/>
    <w:rPr>
      <w:rFonts w:ascii="Times New Roman" w:eastAsia="新細明體" w:hAnsi="Times New Roman" w:cs="Times New Roman"/>
      <w:sz w:val="20"/>
      <w:szCs w:val="20"/>
      <w:lang w:val="x-none" w:eastAsia="x-none"/>
    </w:rPr>
  </w:style>
  <w:style w:type="paragraph" w:styleId="ae">
    <w:name w:val="endnote text"/>
    <w:basedOn w:val="a"/>
    <w:link w:val="af"/>
    <w:semiHidden/>
    <w:unhideWhenUsed/>
    <w:rsid w:val="001E1AA0"/>
    <w:pPr>
      <w:widowControl w:val="0"/>
      <w:snapToGrid w:val="0"/>
    </w:pPr>
    <w:rPr>
      <w:kern w:val="2"/>
      <w:szCs w:val="24"/>
      <w:lang w:val="x-none" w:eastAsia="x-none"/>
    </w:rPr>
  </w:style>
  <w:style w:type="character" w:customStyle="1" w:styleId="af">
    <w:name w:val="章節附註文字 字元"/>
    <w:basedOn w:val="a0"/>
    <w:link w:val="ae"/>
    <w:semiHidden/>
    <w:rsid w:val="001E1AA0"/>
    <w:rPr>
      <w:rFonts w:ascii="Times New Roman" w:eastAsia="新細明體" w:hAnsi="Times New Roman" w:cs="Times New Roman"/>
      <w:szCs w:val="24"/>
      <w:lang w:val="x-none" w:eastAsia="x-none"/>
    </w:rPr>
  </w:style>
  <w:style w:type="paragraph" w:styleId="af0">
    <w:name w:val="Body Text"/>
    <w:basedOn w:val="a"/>
    <w:link w:val="af1"/>
    <w:semiHidden/>
    <w:unhideWhenUsed/>
    <w:rsid w:val="001E1AA0"/>
    <w:pPr>
      <w:widowControl w:val="0"/>
      <w:spacing w:after="120"/>
    </w:pPr>
    <w:rPr>
      <w:kern w:val="2"/>
      <w:szCs w:val="24"/>
    </w:rPr>
  </w:style>
  <w:style w:type="character" w:customStyle="1" w:styleId="af1">
    <w:name w:val="本文 字元"/>
    <w:basedOn w:val="a0"/>
    <w:link w:val="af0"/>
    <w:semiHidden/>
    <w:rsid w:val="001E1AA0"/>
    <w:rPr>
      <w:rFonts w:ascii="Times New Roman" w:eastAsia="新細明體" w:hAnsi="Times New Roman" w:cs="Times New Roman"/>
      <w:szCs w:val="24"/>
    </w:rPr>
  </w:style>
  <w:style w:type="paragraph" w:styleId="af2">
    <w:name w:val="Body Text Indent"/>
    <w:basedOn w:val="a"/>
    <w:link w:val="af3"/>
    <w:semiHidden/>
    <w:unhideWhenUsed/>
    <w:rsid w:val="001E1AA0"/>
    <w:pPr>
      <w:widowControl w:val="0"/>
      <w:spacing w:after="120"/>
      <w:ind w:leftChars="200" w:left="480"/>
    </w:pPr>
    <w:rPr>
      <w:kern w:val="2"/>
      <w:szCs w:val="24"/>
    </w:rPr>
  </w:style>
  <w:style w:type="character" w:customStyle="1" w:styleId="af3">
    <w:name w:val="本文縮排 字元"/>
    <w:basedOn w:val="a0"/>
    <w:link w:val="af2"/>
    <w:semiHidden/>
    <w:rsid w:val="001E1AA0"/>
    <w:rPr>
      <w:rFonts w:ascii="Times New Roman" w:eastAsia="新細明體" w:hAnsi="Times New Roman" w:cs="Times New Roman"/>
      <w:szCs w:val="24"/>
    </w:rPr>
  </w:style>
  <w:style w:type="paragraph" w:styleId="af4">
    <w:name w:val="Body Text First Indent"/>
    <w:basedOn w:val="af0"/>
    <w:link w:val="af5"/>
    <w:semiHidden/>
    <w:unhideWhenUsed/>
    <w:rsid w:val="001E1AA0"/>
    <w:pPr>
      <w:widowControl/>
      <w:spacing w:after="0" w:line="480" w:lineRule="auto"/>
      <w:ind w:firstLine="720"/>
      <w:jc w:val="both"/>
    </w:pPr>
    <w:rPr>
      <w:kern w:val="24"/>
      <w:szCs w:val="20"/>
    </w:rPr>
  </w:style>
  <w:style w:type="character" w:customStyle="1" w:styleId="af5">
    <w:name w:val="本文第一層縮排 字元"/>
    <w:basedOn w:val="af1"/>
    <w:link w:val="af4"/>
    <w:semiHidden/>
    <w:rsid w:val="001E1AA0"/>
    <w:rPr>
      <w:rFonts w:ascii="Times New Roman" w:eastAsia="新細明體" w:hAnsi="Times New Roman" w:cs="Times New Roman"/>
      <w:kern w:val="24"/>
      <w:szCs w:val="20"/>
    </w:rPr>
  </w:style>
  <w:style w:type="paragraph" w:styleId="21">
    <w:name w:val="Body Text 2"/>
    <w:basedOn w:val="a"/>
    <w:link w:val="22"/>
    <w:semiHidden/>
    <w:unhideWhenUsed/>
    <w:rsid w:val="001E1AA0"/>
    <w:pPr>
      <w:widowControl w:val="0"/>
      <w:spacing w:after="120" w:line="480" w:lineRule="auto"/>
    </w:pPr>
    <w:rPr>
      <w:kern w:val="2"/>
      <w:szCs w:val="24"/>
    </w:rPr>
  </w:style>
  <w:style w:type="character" w:customStyle="1" w:styleId="22">
    <w:name w:val="本文 2 字元"/>
    <w:basedOn w:val="a0"/>
    <w:link w:val="21"/>
    <w:semiHidden/>
    <w:rsid w:val="001E1AA0"/>
    <w:rPr>
      <w:rFonts w:ascii="Times New Roman" w:eastAsia="新細明體" w:hAnsi="Times New Roman" w:cs="Times New Roman"/>
      <w:szCs w:val="24"/>
    </w:rPr>
  </w:style>
  <w:style w:type="paragraph" w:styleId="af6">
    <w:name w:val="annotation subject"/>
    <w:basedOn w:val="a8"/>
    <w:next w:val="a8"/>
    <w:link w:val="af7"/>
    <w:semiHidden/>
    <w:unhideWhenUsed/>
    <w:rsid w:val="001E1AA0"/>
    <w:rPr>
      <w:b/>
      <w:bCs/>
    </w:rPr>
  </w:style>
  <w:style w:type="character" w:customStyle="1" w:styleId="af7">
    <w:name w:val="註解主旨 字元"/>
    <w:basedOn w:val="a9"/>
    <w:link w:val="af6"/>
    <w:semiHidden/>
    <w:rsid w:val="001E1AA0"/>
    <w:rPr>
      <w:rFonts w:ascii="Times New Roman" w:eastAsia="新細明體" w:hAnsi="Times New Roman" w:cs="Times New Roman"/>
      <w:b/>
      <w:bCs/>
      <w:szCs w:val="24"/>
      <w:lang w:val="x-none" w:eastAsia="x-none"/>
    </w:rPr>
  </w:style>
  <w:style w:type="paragraph" w:styleId="af8">
    <w:name w:val="Balloon Text"/>
    <w:basedOn w:val="a"/>
    <w:link w:val="af9"/>
    <w:semiHidden/>
    <w:unhideWhenUsed/>
    <w:rsid w:val="001E1AA0"/>
    <w:pPr>
      <w:widowControl w:val="0"/>
    </w:pPr>
    <w:rPr>
      <w:rFonts w:ascii="Arial" w:hAnsi="Arial"/>
      <w:kern w:val="2"/>
      <w:sz w:val="18"/>
      <w:szCs w:val="18"/>
    </w:rPr>
  </w:style>
  <w:style w:type="character" w:customStyle="1" w:styleId="af9">
    <w:name w:val="註解方塊文字 字元"/>
    <w:basedOn w:val="a0"/>
    <w:link w:val="af8"/>
    <w:semiHidden/>
    <w:rsid w:val="001E1AA0"/>
    <w:rPr>
      <w:rFonts w:ascii="Arial" w:eastAsia="新細明體" w:hAnsi="Arial" w:cs="Times New Roman"/>
      <w:sz w:val="18"/>
      <w:szCs w:val="18"/>
    </w:rPr>
  </w:style>
  <w:style w:type="paragraph" w:styleId="afa">
    <w:name w:val="Revision"/>
    <w:uiPriority w:val="99"/>
    <w:semiHidden/>
    <w:rsid w:val="001E1AA0"/>
    <w:rPr>
      <w:rFonts w:ascii="Times New Roman" w:eastAsia="新細明體" w:hAnsi="Times New Roman" w:cs="Times New Roman"/>
      <w:szCs w:val="24"/>
    </w:rPr>
  </w:style>
  <w:style w:type="paragraph" w:customStyle="1" w:styleId="ReferenceLine">
    <w:name w:val="Reference Line"/>
    <w:basedOn w:val="21"/>
    <w:rsid w:val="001E1AA0"/>
    <w:pPr>
      <w:widowControl/>
      <w:spacing w:before="120" w:line="240" w:lineRule="auto"/>
      <w:ind w:left="720" w:hanging="720"/>
      <w:jc w:val="both"/>
    </w:pPr>
    <w:rPr>
      <w:kern w:val="24"/>
      <w:szCs w:val="20"/>
    </w:rPr>
  </w:style>
  <w:style w:type="paragraph" w:customStyle="1" w:styleId="-11">
    <w:name w:val="彩色網底 - 輔色 11"/>
    <w:uiPriority w:val="99"/>
    <w:semiHidden/>
    <w:rsid w:val="001E1AA0"/>
    <w:rPr>
      <w:rFonts w:ascii="Times New Roman" w:eastAsia="新細明體" w:hAnsi="Times New Roman" w:cs="Times New Roman"/>
      <w:szCs w:val="24"/>
    </w:rPr>
  </w:style>
  <w:style w:type="paragraph" w:customStyle="1" w:styleId="Default">
    <w:name w:val="Default"/>
    <w:rsid w:val="001E1AA0"/>
    <w:pPr>
      <w:widowControl w:val="0"/>
      <w:autoSpaceDE w:val="0"/>
      <w:autoSpaceDN w:val="0"/>
      <w:adjustRightInd w:val="0"/>
    </w:pPr>
    <w:rPr>
      <w:rFonts w:ascii="CMB X 12" w:eastAsia="CMB X 12" w:hAnsi="Times New Roman" w:cs="CMB X 12"/>
      <w:color w:val="000000"/>
      <w:kern w:val="0"/>
      <w:szCs w:val="24"/>
    </w:rPr>
  </w:style>
  <w:style w:type="character" w:styleId="afb">
    <w:name w:val="footnote reference"/>
    <w:semiHidden/>
    <w:unhideWhenUsed/>
    <w:rsid w:val="001E1AA0"/>
    <w:rPr>
      <w:vertAlign w:val="superscript"/>
    </w:rPr>
  </w:style>
  <w:style w:type="character" w:styleId="afc">
    <w:name w:val="annotation reference"/>
    <w:semiHidden/>
    <w:unhideWhenUsed/>
    <w:rsid w:val="001E1AA0"/>
    <w:rPr>
      <w:sz w:val="18"/>
      <w:szCs w:val="18"/>
    </w:rPr>
  </w:style>
  <w:style w:type="character" w:styleId="afd">
    <w:name w:val="endnote reference"/>
    <w:semiHidden/>
    <w:unhideWhenUsed/>
    <w:rsid w:val="001E1AA0"/>
    <w:rPr>
      <w:vertAlign w:val="superscript"/>
    </w:rPr>
  </w:style>
  <w:style w:type="paragraph" w:styleId="afe">
    <w:name w:val="TOC Heading"/>
    <w:basedOn w:val="1"/>
    <w:next w:val="a"/>
    <w:uiPriority w:val="39"/>
    <w:unhideWhenUsed/>
    <w:qFormat/>
    <w:rsid w:val="00890569"/>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890569"/>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845F7A"/>
    <w:pPr>
      <w:spacing w:after="100" w:line="276" w:lineRule="auto"/>
    </w:pPr>
    <w:rPr>
      <w:rFonts w:eastAsiaTheme="minorEastAsia"/>
      <w:b/>
      <w:szCs w:val="24"/>
    </w:rPr>
  </w:style>
  <w:style w:type="paragraph" w:styleId="3">
    <w:name w:val="toc 3"/>
    <w:basedOn w:val="a"/>
    <w:next w:val="a"/>
    <w:autoRedefine/>
    <w:uiPriority w:val="39"/>
    <w:unhideWhenUsed/>
    <w:qFormat/>
    <w:rsid w:val="00890569"/>
    <w:pPr>
      <w:spacing w:after="100" w:line="276" w:lineRule="auto"/>
      <w:ind w:left="440"/>
    </w:pPr>
    <w:rPr>
      <w:rFonts w:asciiTheme="minorHAnsi" w:eastAsiaTheme="minorEastAsia" w:hAnsiTheme="minorHAnsi" w:cstheme="minorBidi"/>
      <w:sz w:val="22"/>
      <w:szCs w:val="22"/>
    </w:rPr>
  </w:style>
  <w:style w:type="character" w:styleId="aff">
    <w:name w:val="Placeholder Text"/>
    <w:basedOn w:val="a0"/>
    <w:uiPriority w:val="99"/>
    <w:semiHidden/>
    <w:rsid w:val="008A25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151">
      <w:bodyDiv w:val="1"/>
      <w:marLeft w:val="0"/>
      <w:marRight w:val="0"/>
      <w:marTop w:val="0"/>
      <w:marBottom w:val="0"/>
      <w:divBdr>
        <w:top w:val="none" w:sz="0" w:space="0" w:color="auto"/>
        <w:left w:val="none" w:sz="0" w:space="0" w:color="auto"/>
        <w:bottom w:val="none" w:sz="0" w:space="0" w:color="auto"/>
        <w:right w:val="none" w:sz="0" w:space="0" w:color="auto"/>
      </w:divBdr>
    </w:div>
    <w:div w:id="43409399">
      <w:bodyDiv w:val="1"/>
      <w:marLeft w:val="0"/>
      <w:marRight w:val="0"/>
      <w:marTop w:val="0"/>
      <w:marBottom w:val="0"/>
      <w:divBdr>
        <w:top w:val="none" w:sz="0" w:space="0" w:color="auto"/>
        <w:left w:val="none" w:sz="0" w:space="0" w:color="auto"/>
        <w:bottom w:val="none" w:sz="0" w:space="0" w:color="auto"/>
        <w:right w:val="none" w:sz="0" w:space="0" w:color="auto"/>
      </w:divBdr>
    </w:div>
    <w:div w:id="51928670">
      <w:bodyDiv w:val="1"/>
      <w:marLeft w:val="0"/>
      <w:marRight w:val="0"/>
      <w:marTop w:val="0"/>
      <w:marBottom w:val="0"/>
      <w:divBdr>
        <w:top w:val="none" w:sz="0" w:space="0" w:color="auto"/>
        <w:left w:val="none" w:sz="0" w:space="0" w:color="auto"/>
        <w:bottom w:val="none" w:sz="0" w:space="0" w:color="auto"/>
        <w:right w:val="none" w:sz="0" w:space="0" w:color="auto"/>
      </w:divBdr>
    </w:div>
    <w:div w:id="66924104">
      <w:bodyDiv w:val="1"/>
      <w:marLeft w:val="0"/>
      <w:marRight w:val="0"/>
      <w:marTop w:val="0"/>
      <w:marBottom w:val="0"/>
      <w:divBdr>
        <w:top w:val="none" w:sz="0" w:space="0" w:color="auto"/>
        <w:left w:val="none" w:sz="0" w:space="0" w:color="auto"/>
        <w:bottom w:val="none" w:sz="0" w:space="0" w:color="auto"/>
        <w:right w:val="none" w:sz="0" w:space="0" w:color="auto"/>
      </w:divBdr>
    </w:div>
    <w:div w:id="128986192">
      <w:bodyDiv w:val="1"/>
      <w:marLeft w:val="0"/>
      <w:marRight w:val="0"/>
      <w:marTop w:val="0"/>
      <w:marBottom w:val="0"/>
      <w:divBdr>
        <w:top w:val="none" w:sz="0" w:space="0" w:color="auto"/>
        <w:left w:val="none" w:sz="0" w:space="0" w:color="auto"/>
        <w:bottom w:val="none" w:sz="0" w:space="0" w:color="auto"/>
        <w:right w:val="none" w:sz="0" w:space="0" w:color="auto"/>
      </w:divBdr>
    </w:div>
    <w:div w:id="186988991">
      <w:bodyDiv w:val="1"/>
      <w:marLeft w:val="0"/>
      <w:marRight w:val="0"/>
      <w:marTop w:val="0"/>
      <w:marBottom w:val="0"/>
      <w:divBdr>
        <w:top w:val="none" w:sz="0" w:space="0" w:color="auto"/>
        <w:left w:val="none" w:sz="0" w:space="0" w:color="auto"/>
        <w:bottom w:val="none" w:sz="0" w:space="0" w:color="auto"/>
        <w:right w:val="none" w:sz="0" w:space="0" w:color="auto"/>
      </w:divBdr>
    </w:div>
    <w:div w:id="189731354">
      <w:bodyDiv w:val="1"/>
      <w:marLeft w:val="0"/>
      <w:marRight w:val="0"/>
      <w:marTop w:val="0"/>
      <w:marBottom w:val="0"/>
      <w:divBdr>
        <w:top w:val="none" w:sz="0" w:space="0" w:color="auto"/>
        <w:left w:val="none" w:sz="0" w:space="0" w:color="auto"/>
        <w:bottom w:val="none" w:sz="0" w:space="0" w:color="auto"/>
        <w:right w:val="none" w:sz="0" w:space="0" w:color="auto"/>
      </w:divBdr>
    </w:div>
    <w:div w:id="271784012">
      <w:bodyDiv w:val="1"/>
      <w:marLeft w:val="0"/>
      <w:marRight w:val="0"/>
      <w:marTop w:val="0"/>
      <w:marBottom w:val="0"/>
      <w:divBdr>
        <w:top w:val="none" w:sz="0" w:space="0" w:color="auto"/>
        <w:left w:val="none" w:sz="0" w:space="0" w:color="auto"/>
        <w:bottom w:val="none" w:sz="0" w:space="0" w:color="auto"/>
        <w:right w:val="none" w:sz="0" w:space="0" w:color="auto"/>
      </w:divBdr>
    </w:div>
    <w:div w:id="278680360">
      <w:bodyDiv w:val="1"/>
      <w:marLeft w:val="0"/>
      <w:marRight w:val="0"/>
      <w:marTop w:val="0"/>
      <w:marBottom w:val="0"/>
      <w:divBdr>
        <w:top w:val="none" w:sz="0" w:space="0" w:color="auto"/>
        <w:left w:val="none" w:sz="0" w:space="0" w:color="auto"/>
        <w:bottom w:val="none" w:sz="0" w:space="0" w:color="auto"/>
        <w:right w:val="none" w:sz="0" w:space="0" w:color="auto"/>
      </w:divBdr>
    </w:div>
    <w:div w:id="286274447">
      <w:bodyDiv w:val="1"/>
      <w:marLeft w:val="0"/>
      <w:marRight w:val="0"/>
      <w:marTop w:val="0"/>
      <w:marBottom w:val="0"/>
      <w:divBdr>
        <w:top w:val="none" w:sz="0" w:space="0" w:color="auto"/>
        <w:left w:val="none" w:sz="0" w:space="0" w:color="auto"/>
        <w:bottom w:val="none" w:sz="0" w:space="0" w:color="auto"/>
        <w:right w:val="none" w:sz="0" w:space="0" w:color="auto"/>
      </w:divBdr>
    </w:div>
    <w:div w:id="290019314">
      <w:bodyDiv w:val="1"/>
      <w:marLeft w:val="0"/>
      <w:marRight w:val="0"/>
      <w:marTop w:val="0"/>
      <w:marBottom w:val="0"/>
      <w:divBdr>
        <w:top w:val="none" w:sz="0" w:space="0" w:color="auto"/>
        <w:left w:val="none" w:sz="0" w:space="0" w:color="auto"/>
        <w:bottom w:val="none" w:sz="0" w:space="0" w:color="auto"/>
        <w:right w:val="none" w:sz="0" w:space="0" w:color="auto"/>
      </w:divBdr>
    </w:div>
    <w:div w:id="316764969">
      <w:bodyDiv w:val="1"/>
      <w:marLeft w:val="0"/>
      <w:marRight w:val="0"/>
      <w:marTop w:val="0"/>
      <w:marBottom w:val="0"/>
      <w:divBdr>
        <w:top w:val="none" w:sz="0" w:space="0" w:color="auto"/>
        <w:left w:val="none" w:sz="0" w:space="0" w:color="auto"/>
        <w:bottom w:val="none" w:sz="0" w:space="0" w:color="auto"/>
        <w:right w:val="none" w:sz="0" w:space="0" w:color="auto"/>
      </w:divBdr>
    </w:div>
    <w:div w:id="366223331">
      <w:bodyDiv w:val="1"/>
      <w:marLeft w:val="0"/>
      <w:marRight w:val="0"/>
      <w:marTop w:val="0"/>
      <w:marBottom w:val="0"/>
      <w:divBdr>
        <w:top w:val="none" w:sz="0" w:space="0" w:color="auto"/>
        <w:left w:val="none" w:sz="0" w:space="0" w:color="auto"/>
        <w:bottom w:val="none" w:sz="0" w:space="0" w:color="auto"/>
        <w:right w:val="none" w:sz="0" w:space="0" w:color="auto"/>
      </w:divBdr>
    </w:div>
    <w:div w:id="392896490">
      <w:bodyDiv w:val="1"/>
      <w:marLeft w:val="0"/>
      <w:marRight w:val="0"/>
      <w:marTop w:val="0"/>
      <w:marBottom w:val="0"/>
      <w:divBdr>
        <w:top w:val="none" w:sz="0" w:space="0" w:color="auto"/>
        <w:left w:val="none" w:sz="0" w:space="0" w:color="auto"/>
        <w:bottom w:val="none" w:sz="0" w:space="0" w:color="auto"/>
        <w:right w:val="none" w:sz="0" w:space="0" w:color="auto"/>
      </w:divBdr>
    </w:div>
    <w:div w:id="416825273">
      <w:bodyDiv w:val="1"/>
      <w:marLeft w:val="0"/>
      <w:marRight w:val="0"/>
      <w:marTop w:val="0"/>
      <w:marBottom w:val="0"/>
      <w:divBdr>
        <w:top w:val="none" w:sz="0" w:space="0" w:color="auto"/>
        <w:left w:val="none" w:sz="0" w:space="0" w:color="auto"/>
        <w:bottom w:val="none" w:sz="0" w:space="0" w:color="auto"/>
        <w:right w:val="none" w:sz="0" w:space="0" w:color="auto"/>
      </w:divBdr>
    </w:div>
    <w:div w:id="434906123">
      <w:bodyDiv w:val="1"/>
      <w:marLeft w:val="0"/>
      <w:marRight w:val="0"/>
      <w:marTop w:val="0"/>
      <w:marBottom w:val="0"/>
      <w:divBdr>
        <w:top w:val="none" w:sz="0" w:space="0" w:color="auto"/>
        <w:left w:val="none" w:sz="0" w:space="0" w:color="auto"/>
        <w:bottom w:val="none" w:sz="0" w:space="0" w:color="auto"/>
        <w:right w:val="none" w:sz="0" w:space="0" w:color="auto"/>
      </w:divBdr>
    </w:div>
    <w:div w:id="469714484">
      <w:bodyDiv w:val="1"/>
      <w:marLeft w:val="0"/>
      <w:marRight w:val="0"/>
      <w:marTop w:val="0"/>
      <w:marBottom w:val="0"/>
      <w:divBdr>
        <w:top w:val="none" w:sz="0" w:space="0" w:color="auto"/>
        <w:left w:val="none" w:sz="0" w:space="0" w:color="auto"/>
        <w:bottom w:val="none" w:sz="0" w:space="0" w:color="auto"/>
        <w:right w:val="none" w:sz="0" w:space="0" w:color="auto"/>
      </w:divBdr>
    </w:div>
    <w:div w:id="475800081">
      <w:bodyDiv w:val="1"/>
      <w:marLeft w:val="0"/>
      <w:marRight w:val="0"/>
      <w:marTop w:val="0"/>
      <w:marBottom w:val="0"/>
      <w:divBdr>
        <w:top w:val="none" w:sz="0" w:space="0" w:color="auto"/>
        <w:left w:val="none" w:sz="0" w:space="0" w:color="auto"/>
        <w:bottom w:val="none" w:sz="0" w:space="0" w:color="auto"/>
        <w:right w:val="none" w:sz="0" w:space="0" w:color="auto"/>
      </w:divBdr>
    </w:div>
    <w:div w:id="485977464">
      <w:bodyDiv w:val="1"/>
      <w:marLeft w:val="0"/>
      <w:marRight w:val="0"/>
      <w:marTop w:val="0"/>
      <w:marBottom w:val="0"/>
      <w:divBdr>
        <w:top w:val="none" w:sz="0" w:space="0" w:color="auto"/>
        <w:left w:val="none" w:sz="0" w:space="0" w:color="auto"/>
        <w:bottom w:val="none" w:sz="0" w:space="0" w:color="auto"/>
        <w:right w:val="none" w:sz="0" w:space="0" w:color="auto"/>
      </w:divBdr>
    </w:div>
    <w:div w:id="529034784">
      <w:bodyDiv w:val="1"/>
      <w:marLeft w:val="0"/>
      <w:marRight w:val="0"/>
      <w:marTop w:val="0"/>
      <w:marBottom w:val="0"/>
      <w:divBdr>
        <w:top w:val="none" w:sz="0" w:space="0" w:color="auto"/>
        <w:left w:val="none" w:sz="0" w:space="0" w:color="auto"/>
        <w:bottom w:val="none" w:sz="0" w:space="0" w:color="auto"/>
        <w:right w:val="none" w:sz="0" w:space="0" w:color="auto"/>
      </w:divBdr>
    </w:div>
    <w:div w:id="587033330">
      <w:bodyDiv w:val="1"/>
      <w:marLeft w:val="0"/>
      <w:marRight w:val="0"/>
      <w:marTop w:val="0"/>
      <w:marBottom w:val="0"/>
      <w:divBdr>
        <w:top w:val="none" w:sz="0" w:space="0" w:color="auto"/>
        <w:left w:val="none" w:sz="0" w:space="0" w:color="auto"/>
        <w:bottom w:val="none" w:sz="0" w:space="0" w:color="auto"/>
        <w:right w:val="none" w:sz="0" w:space="0" w:color="auto"/>
      </w:divBdr>
    </w:div>
    <w:div w:id="599292266">
      <w:bodyDiv w:val="1"/>
      <w:marLeft w:val="0"/>
      <w:marRight w:val="0"/>
      <w:marTop w:val="0"/>
      <w:marBottom w:val="0"/>
      <w:divBdr>
        <w:top w:val="none" w:sz="0" w:space="0" w:color="auto"/>
        <w:left w:val="none" w:sz="0" w:space="0" w:color="auto"/>
        <w:bottom w:val="none" w:sz="0" w:space="0" w:color="auto"/>
        <w:right w:val="none" w:sz="0" w:space="0" w:color="auto"/>
      </w:divBdr>
    </w:div>
    <w:div w:id="619073342">
      <w:bodyDiv w:val="1"/>
      <w:marLeft w:val="0"/>
      <w:marRight w:val="0"/>
      <w:marTop w:val="0"/>
      <w:marBottom w:val="0"/>
      <w:divBdr>
        <w:top w:val="none" w:sz="0" w:space="0" w:color="auto"/>
        <w:left w:val="none" w:sz="0" w:space="0" w:color="auto"/>
        <w:bottom w:val="none" w:sz="0" w:space="0" w:color="auto"/>
        <w:right w:val="none" w:sz="0" w:space="0" w:color="auto"/>
      </w:divBdr>
    </w:div>
    <w:div w:id="627324033">
      <w:bodyDiv w:val="1"/>
      <w:marLeft w:val="0"/>
      <w:marRight w:val="0"/>
      <w:marTop w:val="0"/>
      <w:marBottom w:val="0"/>
      <w:divBdr>
        <w:top w:val="none" w:sz="0" w:space="0" w:color="auto"/>
        <w:left w:val="none" w:sz="0" w:space="0" w:color="auto"/>
        <w:bottom w:val="none" w:sz="0" w:space="0" w:color="auto"/>
        <w:right w:val="none" w:sz="0" w:space="0" w:color="auto"/>
      </w:divBdr>
    </w:div>
    <w:div w:id="659161940">
      <w:bodyDiv w:val="1"/>
      <w:marLeft w:val="0"/>
      <w:marRight w:val="0"/>
      <w:marTop w:val="0"/>
      <w:marBottom w:val="0"/>
      <w:divBdr>
        <w:top w:val="none" w:sz="0" w:space="0" w:color="auto"/>
        <w:left w:val="none" w:sz="0" w:space="0" w:color="auto"/>
        <w:bottom w:val="none" w:sz="0" w:space="0" w:color="auto"/>
        <w:right w:val="none" w:sz="0" w:space="0" w:color="auto"/>
      </w:divBdr>
    </w:div>
    <w:div w:id="667560879">
      <w:bodyDiv w:val="1"/>
      <w:marLeft w:val="0"/>
      <w:marRight w:val="0"/>
      <w:marTop w:val="0"/>
      <w:marBottom w:val="0"/>
      <w:divBdr>
        <w:top w:val="none" w:sz="0" w:space="0" w:color="auto"/>
        <w:left w:val="none" w:sz="0" w:space="0" w:color="auto"/>
        <w:bottom w:val="none" w:sz="0" w:space="0" w:color="auto"/>
        <w:right w:val="none" w:sz="0" w:space="0" w:color="auto"/>
      </w:divBdr>
    </w:div>
    <w:div w:id="706218979">
      <w:bodyDiv w:val="1"/>
      <w:marLeft w:val="0"/>
      <w:marRight w:val="0"/>
      <w:marTop w:val="0"/>
      <w:marBottom w:val="0"/>
      <w:divBdr>
        <w:top w:val="none" w:sz="0" w:space="0" w:color="auto"/>
        <w:left w:val="none" w:sz="0" w:space="0" w:color="auto"/>
        <w:bottom w:val="none" w:sz="0" w:space="0" w:color="auto"/>
        <w:right w:val="none" w:sz="0" w:space="0" w:color="auto"/>
      </w:divBdr>
    </w:div>
    <w:div w:id="720326002">
      <w:bodyDiv w:val="1"/>
      <w:marLeft w:val="0"/>
      <w:marRight w:val="0"/>
      <w:marTop w:val="0"/>
      <w:marBottom w:val="0"/>
      <w:divBdr>
        <w:top w:val="none" w:sz="0" w:space="0" w:color="auto"/>
        <w:left w:val="none" w:sz="0" w:space="0" w:color="auto"/>
        <w:bottom w:val="none" w:sz="0" w:space="0" w:color="auto"/>
        <w:right w:val="none" w:sz="0" w:space="0" w:color="auto"/>
      </w:divBdr>
    </w:div>
    <w:div w:id="724715312">
      <w:bodyDiv w:val="1"/>
      <w:marLeft w:val="0"/>
      <w:marRight w:val="0"/>
      <w:marTop w:val="0"/>
      <w:marBottom w:val="0"/>
      <w:divBdr>
        <w:top w:val="none" w:sz="0" w:space="0" w:color="auto"/>
        <w:left w:val="none" w:sz="0" w:space="0" w:color="auto"/>
        <w:bottom w:val="none" w:sz="0" w:space="0" w:color="auto"/>
        <w:right w:val="none" w:sz="0" w:space="0" w:color="auto"/>
      </w:divBdr>
    </w:div>
    <w:div w:id="730272775">
      <w:bodyDiv w:val="1"/>
      <w:marLeft w:val="0"/>
      <w:marRight w:val="0"/>
      <w:marTop w:val="0"/>
      <w:marBottom w:val="0"/>
      <w:divBdr>
        <w:top w:val="none" w:sz="0" w:space="0" w:color="auto"/>
        <w:left w:val="none" w:sz="0" w:space="0" w:color="auto"/>
        <w:bottom w:val="none" w:sz="0" w:space="0" w:color="auto"/>
        <w:right w:val="none" w:sz="0" w:space="0" w:color="auto"/>
      </w:divBdr>
    </w:div>
    <w:div w:id="734595614">
      <w:bodyDiv w:val="1"/>
      <w:marLeft w:val="0"/>
      <w:marRight w:val="0"/>
      <w:marTop w:val="0"/>
      <w:marBottom w:val="0"/>
      <w:divBdr>
        <w:top w:val="none" w:sz="0" w:space="0" w:color="auto"/>
        <w:left w:val="none" w:sz="0" w:space="0" w:color="auto"/>
        <w:bottom w:val="none" w:sz="0" w:space="0" w:color="auto"/>
        <w:right w:val="none" w:sz="0" w:space="0" w:color="auto"/>
      </w:divBdr>
    </w:div>
    <w:div w:id="759566257">
      <w:bodyDiv w:val="1"/>
      <w:marLeft w:val="0"/>
      <w:marRight w:val="0"/>
      <w:marTop w:val="0"/>
      <w:marBottom w:val="0"/>
      <w:divBdr>
        <w:top w:val="none" w:sz="0" w:space="0" w:color="auto"/>
        <w:left w:val="none" w:sz="0" w:space="0" w:color="auto"/>
        <w:bottom w:val="none" w:sz="0" w:space="0" w:color="auto"/>
        <w:right w:val="none" w:sz="0" w:space="0" w:color="auto"/>
      </w:divBdr>
    </w:div>
    <w:div w:id="795028102">
      <w:bodyDiv w:val="1"/>
      <w:marLeft w:val="0"/>
      <w:marRight w:val="0"/>
      <w:marTop w:val="0"/>
      <w:marBottom w:val="0"/>
      <w:divBdr>
        <w:top w:val="none" w:sz="0" w:space="0" w:color="auto"/>
        <w:left w:val="none" w:sz="0" w:space="0" w:color="auto"/>
        <w:bottom w:val="none" w:sz="0" w:space="0" w:color="auto"/>
        <w:right w:val="none" w:sz="0" w:space="0" w:color="auto"/>
      </w:divBdr>
    </w:div>
    <w:div w:id="796411692">
      <w:bodyDiv w:val="1"/>
      <w:marLeft w:val="0"/>
      <w:marRight w:val="0"/>
      <w:marTop w:val="0"/>
      <w:marBottom w:val="0"/>
      <w:divBdr>
        <w:top w:val="none" w:sz="0" w:space="0" w:color="auto"/>
        <w:left w:val="none" w:sz="0" w:space="0" w:color="auto"/>
        <w:bottom w:val="none" w:sz="0" w:space="0" w:color="auto"/>
        <w:right w:val="none" w:sz="0" w:space="0" w:color="auto"/>
      </w:divBdr>
    </w:div>
    <w:div w:id="803278606">
      <w:bodyDiv w:val="1"/>
      <w:marLeft w:val="0"/>
      <w:marRight w:val="0"/>
      <w:marTop w:val="0"/>
      <w:marBottom w:val="0"/>
      <w:divBdr>
        <w:top w:val="none" w:sz="0" w:space="0" w:color="auto"/>
        <w:left w:val="none" w:sz="0" w:space="0" w:color="auto"/>
        <w:bottom w:val="none" w:sz="0" w:space="0" w:color="auto"/>
        <w:right w:val="none" w:sz="0" w:space="0" w:color="auto"/>
      </w:divBdr>
    </w:div>
    <w:div w:id="828404023">
      <w:bodyDiv w:val="1"/>
      <w:marLeft w:val="0"/>
      <w:marRight w:val="0"/>
      <w:marTop w:val="0"/>
      <w:marBottom w:val="0"/>
      <w:divBdr>
        <w:top w:val="none" w:sz="0" w:space="0" w:color="auto"/>
        <w:left w:val="none" w:sz="0" w:space="0" w:color="auto"/>
        <w:bottom w:val="none" w:sz="0" w:space="0" w:color="auto"/>
        <w:right w:val="none" w:sz="0" w:space="0" w:color="auto"/>
      </w:divBdr>
    </w:div>
    <w:div w:id="834999089">
      <w:bodyDiv w:val="1"/>
      <w:marLeft w:val="0"/>
      <w:marRight w:val="0"/>
      <w:marTop w:val="0"/>
      <w:marBottom w:val="0"/>
      <w:divBdr>
        <w:top w:val="none" w:sz="0" w:space="0" w:color="auto"/>
        <w:left w:val="none" w:sz="0" w:space="0" w:color="auto"/>
        <w:bottom w:val="none" w:sz="0" w:space="0" w:color="auto"/>
        <w:right w:val="none" w:sz="0" w:space="0" w:color="auto"/>
      </w:divBdr>
    </w:div>
    <w:div w:id="836649460">
      <w:bodyDiv w:val="1"/>
      <w:marLeft w:val="0"/>
      <w:marRight w:val="0"/>
      <w:marTop w:val="0"/>
      <w:marBottom w:val="0"/>
      <w:divBdr>
        <w:top w:val="none" w:sz="0" w:space="0" w:color="auto"/>
        <w:left w:val="none" w:sz="0" w:space="0" w:color="auto"/>
        <w:bottom w:val="none" w:sz="0" w:space="0" w:color="auto"/>
        <w:right w:val="none" w:sz="0" w:space="0" w:color="auto"/>
      </w:divBdr>
    </w:div>
    <w:div w:id="865605635">
      <w:bodyDiv w:val="1"/>
      <w:marLeft w:val="0"/>
      <w:marRight w:val="0"/>
      <w:marTop w:val="0"/>
      <w:marBottom w:val="0"/>
      <w:divBdr>
        <w:top w:val="none" w:sz="0" w:space="0" w:color="auto"/>
        <w:left w:val="none" w:sz="0" w:space="0" w:color="auto"/>
        <w:bottom w:val="none" w:sz="0" w:space="0" w:color="auto"/>
        <w:right w:val="none" w:sz="0" w:space="0" w:color="auto"/>
      </w:divBdr>
    </w:div>
    <w:div w:id="872612463">
      <w:bodyDiv w:val="1"/>
      <w:marLeft w:val="0"/>
      <w:marRight w:val="0"/>
      <w:marTop w:val="0"/>
      <w:marBottom w:val="0"/>
      <w:divBdr>
        <w:top w:val="none" w:sz="0" w:space="0" w:color="auto"/>
        <w:left w:val="none" w:sz="0" w:space="0" w:color="auto"/>
        <w:bottom w:val="none" w:sz="0" w:space="0" w:color="auto"/>
        <w:right w:val="none" w:sz="0" w:space="0" w:color="auto"/>
      </w:divBdr>
    </w:div>
    <w:div w:id="876696505">
      <w:bodyDiv w:val="1"/>
      <w:marLeft w:val="0"/>
      <w:marRight w:val="0"/>
      <w:marTop w:val="0"/>
      <w:marBottom w:val="0"/>
      <w:divBdr>
        <w:top w:val="none" w:sz="0" w:space="0" w:color="auto"/>
        <w:left w:val="none" w:sz="0" w:space="0" w:color="auto"/>
        <w:bottom w:val="none" w:sz="0" w:space="0" w:color="auto"/>
        <w:right w:val="none" w:sz="0" w:space="0" w:color="auto"/>
      </w:divBdr>
    </w:div>
    <w:div w:id="879781526">
      <w:bodyDiv w:val="1"/>
      <w:marLeft w:val="0"/>
      <w:marRight w:val="0"/>
      <w:marTop w:val="0"/>
      <w:marBottom w:val="0"/>
      <w:divBdr>
        <w:top w:val="none" w:sz="0" w:space="0" w:color="auto"/>
        <w:left w:val="none" w:sz="0" w:space="0" w:color="auto"/>
        <w:bottom w:val="none" w:sz="0" w:space="0" w:color="auto"/>
        <w:right w:val="none" w:sz="0" w:space="0" w:color="auto"/>
      </w:divBdr>
    </w:div>
    <w:div w:id="883247338">
      <w:bodyDiv w:val="1"/>
      <w:marLeft w:val="0"/>
      <w:marRight w:val="0"/>
      <w:marTop w:val="0"/>
      <w:marBottom w:val="0"/>
      <w:divBdr>
        <w:top w:val="none" w:sz="0" w:space="0" w:color="auto"/>
        <w:left w:val="none" w:sz="0" w:space="0" w:color="auto"/>
        <w:bottom w:val="none" w:sz="0" w:space="0" w:color="auto"/>
        <w:right w:val="none" w:sz="0" w:space="0" w:color="auto"/>
      </w:divBdr>
    </w:div>
    <w:div w:id="894707510">
      <w:bodyDiv w:val="1"/>
      <w:marLeft w:val="0"/>
      <w:marRight w:val="0"/>
      <w:marTop w:val="0"/>
      <w:marBottom w:val="0"/>
      <w:divBdr>
        <w:top w:val="none" w:sz="0" w:space="0" w:color="auto"/>
        <w:left w:val="none" w:sz="0" w:space="0" w:color="auto"/>
        <w:bottom w:val="none" w:sz="0" w:space="0" w:color="auto"/>
        <w:right w:val="none" w:sz="0" w:space="0" w:color="auto"/>
      </w:divBdr>
    </w:div>
    <w:div w:id="916668684">
      <w:bodyDiv w:val="1"/>
      <w:marLeft w:val="0"/>
      <w:marRight w:val="0"/>
      <w:marTop w:val="0"/>
      <w:marBottom w:val="0"/>
      <w:divBdr>
        <w:top w:val="none" w:sz="0" w:space="0" w:color="auto"/>
        <w:left w:val="none" w:sz="0" w:space="0" w:color="auto"/>
        <w:bottom w:val="none" w:sz="0" w:space="0" w:color="auto"/>
        <w:right w:val="none" w:sz="0" w:space="0" w:color="auto"/>
      </w:divBdr>
    </w:div>
    <w:div w:id="932205599">
      <w:bodyDiv w:val="1"/>
      <w:marLeft w:val="0"/>
      <w:marRight w:val="0"/>
      <w:marTop w:val="0"/>
      <w:marBottom w:val="0"/>
      <w:divBdr>
        <w:top w:val="none" w:sz="0" w:space="0" w:color="auto"/>
        <w:left w:val="none" w:sz="0" w:space="0" w:color="auto"/>
        <w:bottom w:val="none" w:sz="0" w:space="0" w:color="auto"/>
        <w:right w:val="none" w:sz="0" w:space="0" w:color="auto"/>
      </w:divBdr>
    </w:div>
    <w:div w:id="940720076">
      <w:bodyDiv w:val="1"/>
      <w:marLeft w:val="0"/>
      <w:marRight w:val="0"/>
      <w:marTop w:val="0"/>
      <w:marBottom w:val="0"/>
      <w:divBdr>
        <w:top w:val="none" w:sz="0" w:space="0" w:color="auto"/>
        <w:left w:val="none" w:sz="0" w:space="0" w:color="auto"/>
        <w:bottom w:val="none" w:sz="0" w:space="0" w:color="auto"/>
        <w:right w:val="none" w:sz="0" w:space="0" w:color="auto"/>
      </w:divBdr>
    </w:div>
    <w:div w:id="968709915">
      <w:bodyDiv w:val="1"/>
      <w:marLeft w:val="0"/>
      <w:marRight w:val="0"/>
      <w:marTop w:val="0"/>
      <w:marBottom w:val="0"/>
      <w:divBdr>
        <w:top w:val="none" w:sz="0" w:space="0" w:color="auto"/>
        <w:left w:val="none" w:sz="0" w:space="0" w:color="auto"/>
        <w:bottom w:val="none" w:sz="0" w:space="0" w:color="auto"/>
        <w:right w:val="none" w:sz="0" w:space="0" w:color="auto"/>
      </w:divBdr>
    </w:div>
    <w:div w:id="970398686">
      <w:bodyDiv w:val="1"/>
      <w:marLeft w:val="0"/>
      <w:marRight w:val="0"/>
      <w:marTop w:val="0"/>
      <w:marBottom w:val="0"/>
      <w:divBdr>
        <w:top w:val="none" w:sz="0" w:space="0" w:color="auto"/>
        <w:left w:val="none" w:sz="0" w:space="0" w:color="auto"/>
        <w:bottom w:val="none" w:sz="0" w:space="0" w:color="auto"/>
        <w:right w:val="none" w:sz="0" w:space="0" w:color="auto"/>
      </w:divBdr>
    </w:div>
    <w:div w:id="986471171">
      <w:bodyDiv w:val="1"/>
      <w:marLeft w:val="0"/>
      <w:marRight w:val="0"/>
      <w:marTop w:val="0"/>
      <w:marBottom w:val="0"/>
      <w:divBdr>
        <w:top w:val="none" w:sz="0" w:space="0" w:color="auto"/>
        <w:left w:val="none" w:sz="0" w:space="0" w:color="auto"/>
        <w:bottom w:val="none" w:sz="0" w:space="0" w:color="auto"/>
        <w:right w:val="none" w:sz="0" w:space="0" w:color="auto"/>
      </w:divBdr>
    </w:div>
    <w:div w:id="1032876387">
      <w:bodyDiv w:val="1"/>
      <w:marLeft w:val="0"/>
      <w:marRight w:val="0"/>
      <w:marTop w:val="0"/>
      <w:marBottom w:val="0"/>
      <w:divBdr>
        <w:top w:val="none" w:sz="0" w:space="0" w:color="auto"/>
        <w:left w:val="none" w:sz="0" w:space="0" w:color="auto"/>
        <w:bottom w:val="none" w:sz="0" w:space="0" w:color="auto"/>
        <w:right w:val="none" w:sz="0" w:space="0" w:color="auto"/>
      </w:divBdr>
    </w:div>
    <w:div w:id="1036586330">
      <w:bodyDiv w:val="1"/>
      <w:marLeft w:val="0"/>
      <w:marRight w:val="0"/>
      <w:marTop w:val="0"/>
      <w:marBottom w:val="0"/>
      <w:divBdr>
        <w:top w:val="none" w:sz="0" w:space="0" w:color="auto"/>
        <w:left w:val="none" w:sz="0" w:space="0" w:color="auto"/>
        <w:bottom w:val="none" w:sz="0" w:space="0" w:color="auto"/>
        <w:right w:val="none" w:sz="0" w:space="0" w:color="auto"/>
      </w:divBdr>
    </w:div>
    <w:div w:id="1042707432">
      <w:bodyDiv w:val="1"/>
      <w:marLeft w:val="0"/>
      <w:marRight w:val="0"/>
      <w:marTop w:val="0"/>
      <w:marBottom w:val="0"/>
      <w:divBdr>
        <w:top w:val="none" w:sz="0" w:space="0" w:color="auto"/>
        <w:left w:val="none" w:sz="0" w:space="0" w:color="auto"/>
        <w:bottom w:val="none" w:sz="0" w:space="0" w:color="auto"/>
        <w:right w:val="none" w:sz="0" w:space="0" w:color="auto"/>
      </w:divBdr>
    </w:div>
    <w:div w:id="1051005452">
      <w:bodyDiv w:val="1"/>
      <w:marLeft w:val="0"/>
      <w:marRight w:val="0"/>
      <w:marTop w:val="0"/>
      <w:marBottom w:val="0"/>
      <w:divBdr>
        <w:top w:val="none" w:sz="0" w:space="0" w:color="auto"/>
        <w:left w:val="none" w:sz="0" w:space="0" w:color="auto"/>
        <w:bottom w:val="none" w:sz="0" w:space="0" w:color="auto"/>
        <w:right w:val="none" w:sz="0" w:space="0" w:color="auto"/>
      </w:divBdr>
    </w:div>
    <w:div w:id="1063793970">
      <w:bodyDiv w:val="1"/>
      <w:marLeft w:val="0"/>
      <w:marRight w:val="0"/>
      <w:marTop w:val="0"/>
      <w:marBottom w:val="0"/>
      <w:divBdr>
        <w:top w:val="none" w:sz="0" w:space="0" w:color="auto"/>
        <w:left w:val="none" w:sz="0" w:space="0" w:color="auto"/>
        <w:bottom w:val="none" w:sz="0" w:space="0" w:color="auto"/>
        <w:right w:val="none" w:sz="0" w:space="0" w:color="auto"/>
      </w:divBdr>
    </w:div>
    <w:div w:id="1068768340">
      <w:bodyDiv w:val="1"/>
      <w:marLeft w:val="0"/>
      <w:marRight w:val="0"/>
      <w:marTop w:val="0"/>
      <w:marBottom w:val="0"/>
      <w:divBdr>
        <w:top w:val="none" w:sz="0" w:space="0" w:color="auto"/>
        <w:left w:val="none" w:sz="0" w:space="0" w:color="auto"/>
        <w:bottom w:val="none" w:sz="0" w:space="0" w:color="auto"/>
        <w:right w:val="none" w:sz="0" w:space="0" w:color="auto"/>
      </w:divBdr>
    </w:div>
    <w:div w:id="1091975020">
      <w:bodyDiv w:val="1"/>
      <w:marLeft w:val="0"/>
      <w:marRight w:val="0"/>
      <w:marTop w:val="0"/>
      <w:marBottom w:val="0"/>
      <w:divBdr>
        <w:top w:val="none" w:sz="0" w:space="0" w:color="auto"/>
        <w:left w:val="none" w:sz="0" w:space="0" w:color="auto"/>
        <w:bottom w:val="none" w:sz="0" w:space="0" w:color="auto"/>
        <w:right w:val="none" w:sz="0" w:space="0" w:color="auto"/>
      </w:divBdr>
    </w:div>
    <w:div w:id="1107891547">
      <w:bodyDiv w:val="1"/>
      <w:marLeft w:val="0"/>
      <w:marRight w:val="0"/>
      <w:marTop w:val="0"/>
      <w:marBottom w:val="0"/>
      <w:divBdr>
        <w:top w:val="none" w:sz="0" w:space="0" w:color="auto"/>
        <w:left w:val="none" w:sz="0" w:space="0" w:color="auto"/>
        <w:bottom w:val="none" w:sz="0" w:space="0" w:color="auto"/>
        <w:right w:val="none" w:sz="0" w:space="0" w:color="auto"/>
      </w:divBdr>
    </w:div>
    <w:div w:id="1120803470">
      <w:bodyDiv w:val="1"/>
      <w:marLeft w:val="0"/>
      <w:marRight w:val="0"/>
      <w:marTop w:val="0"/>
      <w:marBottom w:val="0"/>
      <w:divBdr>
        <w:top w:val="none" w:sz="0" w:space="0" w:color="auto"/>
        <w:left w:val="none" w:sz="0" w:space="0" w:color="auto"/>
        <w:bottom w:val="none" w:sz="0" w:space="0" w:color="auto"/>
        <w:right w:val="none" w:sz="0" w:space="0" w:color="auto"/>
      </w:divBdr>
    </w:div>
    <w:div w:id="1133257223">
      <w:bodyDiv w:val="1"/>
      <w:marLeft w:val="0"/>
      <w:marRight w:val="0"/>
      <w:marTop w:val="0"/>
      <w:marBottom w:val="0"/>
      <w:divBdr>
        <w:top w:val="none" w:sz="0" w:space="0" w:color="auto"/>
        <w:left w:val="none" w:sz="0" w:space="0" w:color="auto"/>
        <w:bottom w:val="none" w:sz="0" w:space="0" w:color="auto"/>
        <w:right w:val="none" w:sz="0" w:space="0" w:color="auto"/>
      </w:divBdr>
    </w:div>
    <w:div w:id="1202551127">
      <w:bodyDiv w:val="1"/>
      <w:marLeft w:val="0"/>
      <w:marRight w:val="0"/>
      <w:marTop w:val="0"/>
      <w:marBottom w:val="0"/>
      <w:divBdr>
        <w:top w:val="none" w:sz="0" w:space="0" w:color="auto"/>
        <w:left w:val="none" w:sz="0" w:space="0" w:color="auto"/>
        <w:bottom w:val="none" w:sz="0" w:space="0" w:color="auto"/>
        <w:right w:val="none" w:sz="0" w:space="0" w:color="auto"/>
      </w:divBdr>
    </w:div>
    <w:div w:id="1211111255">
      <w:bodyDiv w:val="1"/>
      <w:marLeft w:val="0"/>
      <w:marRight w:val="0"/>
      <w:marTop w:val="0"/>
      <w:marBottom w:val="0"/>
      <w:divBdr>
        <w:top w:val="none" w:sz="0" w:space="0" w:color="auto"/>
        <w:left w:val="none" w:sz="0" w:space="0" w:color="auto"/>
        <w:bottom w:val="none" w:sz="0" w:space="0" w:color="auto"/>
        <w:right w:val="none" w:sz="0" w:space="0" w:color="auto"/>
      </w:divBdr>
    </w:div>
    <w:div w:id="1228957515">
      <w:bodyDiv w:val="1"/>
      <w:marLeft w:val="0"/>
      <w:marRight w:val="0"/>
      <w:marTop w:val="0"/>
      <w:marBottom w:val="0"/>
      <w:divBdr>
        <w:top w:val="none" w:sz="0" w:space="0" w:color="auto"/>
        <w:left w:val="none" w:sz="0" w:space="0" w:color="auto"/>
        <w:bottom w:val="none" w:sz="0" w:space="0" w:color="auto"/>
        <w:right w:val="none" w:sz="0" w:space="0" w:color="auto"/>
      </w:divBdr>
    </w:div>
    <w:div w:id="1241719028">
      <w:bodyDiv w:val="1"/>
      <w:marLeft w:val="0"/>
      <w:marRight w:val="0"/>
      <w:marTop w:val="0"/>
      <w:marBottom w:val="0"/>
      <w:divBdr>
        <w:top w:val="none" w:sz="0" w:space="0" w:color="auto"/>
        <w:left w:val="none" w:sz="0" w:space="0" w:color="auto"/>
        <w:bottom w:val="none" w:sz="0" w:space="0" w:color="auto"/>
        <w:right w:val="none" w:sz="0" w:space="0" w:color="auto"/>
      </w:divBdr>
    </w:div>
    <w:div w:id="1265767577">
      <w:bodyDiv w:val="1"/>
      <w:marLeft w:val="0"/>
      <w:marRight w:val="0"/>
      <w:marTop w:val="0"/>
      <w:marBottom w:val="0"/>
      <w:divBdr>
        <w:top w:val="none" w:sz="0" w:space="0" w:color="auto"/>
        <w:left w:val="none" w:sz="0" w:space="0" w:color="auto"/>
        <w:bottom w:val="none" w:sz="0" w:space="0" w:color="auto"/>
        <w:right w:val="none" w:sz="0" w:space="0" w:color="auto"/>
      </w:divBdr>
    </w:div>
    <w:div w:id="1283418030">
      <w:bodyDiv w:val="1"/>
      <w:marLeft w:val="0"/>
      <w:marRight w:val="0"/>
      <w:marTop w:val="0"/>
      <w:marBottom w:val="0"/>
      <w:divBdr>
        <w:top w:val="none" w:sz="0" w:space="0" w:color="auto"/>
        <w:left w:val="none" w:sz="0" w:space="0" w:color="auto"/>
        <w:bottom w:val="none" w:sz="0" w:space="0" w:color="auto"/>
        <w:right w:val="none" w:sz="0" w:space="0" w:color="auto"/>
      </w:divBdr>
    </w:div>
    <w:div w:id="1338268413">
      <w:bodyDiv w:val="1"/>
      <w:marLeft w:val="0"/>
      <w:marRight w:val="0"/>
      <w:marTop w:val="0"/>
      <w:marBottom w:val="0"/>
      <w:divBdr>
        <w:top w:val="none" w:sz="0" w:space="0" w:color="auto"/>
        <w:left w:val="none" w:sz="0" w:space="0" w:color="auto"/>
        <w:bottom w:val="none" w:sz="0" w:space="0" w:color="auto"/>
        <w:right w:val="none" w:sz="0" w:space="0" w:color="auto"/>
      </w:divBdr>
    </w:div>
    <w:div w:id="1356156532">
      <w:bodyDiv w:val="1"/>
      <w:marLeft w:val="0"/>
      <w:marRight w:val="0"/>
      <w:marTop w:val="0"/>
      <w:marBottom w:val="0"/>
      <w:divBdr>
        <w:top w:val="none" w:sz="0" w:space="0" w:color="auto"/>
        <w:left w:val="none" w:sz="0" w:space="0" w:color="auto"/>
        <w:bottom w:val="none" w:sz="0" w:space="0" w:color="auto"/>
        <w:right w:val="none" w:sz="0" w:space="0" w:color="auto"/>
      </w:divBdr>
    </w:div>
    <w:div w:id="1377192780">
      <w:bodyDiv w:val="1"/>
      <w:marLeft w:val="0"/>
      <w:marRight w:val="0"/>
      <w:marTop w:val="0"/>
      <w:marBottom w:val="0"/>
      <w:divBdr>
        <w:top w:val="none" w:sz="0" w:space="0" w:color="auto"/>
        <w:left w:val="none" w:sz="0" w:space="0" w:color="auto"/>
        <w:bottom w:val="none" w:sz="0" w:space="0" w:color="auto"/>
        <w:right w:val="none" w:sz="0" w:space="0" w:color="auto"/>
      </w:divBdr>
    </w:div>
    <w:div w:id="1379473983">
      <w:bodyDiv w:val="1"/>
      <w:marLeft w:val="0"/>
      <w:marRight w:val="0"/>
      <w:marTop w:val="0"/>
      <w:marBottom w:val="0"/>
      <w:divBdr>
        <w:top w:val="none" w:sz="0" w:space="0" w:color="auto"/>
        <w:left w:val="none" w:sz="0" w:space="0" w:color="auto"/>
        <w:bottom w:val="none" w:sz="0" w:space="0" w:color="auto"/>
        <w:right w:val="none" w:sz="0" w:space="0" w:color="auto"/>
      </w:divBdr>
    </w:div>
    <w:div w:id="1385175146">
      <w:bodyDiv w:val="1"/>
      <w:marLeft w:val="0"/>
      <w:marRight w:val="0"/>
      <w:marTop w:val="0"/>
      <w:marBottom w:val="0"/>
      <w:divBdr>
        <w:top w:val="none" w:sz="0" w:space="0" w:color="auto"/>
        <w:left w:val="none" w:sz="0" w:space="0" w:color="auto"/>
        <w:bottom w:val="none" w:sz="0" w:space="0" w:color="auto"/>
        <w:right w:val="none" w:sz="0" w:space="0" w:color="auto"/>
      </w:divBdr>
    </w:div>
    <w:div w:id="1440445442">
      <w:bodyDiv w:val="1"/>
      <w:marLeft w:val="0"/>
      <w:marRight w:val="0"/>
      <w:marTop w:val="0"/>
      <w:marBottom w:val="0"/>
      <w:divBdr>
        <w:top w:val="none" w:sz="0" w:space="0" w:color="auto"/>
        <w:left w:val="none" w:sz="0" w:space="0" w:color="auto"/>
        <w:bottom w:val="none" w:sz="0" w:space="0" w:color="auto"/>
        <w:right w:val="none" w:sz="0" w:space="0" w:color="auto"/>
      </w:divBdr>
    </w:div>
    <w:div w:id="1469278552">
      <w:bodyDiv w:val="1"/>
      <w:marLeft w:val="0"/>
      <w:marRight w:val="0"/>
      <w:marTop w:val="0"/>
      <w:marBottom w:val="0"/>
      <w:divBdr>
        <w:top w:val="none" w:sz="0" w:space="0" w:color="auto"/>
        <w:left w:val="none" w:sz="0" w:space="0" w:color="auto"/>
        <w:bottom w:val="none" w:sz="0" w:space="0" w:color="auto"/>
        <w:right w:val="none" w:sz="0" w:space="0" w:color="auto"/>
      </w:divBdr>
    </w:div>
    <w:div w:id="1475563513">
      <w:bodyDiv w:val="1"/>
      <w:marLeft w:val="0"/>
      <w:marRight w:val="0"/>
      <w:marTop w:val="0"/>
      <w:marBottom w:val="0"/>
      <w:divBdr>
        <w:top w:val="none" w:sz="0" w:space="0" w:color="auto"/>
        <w:left w:val="none" w:sz="0" w:space="0" w:color="auto"/>
        <w:bottom w:val="none" w:sz="0" w:space="0" w:color="auto"/>
        <w:right w:val="none" w:sz="0" w:space="0" w:color="auto"/>
      </w:divBdr>
    </w:div>
    <w:div w:id="1485122710">
      <w:bodyDiv w:val="1"/>
      <w:marLeft w:val="0"/>
      <w:marRight w:val="0"/>
      <w:marTop w:val="0"/>
      <w:marBottom w:val="0"/>
      <w:divBdr>
        <w:top w:val="none" w:sz="0" w:space="0" w:color="auto"/>
        <w:left w:val="none" w:sz="0" w:space="0" w:color="auto"/>
        <w:bottom w:val="none" w:sz="0" w:space="0" w:color="auto"/>
        <w:right w:val="none" w:sz="0" w:space="0" w:color="auto"/>
      </w:divBdr>
    </w:div>
    <w:div w:id="1565481425">
      <w:bodyDiv w:val="1"/>
      <w:marLeft w:val="0"/>
      <w:marRight w:val="0"/>
      <w:marTop w:val="0"/>
      <w:marBottom w:val="0"/>
      <w:divBdr>
        <w:top w:val="none" w:sz="0" w:space="0" w:color="auto"/>
        <w:left w:val="none" w:sz="0" w:space="0" w:color="auto"/>
        <w:bottom w:val="none" w:sz="0" w:space="0" w:color="auto"/>
        <w:right w:val="none" w:sz="0" w:space="0" w:color="auto"/>
      </w:divBdr>
    </w:div>
    <w:div w:id="1574048101">
      <w:bodyDiv w:val="1"/>
      <w:marLeft w:val="0"/>
      <w:marRight w:val="0"/>
      <w:marTop w:val="0"/>
      <w:marBottom w:val="0"/>
      <w:divBdr>
        <w:top w:val="none" w:sz="0" w:space="0" w:color="auto"/>
        <w:left w:val="none" w:sz="0" w:space="0" w:color="auto"/>
        <w:bottom w:val="none" w:sz="0" w:space="0" w:color="auto"/>
        <w:right w:val="none" w:sz="0" w:space="0" w:color="auto"/>
      </w:divBdr>
    </w:div>
    <w:div w:id="1619488401">
      <w:bodyDiv w:val="1"/>
      <w:marLeft w:val="0"/>
      <w:marRight w:val="0"/>
      <w:marTop w:val="0"/>
      <w:marBottom w:val="0"/>
      <w:divBdr>
        <w:top w:val="none" w:sz="0" w:space="0" w:color="auto"/>
        <w:left w:val="none" w:sz="0" w:space="0" w:color="auto"/>
        <w:bottom w:val="none" w:sz="0" w:space="0" w:color="auto"/>
        <w:right w:val="none" w:sz="0" w:space="0" w:color="auto"/>
      </w:divBdr>
    </w:div>
    <w:div w:id="1635019485">
      <w:bodyDiv w:val="1"/>
      <w:marLeft w:val="0"/>
      <w:marRight w:val="0"/>
      <w:marTop w:val="0"/>
      <w:marBottom w:val="0"/>
      <w:divBdr>
        <w:top w:val="none" w:sz="0" w:space="0" w:color="auto"/>
        <w:left w:val="none" w:sz="0" w:space="0" w:color="auto"/>
        <w:bottom w:val="none" w:sz="0" w:space="0" w:color="auto"/>
        <w:right w:val="none" w:sz="0" w:space="0" w:color="auto"/>
      </w:divBdr>
    </w:div>
    <w:div w:id="1639721493">
      <w:bodyDiv w:val="1"/>
      <w:marLeft w:val="0"/>
      <w:marRight w:val="0"/>
      <w:marTop w:val="0"/>
      <w:marBottom w:val="0"/>
      <w:divBdr>
        <w:top w:val="none" w:sz="0" w:space="0" w:color="auto"/>
        <w:left w:val="none" w:sz="0" w:space="0" w:color="auto"/>
        <w:bottom w:val="none" w:sz="0" w:space="0" w:color="auto"/>
        <w:right w:val="none" w:sz="0" w:space="0" w:color="auto"/>
      </w:divBdr>
    </w:div>
    <w:div w:id="1668821946">
      <w:bodyDiv w:val="1"/>
      <w:marLeft w:val="0"/>
      <w:marRight w:val="0"/>
      <w:marTop w:val="0"/>
      <w:marBottom w:val="0"/>
      <w:divBdr>
        <w:top w:val="none" w:sz="0" w:space="0" w:color="auto"/>
        <w:left w:val="none" w:sz="0" w:space="0" w:color="auto"/>
        <w:bottom w:val="none" w:sz="0" w:space="0" w:color="auto"/>
        <w:right w:val="none" w:sz="0" w:space="0" w:color="auto"/>
      </w:divBdr>
    </w:div>
    <w:div w:id="1668899333">
      <w:bodyDiv w:val="1"/>
      <w:marLeft w:val="0"/>
      <w:marRight w:val="0"/>
      <w:marTop w:val="0"/>
      <w:marBottom w:val="0"/>
      <w:divBdr>
        <w:top w:val="none" w:sz="0" w:space="0" w:color="auto"/>
        <w:left w:val="none" w:sz="0" w:space="0" w:color="auto"/>
        <w:bottom w:val="none" w:sz="0" w:space="0" w:color="auto"/>
        <w:right w:val="none" w:sz="0" w:space="0" w:color="auto"/>
      </w:divBdr>
    </w:div>
    <w:div w:id="1680430717">
      <w:bodyDiv w:val="1"/>
      <w:marLeft w:val="0"/>
      <w:marRight w:val="0"/>
      <w:marTop w:val="0"/>
      <w:marBottom w:val="0"/>
      <w:divBdr>
        <w:top w:val="none" w:sz="0" w:space="0" w:color="auto"/>
        <w:left w:val="none" w:sz="0" w:space="0" w:color="auto"/>
        <w:bottom w:val="none" w:sz="0" w:space="0" w:color="auto"/>
        <w:right w:val="none" w:sz="0" w:space="0" w:color="auto"/>
      </w:divBdr>
    </w:div>
    <w:div w:id="1693066626">
      <w:bodyDiv w:val="1"/>
      <w:marLeft w:val="0"/>
      <w:marRight w:val="0"/>
      <w:marTop w:val="0"/>
      <w:marBottom w:val="0"/>
      <w:divBdr>
        <w:top w:val="none" w:sz="0" w:space="0" w:color="auto"/>
        <w:left w:val="none" w:sz="0" w:space="0" w:color="auto"/>
        <w:bottom w:val="none" w:sz="0" w:space="0" w:color="auto"/>
        <w:right w:val="none" w:sz="0" w:space="0" w:color="auto"/>
      </w:divBdr>
    </w:div>
    <w:div w:id="1715692736">
      <w:bodyDiv w:val="1"/>
      <w:marLeft w:val="0"/>
      <w:marRight w:val="0"/>
      <w:marTop w:val="0"/>
      <w:marBottom w:val="0"/>
      <w:divBdr>
        <w:top w:val="none" w:sz="0" w:space="0" w:color="auto"/>
        <w:left w:val="none" w:sz="0" w:space="0" w:color="auto"/>
        <w:bottom w:val="none" w:sz="0" w:space="0" w:color="auto"/>
        <w:right w:val="none" w:sz="0" w:space="0" w:color="auto"/>
      </w:divBdr>
    </w:div>
    <w:div w:id="1726030706">
      <w:bodyDiv w:val="1"/>
      <w:marLeft w:val="0"/>
      <w:marRight w:val="0"/>
      <w:marTop w:val="0"/>
      <w:marBottom w:val="0"/>
      <w:divBdr>
        <w:top w:val="none" w:sz="0" w:space="0" w:color="auto"/>
        <w:left w:val="none" w:sz="0" w:space="0" w:color="auto"/>
        <w:bottom w:val="none" w:sz="0" w:space="0" w:color="auto"/>
        <w:right w:val="none" w:sz="0" w:space="0" w:color="auto"/>
      </w:divBdr>
    </w:div>
    <w:div w:id="1728140669">
      <w:bodyDiv w:val="1"/>
      <w:marLeft w:val="0"/>
      <w:marRight w:val="0"/>
      <w:marTop w:val="0"/>
      <w:marBottom w:val="0"/>
      <w:divBdr>
        <w:top w:val="none" w:sz="0" w:space="0" w:color="auto"/>
        <w:left w:val="none" w:sz="0" w:space="0" w:color="auto"/>
        <w:bottom w:val="none" w:sz="0" w:space="0" w:color="auto"/>
        <w:right w:val="none" w:sz="0" w:space="0" w:color="auto"/>
      </w:divBdr>
    </w:div>
    <w:div w:id="1728800587">
      <w:bodyDiv w:val="1"/>
      <w:marLeft w:val="0"/>
      <w:marRight w:val="0"/>
      <w:marTop w:val="0"/>
      <w:marBottom w:val="0"/>
      <w:divBdr>
        <w:top w:val="none" w:sz="0" w:space="0" w:color="auto"/>
        <w:left w:val="none" w:sz="0" w:space="0" w:color="auto"/>
        <w:bottom w:val="none" w:sz="0" w:space="0" w:color="auto"/>
        <w:right w:val="none" w:sz="0" w:space="0" w:color="auto"/>
      </w:divBdr>
    </w:div>
    <w:div w:id="1753552505">
      <w:bodyDiv w:val="1"/>
      <w:marLeft w:val="0"/>
      <w:marRight w:val="0"/>
      <w:marTop w:val="0"/>
      <w:marBottom w:val="0"/>
      <w:divBdr>
        <w:top w:val="none" w:sz="0" w:space="0" w:color="auto"/>
        <w:left w:val="none" w:sz="0" w:space="0" w:color="auto"/>
        <w:bottom w:val="none" w:sz="0" w:space="0" w:color="auto"/>
        <w:right w:val="none" w:sz="0" w:space="0" w:color="auto"/>
      </w:divBdr>
    </w:div>
    <w:div w:id="1766917984">
      <w:bodyDiv w:val="1"/>
      <w:marLeft w:val="0"/>
      <w:marRight w:val="0"/>
      <w:marTop w:val="0"/>
      <w:marBottom w:val="0"/>
      <w:divBdr>
        <w:top w:val="none" w:sz="0" w:space="0" w:color="auto"/>
        <w:left w:val="none" w:sz="0" w:space="0" w:color="auto"/>
        <w:bottom w:val="none" w:sz="0" w:space="0" w:color="auto"/>
        <w:right w:val="none" w:sz="0" w:space="0" w:color="auto"/>
      </w:divBdr>
    </w:div>
    <w:div w:id="1802570458">
      <w:bodyDiv w:val="1"/>
      <w:marLeft w:val="0"/>
      <w:marRight w:val="0"/>
      <w:marTop w:val="0"/>
      <w:marBottom w:val="0"/>
      <w:divBdr>
        <w:top w:val="none" w:sz="0" w:space="0" w:color="auto"/>
        <w:left w:val="none" w:sz="0" w:space="0" w:color="auto"/>
        <w:bottom w:val="none" w:sz="0" w:space="0" w:color="auto"/>
        <w:right w:val="none" w:sz="0" w:space="0" w:color="auto"/>
      </w:divBdr>
    </w:div>
    <w:div w:id="1815219841">
      <w:bodyDiv w:val="1"/>
      <w:marLeft w:val="0"/>
      <w:marRight w:val="0"/>
      <w:marTop w:val="0"/>
      <w:marBottom w:val="0"/>
      <w:divBdr>
        <w:top w:val="none" w:sz="0" w:space="0" w:color="auto"/>
        <w:left w:val="none" w:sz="0" w:space="0" w:color="auto"/>
        <w:bottom w:val="none" w:sz="0" w:space="0" w:color="auto"/>
        <w:right w:val="none" w:sz="0" w:space="0" w:color="auto"/>
      </w:divBdr>
    </w:div>
    <w:div w:id="1846088946">
      <w:bodyDiv w:val="1"/>
      <w:marLeft w:val="0"/>
      <w:marRight w:val="0"/>
      <w:marTop w:val="0"/>
      <w:marBottom w:val="0"/>
      <w:divBdr>
        <w:top w:val="none" w:sz="0" w:space="0" w:color="auto"/>
        <w:left w:val="none" w:sz="0" w:space="0" w:color="auto"/>
        <w:bottom w:val="none" w:sz="0" w:space="0" w:color="auto"/>
        <w:right w:val="none" w:sz="0" w:space="0" w:color="auto"/>
      </w:divBdr>
    </w:div>
    <w:div w:id="1852142434">
      <w:bodyDiv w:val="1"/>
      <w:marLeft w:val="0"/>
      <w:marRight w:val="0"/>
      <w:marTop w:val="0"/>
      <w:marBottom w:val="0"/>
      <w:divBdr>
        <w:top w:val="none" w:sz="0" w:space="0" w:color="auto"/>
        <w:left w:val="none" w:sz="0" w:space="0" w:color="auto"/>
        <w:bottom w:val="none" w:sz="0" w:space="0" w:color="auto"/>
        <w:right w:val="none" w:sz="0" w:space="0" w:color="auto"/>
      </w:divBdr>
    </w:div>
    <w:div w:id="1870601794">
      <w:bodyDiv w:val="1"/>
      <w:marLeft w:val="0"/>
      <w:marRight w:val="0"/>
      <w:marTop w:val="0"/>
      <w:marBottom w:val="0"/>
      <w:divBdr>
        <w:top w:val="none" w:sz="0" w:space="0" w:color="auto"/>
        <w:left w:val="none" w:sz="0" w:space="0" w:color="auto"/>
        <w:bottom w:val="none" w:sz="0" w:space="0" w:color="auto"/>
        <w:right w:val="none" w:sz="0" w:space="0" w:color="auto"/>
      </w:divBdr>
    </w:div>
    <w:div w:id="1871842982">
      <w:bodyDiv w:val="1"/>
      <w:marLeft w:val="0"/>
      <w:marRight w:val="0"/>
      <w:marTop w:val="0"/>
      <w:marBottom w:val="0"/>
      <w:divBdr>
        <w:top w:val="none" w:sz="0" w:space="0" w:color="auto"/>
        <w:left w:val="none" w:sz="0" w:space="0" w:color="auto"/>
        <w:bottom w:val="none" w:sz="0" w:space="0" w:color="auto"/>
        <w:right w:val="none" w:sz="0" w:space="0" w:color="auto"/>
      </w:divBdr>
    </w:div>
    <w:div w:id="1921481125">
      <w:bodyDiv w:val="1"/>
      <w:marLeft w:val="0"/>
      <w:marRight w:val="0"/>
      <w:marTop w:val="0"/>
      <w:marBottom w:val="0"/>
      <w:divBdr>
        <w:top w:val="none" w:sz="0" w:space="0" w:color="auto"/>
        <w:left w:val="none" w:sz="0" w:space="0" w:color="auto"/>
        <w:bottom w:val="none" w:sz="0" w:space="0" w:color="auto"/>
        <w:right w:val="none" w:sz="0" w:space="0" w:color="auto"/>
      </w:divBdr>
    </w:div>
    <w:div w:id="1932083465">
      <w:bodyDiv w:val="1"/>
      <w:marLeft w:val="0"/>
      <w:marRight w:val="0"/>
      <w:marTop w:val="0"/>
      <w:marBottom w:val="0"/>
      <w:divBdr>
        <w:top w:val="none" w:sz="0" w:space="0" w:color="auto"/>
        <w:left w:val="none" w:sz="0" w:space="0" w:color="auto"/>
        <w:bottom w:val="none" w:sz="0" w:space="0" w:color="auto"/>
        <w:right w:val="none" w:sz="0" w:space="0" w:color="auto"/>
      </w:divBdr>
    </w:div>
    <w:div w:id="1984037026">
      <w:bodyDiv w:val="1"/>
      <w:marLeft w:val="0"/>
      <w:marRight w:val="0"/>
      <w:marTop w:val="0"/>
      <w:marBottom w:val="0"/>
      <w:divBdr>
        <w:top w:val="none" w:sz="0" w:space="0" w:color="auto"/>
        <w:left w:val="none" w:sz="0" w:space="0" w:color="auto"/>
        <w:bottom w:val="none" w:sz="0" w:space="0" w:color="auto"/>
        <w:right w:val="none" w:sz="0" w:space="0" w:color="auto"/>
      </w:divBdr>
    </w:div>
    <w:div w:id="1988167582">
      <w:bodyDiv w:val="1"/>
      <w:marLeft w:val="0"/>
      <w:marRight w:val="0"/>
      <w:marTop w:val="0"/>
      <w:marBottom w:val="0"/>
      <w:divBdr>
        <w:top w:val="none" w:sz="0" w:space="0" w:color="auto"/>
        <w:left w:val="none" w:sz="0" w:space="0" w:color="auto"/>
        <w:bottom w:val="none" w:sz="0" w:space="0" w:color="auto"/>
        <w:right w:val="none" w:sz="0" w:space="0" w:color="auto"/>
      </w:divBdr>
    </w:div>
    <w:div w:id="2002200195">
      <w:bodyDiv w:val="1"/>
      <w:marLeft w:val="0"/>
      <w:marRight w:val="0"/>
      <w:marTop w:val="0"/>
      <w:marBottom w:val="0"/>
      <w:divBdr>
        <w:top w:val="none" w:sz="0" w:space="0" w:color="auto"/>
        <w:left w:val="none" w:sz="0" w:space="0" w:color="auto"/>
        <w:bottom w:val="none" w:sz="0" w:space="0" w:color="auto"/>
        <w:right w:val="none" w:sz="0" w:space="0" w:color="auto"/>
      </w:divBdr>
    </w:div>
    <w:div w:id="2027242436">
      <w:bodyDiv w:val="1"/>
      <w:marLeft w:val="0"/>
      <w:marRight w:val="0"/>
      <w:marTop w:val="0"/>
      <w:marBottom w:val="0"/>
      <w:divBdr>
        <w:top w:val="none" w:sz="0" w:space="0" w:color="auto"/>
        <w:left w:val="none" w:sz="0" w:space="0" w:color="auto"/>
        <w:bottom w:val="none" w:sz="0" w:space="0" w:color="auto"/>
        <w:right w:val="none" w:sz="0" w:space="0" w:color="auto"/>
      </w:divBdr>
    </w:div>
    <w:div w:id="2051026735">
      <w:bodyDiv w:val="1"/>
      <w:marLeft w:val="0"/>
      <w:marRight w:val="0"/>
      <w:marTop w:val="0"/>
      <w:marBottom w:val="0"/>
      <w:divBdr>
        <w:top w:val="none" w:sz="0" w:space="0" w:color="auto"/>
        <w:left w:val="none" w:sz="0" w:space="0" w:color="auto"/>
        <w:bottom w:val="none" w:sz="0" w:space="0" w:color="auto"/>
        <w:right w:val="none" w:sz="0" w:space="0" w:color="auto"/>
      </w:divBdr>
    </w:div>
    <w:div w:id="2080709922">
      <w:bodyDiv w:val="1"/>
      <w:marLeft w:val="0"/>
      <w:marRight w:val="0"/>
      <w:marTop w:val="0"/>
      <w:marBottom w:val="0"/>
      <w:divBdr>
        <w:top w:val="none" w:sz="0" w:space="0" w:color="auto"/>
        <w:left w:val="none" w:sz="0" w:space="0" w:color="auto"/>
        <w:bottom w:val="none" w:sz="0" w:space="0" w:color="auto"/>
        <w:right w:val="none" w:sz="0" w:space="0" w:color="auto"/>
      </w:divBdr>
    </w:div>
    <w:div w:id="21372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A573-CB5A-41C0-AE41-2FBC4EF4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4621</Words>
  <Characters>26343</Characters>
  <Application>Microsoft Office Word</Application>
  <DocSecurity>0</DocSecurity>
  <Lines>219</Lines>
  <Paragraphs>61</Paragraphs>
  <ScaleCrop>false</ScaleCrop>
  <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Yun-Chi Lee</dc:creator>
  <cp:lastModifiedBy>Yun-Chi Lee</cp:lastModifiedBy>
  <cp:revision>14</cp:revision>
  <dcterms:created xsi:type="dcterms:W3CDTF">2011-06-17T02:07:00Z</dcterms:created>
  <dcterms:modified xsi:type="dcterms:W3CDTF">2011-06-17T03:43:00Z</dcterms:modified>
</cp:coreProperties>
</file>