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D12" w:rsidRPr="000349E2" w:rsidRDefault="00DC2D12" w:rsidP="00DC2D12">
      <w:pPr>
        <w:pStyle w:val="BodyText2"/>
        <w:rPr>
          <w:szCs w:val="28"/>
        </w:rPr>
      </w:pPr>
      <w:r w:rsidRPr="000349E2">
        <w:rPr>
          <w:szCs w:val="28"/>
        </w:rPr>
        <w:t>Does analyst stock ownership affect reporting behavior?</w:t>
      </w:r>
    </w:p>
    <w:p w:rsidR="00DC2D12" w:rsidRPr="00DF5624" w:rsidRDefault="00DC2D12" w:rsidP="00DC2D12">
      <w:pPr>
        <w:jc w:val="center"/>
        <w:rPr>
          <w:b/>
          <w:sz w:val="20"/>
          <w:szCs w:val="20"/>
        </w:rPr>
      </w:pPr>
    </w:p>
    <w:p w:rsidR="00DC2D12" w:rsidRPr="00DF5624" w:rsidRDefault="00DC2D12" w:rsidP="00DC2D12">
      <w:pPr>
        <w:jc w:val="center"/>
        <w:rPr>
          <w:sz w:val="20"/>
          <w:szCs w:val="20"/>
        </w:rPr>
      </w:pPr>
      <w:r w:rsidRPr="00DF5624">
        <w:rPr>
          <w:sz w:val="20"/>
          <w:szCs w:val="20"/>
        </w:rPr>
        <w:t>Rick Johnston</w:t>
      </w:r>
    </w:p>
    <w:p w:rsidR="00DC2D12" w:rsidRPr="00DF5624" w:rsidRDefault="00DC2D12" w:rsidP="00DC2D12">
      <w:pPr>
        <w:jc w:val="center"/>
        <w:rPr>
          <w:sz w:val="20"/>
          <w:szCs w:val="20"/>
        </w:rPr>
      </w:pPr>
      <w:r w:rsidRPr="00DF5624">
        <w:rPr>
          <w:sz w:val="20"/>
          <w:szCs w:val="20"/>
        </w:rPr>
        <w:t>Assistant Professor</w:t>
      </w:r>
    </w:p>
    <w:p w:rsidR="00DC2D12" w:rsidRPr="00DF5624" w:rsidRDefault="00DC2D12" w:rsidP="00DC2D12">
      <w:pPr>
        <w:jc w:val="center"/>
        <w:rPr>
          <w:sz w:val="20"/>
          <w:szCs w:val="20"/>
        </w:rPr>
      </w:pPr>
      <w:r w:rsidRPr="00DF5624">
        <w:rPr>
          <w:sz w:val="20"/>
          <w:szCs w:val="20"/>
        </w:rPr>
        <w:t xml:space="preserve">Department of Accounting and MIS </w:t>
      </w:r>
    </w:p>
    <w:p w:rsidR="00DC2D12" w:rsidRPr="00DF5624" w:rsidRDefault="00DC2D12" w:rsidP="00DC2D12">
      <w:pPr>
        <w:jc w:val="center"/>
        <w:rPr>
          <w:sz w:val="20"/>
          <w:szCs w:val="20"/>
        </w:rPr>
      </w:pPr>
      <w:r>
        <w:rPr>
          <w:sz w:val="20"/>
          <w:szCs w:val="20"/>
        </w:rPr>
        <w:t>Krannert School of Management</w:t>
      </w:r>
    </w:p>
    <w:p w:rsidR="00DC2D12" w:rsidRDefault="00DC2D12" w:rsidP="00DC2D12">
      <w:pPr>
        <w:jc w:val="center"/>
        <w:rPr>
          <w:sz w:val="20"/>
          <w:szCs w:val="20"/>
        </w:rPr>
      </w:pPr>
      <w:r>
        <w:rPr>
          <w:sz w:val="20"/>
          <w:szCs w:val="20"/>
        </w:rPr>
        <w:t>Purdue</w:t>
      </w:r>
      <w:r w:rsidRPr="00DF5624">
        <w:rPr>
          <w:sz w:val="20"/>
          <w:szCs w:val="20"/>
        </w:rPr>
        <w:t xml:space="preserve"> University</w:t>
      </w:r>
    </w:p>
    <w:p w:rsidR="00DC2D12" w:rsidRPr="00DF5624" w:rsidRDefault="00DC2D12" w:rsidP="00DC2D12">
      <w:pPr>
        <w:jc w:val="center"/>
        <w:rPr>
          <w:sz w:val="20"/>
          <w:szCs w:val="20"/>
        </w:rPr>
      </w:pPr>
      <w:r>
        <w:rPr>
          <w:sz w:val="20"/>
          <w:szCs w:val="20"/>
        </w:rPr>
        <w:t>403 W State Street, West Lafayette, IN 47907-2056</w:t>
      </w:r>
    </w:p>
    <w:p w:rsidR="00DC2D12" w:rsidRPr="00DF5624" w:rsidRDefault="00DC2D12" w:rsidP="00DC2D12">
      <w:pPr>
        <w:jc w:val="center"/>
        <w:rPr>
          <w:sz w:val="20"/>
          <w:szCs w:val="20"/>
        </w:rPr>
      </w:pPr>
      <w:r>
        <w:rPr>
          <w:sz w:val="20"/>
          <w:szCs w:val="20"/>
        </w:rPr>
        <w:t>765-496-7458</w:t>
      </w:r>
      <w:r w:rsidRPr="00DF5624">
        <w:rPr>
          <w:sz w:val="20"/>
          <w:szCs w:val="20"/>
        </w:rPr>
        <w:t xml:space="preserve"> (phone)</w:t>
      </w:r>
    </w:p>
    <w:p w:rsidR="00DC2D12" w:rsidRPr="00DF5624" w:rsidRDefault="00DC2D12" w:rsidP="00DC2D12">
      <w:pPr>
        <w:jc w:val="center"/>
        <w:rPr>
          <w:sz w:val="20"/>
          <w:szCs w:val="20"/>
        </w:rPr>
      </w:pPr>
      <w:hyperlink r:id="rId8" w:history="1">
        <w:r w:rsidRPr="00CE73C8">
          <w:rPr>
            <w:rStyle w:val="Hyperlink"/>
            <w:sz w:val="20"/>
            <w:szCs w:val="20"/>
          </w:rPr>
          <w:t>johnstr@purdue.edu</w:t>
        </w:r>
      </w:hyperlink>
    </w:p>
    <w:p w:rsidR="00DC2D12" w:rsidRPr="00DF5624" w:rsidRDefault="00DC2D12" w:rsidP="00DC2D12">
      <w:pPr>
        <w:jc w:val="center"/>
        <w:rPr>
          <w:sz w:val="20"/>
          <w:szCs w:val="20"/>
        </w:rPr>
      </w:pPr>
    </w:p>
    <w:p w:rsidR="00DC2D12" w:rsidRPr="00DF5624" w:rsidRDefault="00DC2D12" w:rsidP="00DC2D12">
      <w:pPr>
        <w:jc w:val="center"/>
        <w:rPr>
          <w:sz w:val="20"/>
          <w:szCs w:val="20"/>
        </w:rPr>
      </w:pPr>
    </w:p>
    <w:p w:rsidR="00DC2D12" w:rsidRPr="00DF5624" w:rsidRDefault="00DC2D12" w:rsidP="00DC2D12">
      <w:pPr>
        <w:jc w:val="center"/>
        <w:rPr>
          <w:sz w:val="20"/>
          <w:szCs w:val="20"/>
        </w:rPr>
      </w:pPr>
      <w:r>
        <w:rPr>
          <w:sz w:val="20"/>
          <w:szCs w:val="20"/>
        </w:rPr>
        <w:t>March 2012</w:t>
      </w:r>
    </w:p>
    <w:p w:rsidR="00DC2D12" w:rsidRDefault="00DC2D12" w:rsidP="00DC2D12">
      <w:pPr>
        <w:jc w:val="center"/>
        <w:rPr>
          <w:b/>
          <w:sz w:val="20"/>
          <w:szCs w:val="20"/>
        </w:rPr>
      </w:pPr>
    </w:p>
    <w:p w:rsidR="00DC2D12" w:rsidRDefault="00DC2D12" w:rsidP="00DC2D12">
      <w:pPr>
        <w:jc w:val="center"/>
        <w:rPr>
          <w:b/>
          <w:sz w:val="20"/>
          <w:szCs w:val="20"/>
        </w:rPr>
      </w:pPr>
    </w:p>
    <w:p w:rsidR="00DC2D12" w:rsidRDefault="00DC2D12" w:rsidP="00DC2D12">
      <w:pPr>
        <w:jc w:val="center"/>
        <w:rPr>
          <w:b/>
          <w:sz w:val="20"/>
          <w:szCs w:val="20"/>
        </w:rPr>
      </w:pPr>
    </w:p>
    <w:p w:rsidR="00DC2D12" w:rsidRDefault="00DC2D12" w:rsidP="00DC2D12">
      <w:pPr>
        <w:jc w:val="center"/>
        <w:rPr>
          <w:b/>
          <w:sz w:val="20"/>
          <w:szCs w:val="20"/>
        </w:rPr>
      </w:pPr>
    </w:p>
    <w:p w:rsidR="00DC2D12" w:rsidRPr="00DF5624" w:rsidRDefault="00DC2D12" w:rsidP="00DC2D12">
      <w:pPr>
        <w:jc w:val="center"/>
        <w:rPr>
          <w:b/>
          <w:sz w:val="20"/>
          <w:szCs w:val="20"/>
        </w:rPr>
      </w:pPr>
    </w:p>
    <w:p w:rsidR="00DC2D12" w:rsidRPr="00DF5624" w:rsidRDefault="00DC2D12" w:rsidP="00DC2D12">
      <w:pPr>
        <w:rPr>
          <w:sz w:val="20"/>
          <w:szCs w:val="20"/>
        </w:rPr>
      </w:pPr>
    </w:p>
    <w:p w:rsidR="00DC2D12" w:rsidRPr="00DF5624" w:rsidRDefault="00DC2D12" w:rsidP="00DC2D12">
      <w:pPr>
        <w:rPr>
          <w:sz w:val="20"/>
          <w:szCs w:val="20"/>
        </w:rPr>
      </w:pPr>
    </w:p>
    <w:p w:rsidR="00DC2D12" w:rsidRPr="00DF5624" w:rsidRDefault="00DC2D12" w:rsidP="00DC2D12">
      <w:pPr>
        <w:rPr>
          <w:sz w:val="20"/>
          <w:szCs w:val="20"/>
        </w:rPr>
      </w:pPr>
    </w:p>
    <w:p w:rsidR="00DC2D12" w:rsidRPr="00DF5624" w:rsidRDefault="00DC2D12" w:rsidP="00DC2D12">
      <w:pPr>
        <w:rPr>
          <w:sz w:val="20"/>
          <w:szCs w:val="20"/>
        </w:rPr>
      </w:pPr>
      <w:r w:rsidRPr="00DF5624">
        <w:rPr>
          <w:i/>
          <w:sz w:val="20"/>
          <w:szCs w:val="20"/>
        </w:rPr>
        <w:t>JEL classification</w:t>
      </w:r>
      <w:r w:rsidRPr="00DF5624">
        <w:rPr>
          <w:sz w:val="20"/>
          <w:szCs w:val="20"/>
        </w:rPr>
        <w:t>: G24, G29, D82, D84</w:t>
      </w:r>
    </w:p>
    <w:p w:rsidR="00DC2D12" w:rsidRPr="00DF5624" w:rsidRDefault="00DC2D12" w:rsidP="00DC2D12">
      <w:pPr>
        <w:rPr>
          <w:b/>
          <w:sz w:val="20"/>
          <w:szCs w:val="20"/>
        </w:rPr>
      </w:pPr>
    </w:p>
    <w:p w:rsidR="00DC2D12" w:rsidRDefault="00DC2D12" w:rsidP="00DC2D12">
      <w:pPr>
        <w:rPr>
          <w:i/>
          <w:sz w:val="20"/>
          <w:szCs w:val="20"/>
        </w:rPr>
      </w:pPr>
    </w:p>
    <w:p w:rsidR="00DC2D12" w:rsidRPr="00DF5624" w:rsidRDefault="00DC2D12" w:rsidP="00DC2D12">
      <w:pPr>
        <w:rPr>
          <w:sz w:val="20"/>
          <w:szCs w:val="20"/>
        </w:rPr>
      </w:pPr>
      <w:r w:rsidRPr="00DF5624">
        <w:rPr>
          <w:i/>
          <w:sz w:val="20"/>
          <w:szCs w:val="20"/>
        </w:rPr>
        <w:t>Keywords:</w:t>
      </w:r>
      <w:r>
        <w:rPr>
          <w:sz w:val="20"/>
          <w:szCs w:val="20"/>
        </w:rPr>
        <w:t xml:space="preserve">  Analyst; Incentives; 144;</w:t>
      </w:r>
      <w:r w:rsidRPr="00DF5624">
        <w:rPr>
          <w:sz w:val="20"/>
          <w:szCs w:val="20"/>
        </w:rPr>
        <w:t xml:space="preserve"> Stock ownership; Capital Markets</w:t>
      </w:r>
    </w:p>
    <w:p w:rsidR="00DC2D12" w:rsidRDefault="00DC2D12" w:rsidP="00DC2D12">
      <w:pPr>
        <w:rPr>
          <w:sz w:val="20"/>
          <w:szCs w:val="20"/>
        </w:rPr>
      </w:pPr>
    </w:p>
    <w:p w:rsidR="00DC2D12" w:rsidRDefault="00DC2D12" w:rsidP="00DC2D12">
      <w:pPr>
        <w:rPr>
          <w:sz w:val="20"/>
          <w:szCs w:val="20"/>
        </w:rPr>
      </w:pPr>
    </w:p>
    <w:p w:rsidR="00DC2D12" w:rsidRDefault="00DC2D12" w:rsidP="00DC2D12">
      <w:pPr>
        <w:rPr>
          <w:sz w:val="20"/>
          <w:szCs w:val="20"/>
        </w:rPr>
      </w:pPr>
    </w:p>
    <w:p w:rsidR="00DC2D12" w:rsidRDefault="00DC2D12" w:rsidP="00DC2D12">
      <w:pPr>
        <w:rPr>
          <w:sz w:val="20"/>
          <w:szCs w:val="20"/>
        </w:rPr>
      </w:pPr>
    </w:p>
    <w:p w:rsidR="00DC2D12" w:rsidRPr="00DF5624" w:rsidRDefault="00DC2D12" w:rsidP="00DC2D12">
      <w:pPr>
        <w:rPr>
          <w:sz w:val="20"/>
          <w:szCs w:val="20"/>
        </w:rPr>
      </w:pPr>
    </w:p>
    <w:p w:rsidR="00DC2D12" w:rsidRPr="00DF5624" w:rsidRDefault="00DC2D12" w:rsidP="00DC2D12">
      <w:pPr>
        <w:rPr>
          <w:b/>
          <w:sz w:val="20"/>
          <w:szCs w:val="20"/>
        </w:rPr>
      </w:pPr>
      <w:r w:rsidRPr="00DF5624">
        <w:rPr>
          <w:sz w:val="20"/>
          <w:szCs w:val="20"/>
        </w:rPr>
        <w:t xml:space="preserve">I thank </w:t>
      </w:r>
      <w:smartTag w:uri="urn:schemas-microsoft-com:office:smarttags" w:element="PersonName">
        <w:r w:rsidRPr="00DF5624">
          <w:rPr>
            <w:sz w:val="20"/>
            <w:szCs w:val="20"/>
          </w:rPr>
          <w:t>Anne Beatty</w:t>
        </w:r>
      </w:smartTag>
      <w:r w:rsidRPr="00DF5624">
        <w:rPr>
          <w:sz w:val="20"/>
          <w:szCs w:val="20"/>
        </w:rPr>
        <w:t xml:space="preserve">, Dan Bens, Philip Berger, Robert </w:t>
      </w:r>
      <w:proofErr w:type="spellStart"/>
      <w:r w:rsidRPr="00DF5624">
        <w:rPr>
          <w:sz w:val="20"/>
          <w:szCs w:val="20"/>
        </w:rPr>
        <w:t>Holthausen</w:t>
      </w:r>
      <w:proofErr w:type="spellEnd"/>
      <w:r w:rsidRPr="00DF5624">
        <w:rPr>
          <w:sz w:val="20"/>
          <w:szCs w:val="20"/>
        </w:rPr>
        <w:t xml:space="preserve">, </w:t>
      </w:r>
      <w:smartTag w:uri="urn:schemas-microsoft-com:office:smarttags" w:element="PersonName">
        <w:r w:rsidRPr="00DF5624">
          <w:rPr>
            <w:sz w:val="20"/>
            <w:szCs w:val="20"/>
          </w:rPr>
          <w:t>Angela Johnston</w:t>
        </w:r>
      </w:smartTag>
      <w:r w:rsidRPr="00DF5624">
        <w:rPr>
          <w:sz w:val="20"/>
          <w:szCs w:val="20"/>
        </w:rPr>
        <w:t xml:space="preserve">, Christian </w:t>
      </w:r>
      <w:proofErr w:type="spellStart"/>
      <w:r w:rsidRPr="00DF5624">
        <w:rPr>
          <w:sz w:val="20"/>
          <w:szCs w:val="20"/>
        </w:rPr>
        <w:t>Leuz</w:t>
      </w:r>
      <w:proofErr w:type="spellEnd"/>
      <w:r w:rsidRPr="00DF5624">
        <w:rPr>
          <w:sz w:val="20"/>
          <w:szCs w:val="20"/>
        </w:rPr>
        <w:t xml:space="preserve">, Stan Markov, Sundaresh Ramnath, Catherine Schrand, Phil </w:t>
      </w:r>
      <w:proofErr w:type="spellStart"/>
      <w:r w:rsidRPr="00DF5624">
        <w:rPr>
          <w:sz w:val="20"/>
          <w:szCs w:val="20"/>
        </w:rPr>
        <w:t>Stocken</w:t>
      </w:r>
      <w:proofErr w:type="spellEnd"/>
      <w:r w:rsidRPr="00DF5624">
        <w:rPr>
          <w:sz w:val="20"/>
          <w:szCs w:val="20"/>
        </w:rPr>
        <w:t xml:space="preserve">, Rene </w:t>
      </w:r>
      <w:proofErr w:type="spellStart"/>
      <w:r w:rsidRPr="00DF5624">
        <w:rPr>
          <w:sz w:val="20"/>
          <w:szCs w:val="20"/>
        </w:rPr>
        <w:t>Stulz</w:t>
      </w:r>
      <w:proofErr w:type="spellEnd"/>
      <w:r w:rsidRPr="00DF5624">
        <w:rPr>
          <w:sz w:val="20"/>
          <w:szCs w:val="20"/>
        </w:rPr>
        <w:t xml:space="preserve"> and Robert </w:t>
      </w:r>
      <w:proofErr w:type="spellStart"/>
      <w:r w:rsidRPr="00DF5624">
        <w:rPr>
          <w:sz w:val="20"/>
          <w:szCs w:val="20"/>
        </w:rPr>
        <w:t>Verrecchia</w:t>
      </w:r>
      <w:proofErr w:type="spellEnd"/>
      <w:r w:rsidRPr="00DF5624">
        <w:rPr>
          <w:sz w:val="20"/>
          <w:szCs w:val="20"/>
        </w:rPr>
        <w:t xml:space="preserve"> for their thoughtful comments and suggestions;  IBES for the analyst data; and C. Chen, K. </w:t>
      </w:r>
      <w:proofErr w:type="spellStart"/>
      <w:r w:rsidRPr="00DF5624">
        <w:rPr>
          <w:sz w:val="20"/>
          <w:szCs w:val="20"/>
        </w:rPr>
        <w:t>Agarwal</w:t>
      </w:r>
      <w:proofErr w:type="spellEnd"/>
      <w:r w:rsidRPr="00DF5624">
        <w:rPr>
          <w:sz w:val="20"/>
          <w:szCs w:val="20"/>
        </w:rPr>
        <w:t xml:space="preserve">, C. Wu, S. Chu, B. </w:t>
      </w:r>
      <w:proofErr w:type="spellStart"/>
      <w:r w:rsidRPr="00DF5624">
        <w:rPr>
          <w:sz w:val="20"/>
          <w:szCs w:val="20"/>
        </w:rPr>
        <w:t>Kamli</w:t>
      </w:r>
      <w:proofErr w:type="spellEnd"/>
      <w:r w:rsidRPr="00DF5624">
        <w:rPr>
          <w:sz w:val="20"/>
          <w:szCs w:val="20"/>
        </w:rPr>
        <w:t xml:space="preserve"> and J. </w:t>
      </w:r>
      <w:proofErr w:type="spellStart"/>
      <w:r w:rsidRPr="00DF5624">
        <w:rPr>
          <w:sz w:val="20"/>
          <w:szCs w:val="20"/>
        </w:rPr>
        <w:t>Tu</w:t>
      </w:r>
      <w:proofErr w:type="spellEnd"/>
      <w:r w:rsidRPr="00DF5624">
        <w:rPr>
          <w:sz w:val="20"/>
          <w:szCs w:val="20"/>
        </w:rPr>
        <w:t xml:space="preserve"> for their data assistance.  I would also like to thank workshop participants at the Midwest summer conference and at the following universities: Pennsylvania (Wharton), Northwestern, Toronto, MIT, Emory, USC, Rice, Boston, Utah, Baruch, Georgetown, SMU, GW, UIC, UTD, and OSU. </w:t>
      </w:r>
    </w:p>
    <w:p w:rsidR="00DC2D12" w:rsidRDefault="00DC2D12" w:rsidP="00DC2D12"/>
    <w:p w:rsidR="008D4498" w:rsidRDefault="008D4498" w:rsidP="008D4498">
      <w:pPr>
        <w:jc w:val="center"/>
        <w:rPr>
          <w:b/>
          <w:sz w:val="28"/>
        </w:rPr>
      </w:pPr>
    </w:p>
    <w:p w:rsidR="00F66820" w:rsidRDefault="000349E2" w:rsidP="008D4498">
      <w:pPr>
        <w:pStyle w:val="BodyText2"/>
        <w:rPr>
          <w:szCs w:val="28"/>
        </w:rPr>
      </w:pPr>
      <w:r w:rsidRPr="000349E2">
        <w:rPr>
          <w:szCs w:val="28"/>
        </w:rPr>
        <w:t xml:space="preserve"> </w:t>
      </w:r>
    </w:p>
    <w:p w:rsidR="00F66820" w:rsidRDefault="00F66820">
      <w:pPr>
        <w:rPr>
          <w:b/>
          <w:sz w:val="28"/>
          <w:szCs w:val="28"/>
        </w:rPr>
      </w:pPr>
      <w:r>
        <w:rPr>
          <w:szCs w:val="28"/>
        </w:rPr>
        <w:br w:type="page"/>
      </w:r>
    </w:p>
    <w:p w:rsidR="008D4498" w:rsidRPr="000349E2" w:rsidRDefault="000349E2" w:rsidP="008D4498">
      <w:pPr>
        <w:pStyle w:val="BodyText2"/>
        <w:rPr>
          <w:szCs w:val="28"/>
        </w:rPr>
      </w:pPr>
      <w:r w:rsidRPr="000349E2">
        <w:rPr>
          <w:szCs w:val="28"/>
        </w:rPr>
        <w:lastRenderedPageBreak/>
        <w:t>Does analyst stock ownership affect reporting behavior</w:t>
      </w:r>
      <w:r w:rsidR="008D4498" w:rsidRPr="000349E2">
        <w:rPr>
          <w:szCs w:val="28"/>
        </w:rPr>
        <w:t>?</w:t>
      </w:r>
    </w:p>
    <w:p w:rsidR="008D4498" w:rsidRPr="00DF5624" w:rsidRDefault="008D4498" w:rsidP="008D4498">
      <w:pPr>
        <w:jc w:val="center"/>
        <w:rPr>
          <w:b/>
          <w:sz w:val="20"/>
          <w:szCs w:val="20"/>
        </w:rPr>
      </w:pPr>
    </w:p>
    <w:p w:rsidR="008D4498" w:rsidRPr="00DF5624" w:rsidRDefault="008D4498" w:rsidP="008D4498">
      <w:pPr>
        <w:jc w:val="center"/>
        <w:rPr>
          <w:sz w:val="20"/>
          <w:szCs w:val="20"/>
        </w:rPr>
      </w:pPr>
    </w:p>
    <w:p w:rsidR="008D4498" w:rsidRPr="00DF5624" w:rsidRDefault="008D4498" w:rsidP="008D4498">
      <w:pPr>
        <w:jc w:val="center"/>
        <w:rPr>
          <w:sz w:val="20"/>
          <w:szCs w:val="20"/>
        </w:rPr>
      </w:pPr>
    </w:p>
    <w:p w:rsidR="008D4498" w:rsidRDefault="008D4498" w:rsidP="008D4498">
      <w:pPr>
        <w:jc w:val="center"/>
        <w:rPr>
          <w:b/>
          <w:sz w:val="20"/>
          <w:szCs w:val="20"/>
        </w:rPr>
      </w:pPr>
    </w:p>
    <w:p w:rsidR="00032331" w:rsidRDefault="00032331" w:rsidP="008D4498">
      <w:pPr>
        <w:jc w:val="center"/>
        <w:rPr>
          <w:b/>
          <w:sz w:val="20"/>
          <w:szCs w:val="20"/>
        </w:rPr>
      </w:pPr>
    </w:p>
    <w:p w:rsidR="00032331" w:rsidRDefault="00032331" w:rsidP="008D4498">
      <w:pPr>
        <w:jc w:val="center"/>
        <w:rPr>
          <w:b/>
          <w:sz w:val="20"/>
          <w:szCs w:val="20"/>
        </w:rPr>
      </w:pPr>
    </w:p>
    <w:p w:rsidR="00032331" w:rsidRDefault="00032331" w:rsidP="008D4498">
      <w:pPr>
        <w:jc w:val="center"/>
        <w:rPr>
          <w:b/>
          <w:sz w:val="20"/>
          <w:szCs w:val="20"/>
        </w:rPr>
      </w:pPr>
    </w:p>
    <w:p w:rsidR="00032331" w:rsidRPr="00DF5624" w:rsidRDefault="00032331" w:rsidP="008D4498">
      <w:pPr>
        <w:jc w:val="center"/>
        <w:rPr>
          <w:b/>
          <w:sz w:val="20"/>
          <w:szCs w:val="20"/>
        </w:rPr>
      </w:pPr>
    </w:p>
    <w:p w:rsidR="008D4498" w:rsidRPr="00DF5624" w:rsidRDefault="008D4498" w:rsidP="008D4498">
      <w:pPr>
        <w:rPr>
          <w:sz w:val="20"/>
          <w:szCs w:val="20"/>
        </w:rPr>
      </w:pPr>
    </w:p>
    <w:p w:rsidR="008D4498" w:rsidRPr="00DF5624" w:rsidRDefault="008D4498" w:rsidP="008D4498">
      <w:pPr>
        <w:jc w:val="center"/>
        <w:rPr>
          <w:b/>
          <w:sz w:val="20"/>
          <w:szCs w:val="20"/>
        </w:rPr>
      </w:pPr>
      <w:r w:rsidRPr="00DF5624">
        <w:rPr>
          <w:b/>
          <w:sz w:val="20"/>
          <w:szCs w:val="20"/>
        </w:rPr>
        <w:t>Abstract</w:t>
      </w:r>
    </w:p>
    <w:p w:rsidR="008D4498" w:rsidRPr="00DF5624" w:rsidRDefault="008D4498" w:rsidP="008D4498">
      <w:pPr>
        <w:rPr>
          <w:sz w:val="20"/>
          <w:szCs w:val="20"/>
        </w:rPr>
      </w:pPr>
    </w:p>
    <w:p w:rsidR="008D4498" w:rsidRDefault="008D4498" w:rsidP="008D4498">
      <w:pPr>
        <w:rPr>
          <w:sz w:val="20"/>
          <w:szCs w:val="20"/>
        </w:rPr>
      </w:pPr>
      <w:r w:rsidRPr="00DF5624">
        <w:rPr>
          <w:sz w:val="20"/>
          <w:szCs w:val="20"/>
        </w:rPr>
        <w:t>An analyst who owns stock in the company she covers may be tempted to protect or enhance her personal interests.  I examine how this conflict of interest affects the reporting of sell-side analysts.  I i</w:t>
      </w:r>
      <w:r w:rsidR="00FF3931">
        <w:rPr>
          <w:sz w:val="20"/>
          <w:szCs w:val="20"/>
        </w:rPr>
        <w:t>de</w:t>
      </w:r>
      <w:r w:rsidR="002E0309">
        <w:rPr>
          <w:sz w:val="20"/>
          <w:szCs w:val="20"/>
        </w:rPr>
        <w:t xml:space="preserve">ntify and collect two samples, </w:t>
      </w:r>
      <w:r w:rsidRPr="00DF5624">
        <w:rPr>
          <w:sz w:val="20"/>
          <w:szCs w:val="20"/>
        </w:rPr>
        <w:t xml:space="preserve">the first from SEC Form 144 filings, and the second from voluntary ownership disclosures.  Ordered </w:t>
      </w:r>
      <w:proofErr w:type="spellStart"/>
      <w:r w:rsidRPr="00DF5624">
        <w:rPr>
          <w:sz w:val="20"/>
          <w:szCs w:val="20"/>
        </w:rPr>
        <w:t>probit</w:t>
      </w:r>
      <w:proofErr w:type="spellEnd"/>
      <w:r w:rsidRPr="00DF5624">
        <w:rPr>
          <w:sz w:val="20"/>
          <w:szCs w:val="20"/>
        </w:rPr>
        <w:t xml:space="preserve"> analyses show that owning-analyst recommendations are slightly more cautious than those of the control analysts.  I find little robust evidence that st</w:t>
      </w:r>
      <w:r w:rsidR="000F3CBF" w:rsidRPr="00DF5624">
        <w:rPr>
          <w:sz w:val="20"/>
          <w:szCs w:val="20"/>
        </w:rPr>
        <w:t>ock ownership leads to</w:t>
      </w:r>
      <w:r w:rsidRPr="00DF5624">
        <w:rPr>
          <w:sz w:val="20"/>
          <w:szCs w:val="20"/>
        </w:rPr>
        <w:t xml:space="preserve"> optimistic analyst reporting</w:t>
      </w:r>
      <w:r w:rsidR="009C075F">
        <w:rPr>
          <w:sz w:val="20"/>
          <w:szCs w:val="20"/>
        </w:rPr>
        <w:t>,</w:t>
      </w:r>
      <w:r w:rsidR="000F3CBF" w:rsidRPr="00DF5624">
        <w:rPr>
          <w:sz w:val="20"/>
          <w:szCs w:val="20"/>
        </w:rPr>
        <w:t xml:space="preserve"> how</w:t>
      </w:r>
      <w:r w:rsidR="009C075F">
        <w:rPr>
          <w:sz w:val="20"/>
          <w:szCs w:val="20"/>
        </w:rPr>
        <w:t>ever</w:t>
      </w:r>
      <w:r w:rsidR="006A77BA">
        <w:rPr>
          <w:sz w:val="20"/>
          <w:szCs w:val="20"/>
        </w:rPr>
        <w:t xml:space="preserve"> I do find that </w:t>
      </w:r>
      <w:r w:rsidR="000F3CBF" w:rsidRPr="00DF5624">
        <w:rPr>
          <w:sz w:val="20"/>
          <w:szCs w:val="20"/>
        </w:rPr>
        <w:t>analysts</w:t>
      </w:r>
      <w:r w:rsidR="006A77BA">
        <w:rPr>
          <w:sz w:val="20"/>
          <w:szCs w:val="20"/>
        </w:rPr>
        <w:t xml:space="preserve"> who are consistently optimistic</w:t>
      </w:r>
      <w:r w:rsidR="000F3CBF" w:rsidRPr="00DF5624">
        <w:rPr>
          <w:sz w:val="20"/>
          <w:szCs w:val="20"/>
        </w:rPr>
        <w:t xml:space="preserve"> are owners</w:t>
      </w:r>
      <w:r w:rsidRPr="00DF5624">
        <w:rPr>
          <w:sz w:val="20"/>
          <w:szCs w:val="20"/>
        </w:rPr>
        <w:t>.</w:t>
      </w:r>
      <w:r w:rsidR="00236622">
        <w:rPr>
          <w:sz w:val="20"/>
          <w:szCs w:val="20"/>
        </w:rPr>
        <w:t xml:space="preserve"> The results are consistent with </w:t>
      </w:r>
      <w:r w:rsidR="00684A4F">
        <w:rPr>
          <w:sz w:val="20"/>
          <w:szCs w:val="20"/>
        </w:rPr>
        <w:t>a conclusion that analyst s</w:t>
      </w:r>
      <w:r w:rsidR="00236622">
        <w:rPr>
          <w:sz w:val="20"/>
          <w:szCs w:val="20"/>
        </w:rPr>
        <w:t>tock ownership, unlike other potential incentives</w:t>
      </w:r>
      <w:r w:rsidR="00684A4F">
        <w:rPr>
          <w:sz w:val="20"/>
          <w:szCs w:val="20"/>
        </w:rPr>
        <w:t>, may not be a significant concern</w:t>
      </w:r>
      <w:r w:rsidR="00236622" w:rsidRPr="000F3CBF">
        <w:rPr>
          <w:sz w:val="20"/>
          <w:szCs w:val="20"/>
        </w:rPr>
        <w:t xml:space="preserve"> since </w:t>
      </w:r>
      <w:r w:rsidR="00236622">
        <w:rPr>
          <w:sz w:val="20"/>
          <w:szCs w:val="20"/>
        </w:rPr>
        <w:t xml:space="preserve">in many cases </w:t>
      </w:r>
      <w:r w:rsidR="00236622" w:rsidRPr="000F3CBF">
        <w:rPr>
          <w:sz w:val="20"/>
          <w:szCs w:val="20"/>
        </w:rPr>
        <w:t xml:space="preserve">multiple non-owning analysts also provide reports.  </w:t>
      </w:r>
      <w:r w:rsidR="00236622">
        <w:rPr>
          <w:sz w:val="20"/>
          <w:szCs w:val="20"/>
        </w:rPr>
        <w:t>Being an outlier potentially</w:t>
      </w:r>
      <w:r w:rsidR="00236622" w:rsidRPr="000F3CBF">
        <w:rPr>
          <w:sz w:val="20"/>
          <w:szCs w:val="20"/>
        </w:rPr>
        <w:t xml:space="preserve"> reduces</w:t>
      </w:r>
      <w:r w:rsidR="00236622">
        <w:rPr>
          <w:sz w:val="20"/>
          <w:szCs w:val="20"/>
        </w:rPr>
        <w:t xml:space="preserve"> any</w:t>
      </w:r>
      <w:r w:rsidR="00236622" w:rsidRPr="000F3CBF">
        <w:rPr>
          <w:sz w:val="20"/>
          <w:szCs w:val="20"/>
        </w:rPr>
        <w:t xml:space="preserve"> benefit to the</w:t>
      </w:r>
      <w:r w:rsidR="00684A4F">
        <w:rPr>
          <w:sz w:val="20"/>
          <w:szCs w:val="20"/>
        </w:rPr>
        <w:t xml:space="preserve"> owning</w:t>
      </w:r>
      <w:r w:rsidR="00236622" w:rsidRPr="000F3CBF">
        <w:rPr>
          <w:sz w:val="20"/>
          <w:szCs w:val="20"/>
        </w:rPr>
        <w:t xml:space="preserve"> analyst and risks their personal reputation.  </w:t>
      </w:r>
    </w:p>
    <w:p w:rsidR="00DF5624" w:rsidRDefault="00DF5624" w:rsidP="008D4498">
      <w:pPr>
        <w:rPr>
          <w:sz w:val="20"/>
          <w:szCs w:val="20"/>
        </w:rPr>
      </w:pPr>
    </w:p>
    <w:p w:rsidR="00DF5624" w:rsidRPr="00DF5624" w:rsidRDefault="00DF5624" w:rsidP="008D4498">
      <w:pPr>
        <w:rPr>
          <w:sz w:val="20"/>
          <w:szCs w:val="20"/>
        </w:rPr>
      </w:pPr>
    </w:p>
    <w:p w:rsidR="008D4498" w:rsidRPr="00DF5624" w:rsidRDefault="008D4498" w:rsidP="008D4498">
      <w:pPr>
        <w:rPr>
          <w:sz w:val="20"/>
          <w:szCs w:val="20"/>
        </w:rPr>
      </w:pPr>
    </w:p>
    <w:p w:rsidR="000B6568" w:rsidRDefault="000B6568" w:rsidP="000B6568">
      <w:pPr>
        <w:rPr>
          <w:sz w:val="20"/>
          <w:szCs w:val="20"/>
        </w:rPr>
      </w:pPr>
    </w:p>
    <w:p w:rsidR="00DF5624" w:rsidRDefault="00DF5624" w:rsidP="000B6568">
      <w:pPr>
        <w:rPr>
          <w:sz w:val="20"/>
          <w:szCs w:val="20"/>
        </w:rPr>
      </w:pPr>
    </w:p>
    <w:p w:rsidR="00DF5624" w:rsidRDefault="00DF5624" w:rsidP="000B6568">
      <w:pPr>
        <w:rPr>
          <w:sz w:val="20"/>
          <w:szCs w:val="20"/>
        </w:rPr>
      </w:pPr>
    </w:p>
    <w:p w:rsidR="00DF5624" w:rsidRDefault="00DF5624" w:rsidP="000B6568">
      <w:pPr>
        <w:rPr>
          <w:sz w:val="20"/>
          <w:szCs w:val="20"/>
        </w:rPr>
      </w:pPr>
    </w:p>
    <w:p w:rsidR="008D4498" w:rsidRDefault="008D4498">
      <w:pPr>
        <w:rPr>
          <w:b/>
        </w:rPr>
      </w:pPr>
    </w:p>
    <w:p w:rsidR="00903D89" w:rsidRPr="000F3CBF" w:rsidRDefault="008D4498">
      <w:pPr>
        <w:rPr>
          <w:b/>
          <w:sz w:val="20"/>
          <w:szCs w:val="20"/>
        </w:rPr>
      </w:pPr>
      <w:r>
        <w:rPr>
          <w:b/>
        </w:rPr>
        <w:br w:type="page"/>
      </w:r>
      <w:r w:rsidR="003D1485" w:rsidRPr="000F3CBF">
        <w:rPr>
          <w:b/>
          <w:sz w:val="20"/>
          <w:szCs w:val="20"/>
        </w:rPr>
        <w:lastRenderedPageBreak/>
        <w:t>1.  Introduction</w:t>
      </w:r>
    </w:p>
    <w:p w:rsidR="003D1485" w:rsidRPr="000F3CBF" w:rsidRDefault="003D1485">
      <w:pPr>
        <w:rPr>
          <w:sz w:val="20"/>
          <w:szCs w:val="20"/>
        </w:rPr>
      </w:pPr>
    </w:p>
    <w:p w:rsidR="00903D89" w:rsidRPr="000F3CBF" w:rsidRDefault="00903D89" w:rsidP="009364E2">
      <w:pPr>
        <w:spacing w:line="480" w:lineRule="auto"/>
        <w:ind w:firstLine="360"/>
        <w:rPr>
          <w:sz w:val="20"/>
          <w:szCs w:val="20"/>
        </w:rPr>
      </w:pPr>
      <w:r w:rsidRPr="000F3CBF">
        <w:rPr>
          <w:sz w:val="20"/>
          <w:szCs w:val="20"/>
        </w:rPr>
        <w:t>I</w:t>
      </w:r>
      <w:r w:rsidR="002B0A9A" w:rsidRPr="000F3CBF">
        <w:rPr>
          <w:sz w:val="20"/>
          <w:szCs w:val="20"/>
        </w:rPr>
        <w:t>n this paper, I</w:t>
      </w:r>
      <w:r w:rsidR="009C075F">
        <w:rPr>
          <w:sz w:val="20"/>
          <w:szCs w:val="20"/>
        </w:rPr>
        <w:t xml:space="preserve"> provide empirical evidence of</w:t>
      </w:r>
      <w:r w:rsidR="00CC3BAB">
        <w:rPr>
          <w:sz w:val="20"/>
          <w:szCs w:val="20"/>
        </w:rPr>
        <w:t xml:space="preserve"> the influence</w:t>
      </w:r>
      <w:r w:rsidR="00E42C4A">
        <w:rPr>
          <w:sz w:val="20"/>
          <w:szCs w:val="20"/>
        </w:rPr>
        <w:t xml:space="preserve"> of sell-side </w:t>
      </w:r>
      <w:r w:rsidR="002B0A9A" w:rsidRPr="000F3CBF">
        <w:rPr>
          <w:sz w:val="20"/>
          <w:szCs w:val="20"/>
        </w:rPr>
        <w:t>analyst stock ownership on</w:t>
      </w:r>
      <w:r w:rsidRPr="000F3CBF">
        <w:rPr>
          <w:sz w:val="20"/>
          <w:szCs w:val="20"/>
        </w:rPr>
        <w:t xml:space="preserve"> their recommendations and earnings forecasts.  </w:t>
      </w:r>
      <w:r w:rsidR="000F3CBF" w:rsidRPr="000F3CBF">
        <w:rPr>
          <w:sz w:val="20"/>
          <w:szCs w:val="20"/>
        </w:rPr>
        <w:t>Although</w:t>
      </w:r>
      <w:r w:rsidR="00B75881" w:rsidRPr="000F3CBF">
        <w:rPr>
          <w:sz w:val="20"/>
          <w:szCs w:val="20"/>
        </w:rPr>
        <w:t xml:space="preserve"> a</w:t>
      </w:r>
      <w:r w:rsidR="000F3CBF" w:rsidRPr="000F3CBF">
        <w:rPr>
          <w:sz w:val="20"/>
          <w:szCs w:val="20"/>
        </w:rPr>
        <w:t>n extensive literature document</w:t>
      </w:r>
      <w:r w:rsidR="00B75881" w:rsidRPr="000F3CBF">
        <w:rPr>
          <w:sz w:val="20"/>
          <w:szCs w:val="20"/>
        </w:rPr>
        <w:t>s the existence of an optimistic bias in analyst forecasts, providing an explanation for the bias continues to be an ongoing source of academic debate.  Some research hypothesizes and supports an incentive explanation for the bias, whereas other research posits econometric or other rationales for the presence of the forecast bias.</w:t>
      </w:r>
      <w:r w:rsidR="00B75881" w:rsidRPr="000F3CBF">
        <w:rPr>
          <w:rStyle w:val="FootnoteReference"/>
          <w:sz w:val="20"/>
          <w:szCs w:val="20"/>
        </w:rPr>
        <w:footnoteReference w:id="1"/>
      </w:r>
      <w:r w:rsidR="00B75881" w:rsidRPr="000F3CBF">
        <w:rPr>
          <w:sz w:val="20"/>
          <w:szCs w:val="20"/>
        </w:rPr>
        <w:t xml:space="preserve">  </w:t>
      </w:r>
      <w:r w:rsidR="005F22C4" w:rsidRPr="000F3CBF">
        <w:rPr>
          <w:sz w:val="20"/>
          <w:szCs w:val="20"/>
        </w:rPr>
        <w:t xml:space="preserve">Prior studies link analyst </w:t>
      </w:r>
      <w:r w:rsidR="004D7CD5" w:rsidRPr="000F3CBF">
        <w:rPr>
          <w:sz w:val="20"/>
          <w:szCs w:val="20"/>
        </w:rPr>
        <w:t xml:space="preserve">recommendation </w:t>
      </w:r>
      <w:r w:rsidR="005F22C4" w:rsidRPr="000F3CBF">
        <w:rPr>
          <w:sz w:val="20"/>
          <w:szCs w:val="20"/>
        </w:rPr>
        <w:t xml:space="preserve">optimism and personal financial incentives based on employer compensation but lack compensation data (Lin and </w:t>
      </w:r>
      <w:proofErr w:type="spellStart"/>
      <w:r w:rsidR="005F22C4" w:rsidRPr="000F3CBF">
        <w:rPr>
          <w:sz w:val="20"/>
          <w:szCs w:val="20"/>
        </w:rPr>
        <w:t>McNichols</w:t>
      </w:r>
      <w:proofErr w:type="spellEnd"/>
      <w:r w:rsidR="005F22C4" w:rsidRPr="000F3CBF">
        <w:rPr>
          <w:sz w:val="20"/>
          <w:szCs w:val="20"/>
        </w:rPr>
        <w:t xml:space="preserve">, 1998; </w:t>
      </w:r>
      <w:proofErr w:type="spellStart"/>
      <w:r w:rsidR="005F22C4" w:rsidRPr="000F3CBF">
        <w:rPr>
          <w:sz w:val="20"/>
          <w:szCs w:val="20"/>
        </w:rPr>
        <w:t>Michaely</w:t>
      </w:r>
      <w:proofErr w:type="spellEnd"/>
      <w:r w:rsidR="005F22C4" w:rsidRPr="000F3CBF">
        <w:rPr>
          <w:sz w:val="20"/>
          <w:szCs w:val="20"/>
        </w:rPr>
        <w:t xml:space="preserve"> and Womack, 1999).  </w:t>
      </w:r>
      <w:r w:rsidR="007D45F4" w:rsidRPr="000F3CBF">
        <w:rPr>
          <w:sz w:val="20"/>
          <w:szCs w:val="20"/>
        </w:rPr>
        <w:t>A study of</w:t>
      </w:r>
      <w:r w:rsidRPr="000F3CBF">
        <w:rPr>
          <w:sz w:val="20"/>
          <w:szCs w:val="20"/>
        </w:rPr>
        <w:t xml:space="preserve"> the effect of analyst stock ownership on analyst reporting provides an opportunity to examine </w:t>
      </w:r>
      <w:r w:rsidR="007E5C58" w:rsidRPr="000F3CBF">
        <w:rPr>
          <w:sz w:val="20"/>
          <w:szCs w:val="20"/>
        </w:rPr>
        <w:t>a</w:t>
      </w:r>
      <w:r w:rsidRPr="000F3CBF">
        <w:rPr>
          <w:sz w:val="20"/>
          <w:szCs w:val="20"/>
        </w:rPr>
        <w:t xml:space="preserve"> direct incentive</w:t>
      </w:r>
      <w:r w:rsidR="002B0A9A" w:rsidRPr="000F3CBF">
        <w:rPr>
          <w:sz w:val="20"/>
          <w:szCs w:val="20"/>
        </w:rPr>
        <w:t xml:space="preserve"> for reporting bias, thereby</w:t>
      </w:r>
      <w:r w:rsidRPr="000F3CBF">
        <w:rPr>
          <w:sz w:val="20"/>
          <w:szCs w:val="20"/>
        </w:rPr>
        <w:t xml:space="preserve"> allow</w:t>
      </w:r>
      <w:r w:rsidR="002B0A9A" w:rsidRPr="000F3CBF">
        <w:rPr>
          <w:sz w:val="20"/>
          <w:szCs w:val="20"/>
        </w:rPr>
        <w:t>ing</w:t>
      </w:r>
      <w:r w:rsidRPr="000F3CBF">
        <w:rPr>
          <w:sz w:val="20"/>
          <w:szCs w:val="20"/>
        </w:rPr>
        <w:t xml:space="preserve"> for stronger conclusions on the causal link between </w:t>
      </w:r>
      <w:r w:rsidR="00E65333" w:rsidRPr="000F3CBF">
        <w:rPr>
          <w:sz w:val="20"/>
          <w:szCs w:val="20"/>
        </w:rPr>
        <w:t>incentives and reporting bias.</w:t>
      </w:r>
    </w:p>
    <w:p w:rsidR="00903D89" w:rsidRPr="000F3CBF" w:rsidRDefault="00903D89" w:rsidP="009364E2">
      <w:pPr>
        <w:spacing w:line="480" w:lineRule="auto"/>
        <w:ind w:firstLine="360"/>
        <w:rPr>
          <w:sz w:val="20"/>
          <w:szCs w:val="20"/>
        </w:rPr>
      </w:pPr>
      <w:r w:rsidRPr="000F3CBF">
        <w:rPr>
          <w:sz w:val="20"/>
          <w:szCs w:val="20"/>
        </w:rPr>
        <w:t>Understanding the effect of incentives on analyst reporting behavior is important</w:t>
      </w:r>
      <w:r w:rsidR="00AB6E4C" w:rsidRPr="000F3CBF">
        <w:rPr>
          <w:sz w:val="20"/>
          <w:szCs w:val="20"/>
        </w:rPr>
        <w:t xml:space="preserve"> for</w:t>
      </w:r>
      <w:r w:rsidR="0002240B" w:rsidRPr="000F3CBF">
        <w:rPr>
          <w:sz w:val="20"/>
          <w:szCs w:val="20"/>
        </w:rPr>
        <w:t xml:space="preserve"> at least</w:t>
      </w:r>
      <w:r w:rsidR="00AB6E4C" w:rsidRPr="000F3CBF">
        <w:rPr>
          <w:sz w:val="20"/>
          <w:szCs w:val="20"/>
        </w:rPr>
        <w:t xml:space="preserve"> three reasons.  </w:t>
      </w:r>
      <w:r w:rsidR="002B0A9A" w:rsidRPr="000F3CBF">
        <w:rPr>
          <w:sz w:val="20"/>
          <w:szCs w:val="20"/>
        </w:rPr>
        <w:t>First, a</w:t>
      </w:r>
      <w:r w:rsidRPr="000F3CBF">
        <w:rPr>
          <w:sz w:val="20"/>
          <w:szCs w:val="20"/>
        </w:rPr>
        <w:t xml:space="preserve">nalysts </w:t>
      </w:r>
      <w:r w:rsidR="003B10B7" w:rsidRPr="000F3CBF">
        <w:rPr>
          <w:sz w:val="20"/>
          <w:szCs w:val="20"/>
        </w:rPr>
        <w:t>play a significant role as information</w:t>
      </w:r>
      <w:r w:rsidR="00AB6E4C" w:rsidRPr="000F3CBF">
        <w:rPr>
          <w:sz w:val="20"/>
          <w:szCs w:val="20"/>
        </w:rPr>
        <w:t xml:space="preserve"> intermediaries</w:t>
      </w:r>
      <w:r w:rsidR="003B10B7" w:rsidRPr="000F3CBF">
        <w:rPr>
          <w:sz w:val="20"/>
          <w:szCs w:val="20"/>
        </w:rPr>
        <w:t xml:space="preserve"> in the public markets</w:t>
      </w:r>
      <w:r w:rsidR="00C2141E" w:rsidRPr="000F3CBF">
        <w:rPr>
          <w:sz w:val="20"/>
          <w:szCs w:val="20"/>
        </w:rPr>
        <w:t>.  I</w:t>
      </w:r>
      <w:r w:rsidR="002B0A9A" w:rsidRPr="000F3CBF">
        <w:rPr>
          <w:sz w:val="20"/>
          <w:szCs w:val="20"/>
        </w:rPr>
        <w:t xml:space="preserve">f incentives affect their reports, markets and market participants could be adversely affected.  Second, </w:t>
      </w:r>
      <w:r w:rsidR="00C5757D" w:rsidRPr="000F3CBF">
        <w:rPr>
          <w:sz w:val="20"/>
          <w:szCs w:val="20"/>
        </w:rPr>
        <w:t>analyst</w:t>
      </w:r>
      <w:r w:rsidRPr="000F3CBF">
        <w:rPr>
          <w:sz w:val="20"/>
          <w:szCs w:val="20"/>
        </w:rPr>
        <w:t xml:space="preserve"> fo</w:t>
      </w:r>
      <w:r w:rsidR="00AB6E4C" w:rsidRPr="000F3CBF">
        <w:rPr>
          <w:sz w:val="20"/>
          <w:szCs w:val="20"/>
        </w:rPr>
        <w:t>recasts are</w:t>
      </w:r>
      <w:r w:rsidRPr="000F3CBF">
        <w:rPr>
          <w:sz w:val="20"/>
          <w:szCs w:val="20"/>
        </w:rPr>
        <w:t xml:space="preserve"> a</w:t>
      </w:r>
      <w:r w:rsidR="00AB6E4C" w:rsidRPr="000F3CBF">
        <w:rPr>
          <w:sz w:val="20"/>
          <w:szCs w:val="20"/>
        </w:rPr>
        <w:t xml:space="preserve"> common</w:t>
      </w:r>
      <w:r w:rsidRPr="000F3CBF">
        <w:rPr>
          <w:sz w:val="20"/>
          <w:szCs w:val="20"/>
        </w:rPr>
        <w:t xml:space="preserve"> proxy for</w:t>
      </w:r>
      <w:r w:rsidR="00332654" w:rsidRPr="000F3CBF">
        <w:rPr>
          <w:sz w:val="20"/>
          <w:szCs w:val="20"/>
        </w:rPr>
        <w:t xml:space="preserve"> the market’s</w:t>
      </w:r>
      <w:r w:rsidRPr="000F3CBF">
        <w:rPr>
          <w:sz w:val="20"/>
          <w:szCs w:val="20"/>
        </w:rPr>
        <w:t xml:space="preserve"> earnings expectations</w:t>
      </w:r>
      <w:r w:rsidR="00CF0B85" w:rsidRPr="000F3CBF">
        <w:rPr>
          <w:sz w:val="20"/>
          <w:szCs w:val="20"/>
        </w:rPr>
        <w:t xml:space="preserve"> in academic research</w:t>
      </w:r>
      <w:r w:rsidR="00C2141E" w:rsidRPr="000F3CBF">
        <w:rPr>
          <w:sz w:val="20"/>
          <w:szCs w:val="20"/>
        </w:rPr>
        <w:t>.  R</w:t>
      </w:r>
      <w:r w:rsidR="002B0A9A" w:rsidRPr="000F3CBF">
        <w:rPr>
          <w:sz w:val="20"/>
          <w:szCs w:val="20"/>
        </w:rPr>
        <w:t>esults and conclusi</w:t>
      </w:r>
      <w:r w:rsidR="0088508C" w:rsidRPr="000F3CBF">
        <w:rPr>
          <w:sz w:val="20"/>
          <w:szCs w:val="20"/>
        </w:rPr>
        <w:t>ons of studies could be altered by biases</w:t>
      </w:r>
      <w:r w:rsidR="002B0A9A" w:rsidRPr="000F3CBF">
        <w:rPr>
          <w:sz w:val="20"/>
          <w:szCs w:val="20"/>
        </w:rPr>
        <w:t xml:space="preserve"> in this proxy. Last, analyst stock owners</w:t>
      </w:r>
      <w:r w:rsidR="0088508C" w:rsidRPr="000F3CBF">
        <w:rPr>
          <w:sz w:val="20"/>
          <w:szCs w:val="20"/>
        </w:rPr>
        <w:t>hip provides a setting to</w:t>
      </w:r>
      <w:r w:rsidR="002B0A9A" w:rsidRPr="000F3CBF">
        <w:rPr>
          <w:sz w:val="20"/>
          <w:szCs w:val="20"/>
        </w:rPr>
        <w:t xml:space="preserve"> study the broader</w:t>
      </w:r>
      <w:r w:rsidR="0002240B" w:rsidRPr="000F3CBF">
        <w:rPr>
          <w:sz w:val="20"/>
          <w:szCs w:val="20"/>
        </w:rPr>
        <w:t xml:space="preserve"> question</w:t>
      </w:r>
      <w:r w:rsidR="00E879EC" w:rsidRPr="000F3CBF">
        <w:rPr>
          <w:sz w:val="20"/>
          <w:szCs w:val="20"/>
        </w:rPr>
        <w:t xml:space="preserve"> of</w:t>
      </w:r>
      <w:r w:rsidR="007E5C58" w:rsidRPr="000F3CBF">
        <w:rPr>
          <w:sz w:val="20"/>
          <w:szCs w:val="20"/>
        </w:rPr>
        <w:t xml:space="preserve"> the</w:t>
      </w:r>
      <w:r w:rsidRPr="000F3CBF">
        <w:rPr>
          <w:sz w:val="20"/>
          <w:szCs w:val="20"/>
        </w:rPr>
        <w:t xml:space="preserve"> effect of incentive</w:t>
      </w:r>
      <w:r w:rsidR="0002240B" w:rsidRPr="000F3CBF">
        <w:rPr>
          <w:sz w:val="20"/>
          <w:szCs w:val="20"/>
        </w:rPr>
        <w:t>s on reporting</w:t>
      </w:r>
      <w:r w:rsidRPr="000F3CBF">
        <w:rPr>
          <w:sz w:val="20"/>
          <w:szCs w:val="20"/>
        </w:rPr>
        <w:t>.</w:t>
      </w:r>
    </w:p>
    <w:p w:rsidR="00903D89" w:rsidRPr="000F3CBF" w:rsidRDefault="00B75881" w:rsidP="00E879EC">
      <w:pPr>
        <w:pStyle w:val="BodyTextIndent"/>
        <w:rPr>
          <w:sz w:val="20"/>
          <w:szCs w:val="20"/>
        </w:rPr>
      </w:pPr>
      <w:r w:rsidRPr="000F3CBF">
        <w:rPr>
          <w:sz w:val="20"/>
          <w:szCs w:val="20"/>
        </w:rPr>
        <w:t xml:space="preserve">Historically, disclosure of analyst stock ownership has been boilerplate and nonspecific.  Therefore, there is little evidence of the extent of analyst stock ownership.  </w:t>
      </w:r>
      <w:r w:rsidR="002B0A9A" w:rsidRPr="000F3CBF">
        <w:rPr>
          <w:sz w:val="20"/>
          <w:szCs w:val="20"/>
        </w:rPr>
        <w:t>P</w:t>
      </w:r>
      <w:r w:rsidR="00903D89" w:rsidRPr="000F3CBF">
        <w:rPr>
          <w:sz w:val="20"/>
          <w:szCs w:val="20"/>
        </w:rPr>
        <w:t>opular press interviews suggest that analy</w:t>
      </w:r>
      <w:r w:rsidRPr="000F3CBF">
        <w:rPr>
          <w:sz w:val="20"/>
          <w:szCs w:val="20"/>
        </w:rPr>
        <w:t>st ownership was</w:t>
      </w:r>
      <w:r w:rsidR="00903D89" w:rsidRPr="000F3CBF">
        <w:rPr>
          <w:sz w:val="20"/>
          <w:szCs w:val="20"/>
        </w:rPr>
        <w:t xml:space="preserve"> pervasive</w:t>
      </w:r>
      <w:r w:rsidR="00CF0B85" w:rsidRPr="000F3CBF">
        <w:rPr>
          <w:sz w:val="20"/>
          <w:szCs w:val="20"/>
        </w:rPr>
        <w:t xml:space="preserve"> prior to var</w:t>
      </w:r>
      <w:r w:rsidR="000566B1" w:rsidRPr="000F3CBF">
        <w:rPr>
          <w:sz w:val="20"/>
          <w:szCs w:val="20"/>
        </w:rPr>
        <w:t>ious reforms undertaken in 2001</w:t>
      </w:r>
      <w:r w:rsidR="008725A9" w:rsidRPr="000F3CBF">
        <w:rPr>
          <w:sz w:val="20"/>
          <w:szCs w:val="20"/>
        </w:rPr>
        <w:t>.  F</w:t>
      </w:r>
      <w:r w:rsidR="00072B18" w:rsidRPr="000F3CBF">
        <w:rPr>
          <w:sz w:val="20"/>
          <w:szCs w:val="20"/>
        </w:rPr>
        <w:t>or exampl</w:t>
      </w:r>
      <w:r w:rsidR="0059133E" w:rsidRPr="000F3CBF">
        <w:rPr>
          <w:sz w:val="20"/>
          <w:szCs w:val="20"/>
        </w:rPr>
        <w:t>e, a Merrill Lynch spokesman state</w:t>
      </w:r>
      <w:r w:rsidR="00E879EC" w:rsidRPr="000F3CBF">
        <w:rPr>
          <w:sz w:val="20"/>
          <w:szCs w:val="20"/>
        </w:rPr>
        <w:t>s that slightly more than</w:t>
      </w:r>
      <w:r w:rsidR="00072B18" w:rsidRPr="000F3CBF">
        <w:rPr>
          <w:sz w:val="20"/>
          <w:szCs w:val="20"/>
        </w:rPr>
        <w:t xml:space="preserve"> one-half of their analysts own stock in the companies that they cover</w:t>
      </w:r>
      <w:r w:rsidR="0059133E" w:rsidRPr="000F3CBF">
        <w:rPr>
          <w:sz w:val="20"/>
          <w:szCs w:val="20"/>
        </w:rPr>
        <w:t xml:space="preserve"> (</w:t>
      </w:r>
      <w:r w:rsidR="00903D89" w:rsidRPr="000F3CBF">
        <w:rPr>
          <w:sz w:val="20"/>
          <w:szCs w:val="20"/>
        </w:rPr>
        <w:t>Cowan 2002</w:t>
      </w:r>
      <w:r w:rsidR="00B91458" w:rsidRPr="000F3CBF">
        <w:rPr>
          <w:sz w:val="20"/>
          <w:szCs w:val="20"/>
        </w:rPr>
        <w:t xml:space="preserve">, </w:t>
      </w:r>
      <w:proofErr w:type="spellStart"/>
      <w:r w:rsidR="00B91458" w:rsidRPr="000F3CBF">
        <w:rPr>
          <w:sz w:val="20"/>
          <w:szCs w:val="20"/>
        </w:rPr>
        <w:t>Schack</w:t>
      </w:r>
      <w:proofErr w:type="spellEnd"/>
      <w:r w:rsidR="00B91458" w:rsidRPr="000F3CBF">
        <w:rPr>
          <w:sz w:val="20"/>
          <w:szCs w:val="20"/>
        </w:rPr>
        <w:t xml:space="preserve"> 2001</w:t>
      </w:r>
      <w:r w:rsidR="00903D89" w:rsidRPr="000F3CBF">
        <w:rPr>
          <w:sz w:val="20"/>
          <w:szCs w:val="20"/>
        </w:rPr>
        <w:t xml:space="preserve">).  </w:t>
      </w:r>
      <w:r w:rsidRPr="000F3CBF">
        <w:rPr>
          <w:sz w:val="20"/>
          <w:szCs w:val="20"/>
        </w:rPr>
        <w:t>A</w:t>
      </w:r>
      <w:r w:rsidR="00903D89" w:rsidRPr="000F3CBF">
        <w:rPr>
          <w:sz w:val="20"/>
          <w:szCs w:val="20"/>
        </w:rPr>
        <w:t xml:space="preserve"> </w:t>
      </w:r>
      <w:r w:rsidR="007E5C58" w:rsidRPr="000F3CBF">
        <w:rPr>
          <w:sz w:val="20"/>
          <w:szCs w:val="20"/>
        </w:rPr>
        <w:t>2001</w:t>
      </w:r>
      <w:r w:rsidR="00903D89" w:rsidRPr="000F3CBF">
        <w:rPr>
          <w:sz w:val="20"/>
          <w:szCs w:val="20"/>
        </w:rPr>
        <w:t xml:space="preserve"> Securities and Exchange Commission (SEC) </w:t>
      </w:r>
      <w:r w:rsidRPr="000F3CBF">
        <w:rPr>
          <w:sz w:val="20"/>
          <w:szCs w:val="20"/>
        </w:rPr>
        <w:t>inquiry found that some</w:t>
      </w:r>
      <w:r w:rsidR="00903D89" w:rsidRPr="000F3CBF">
        <w:rPr>
          <w:sz w:val="20"/>
          <w:szCs w:val="20"/>
        </w:rPr>
        <w:t xml:space="preserve"> analysts held restricted stock</w:t>
      </w:r>
      <w:r w:rsidR="009642BD" w:rsidRPr="000F3CBF">
        <w:rPr>
          <w:sz w:val="20"/>
          <w:szCs w:val="20"/>
        </w:rPr>
        <w:t xml:space="preserve"> </w:t>
      </w:r>
      <w:r w:rsidR="00903D89" w:rsidRPr="000F3CBF">
        <w:rPr>
          <w:sz w:val="20"/>
          <w:szCs w:val="20"/>
        </w:rPr>
        <w:t xml:space="preserve">in the companies that they covered.  </w:t>
      </w:r>
      <w:r w:rsidR="00746777" w:rsidRPr="000F3CBF">
        <w:rPr>
          <w:sz w:val="20"/>
          <w:szCs w:val="20"/>
        </w:rPr>
        <w:t>Restricted stock is an unregistered security that is issued by compa</w:t>
      </w:r>
      <w:r w:rsidR="007E2CA2" w:rsidRPr="000F3CBF">
        <w:rPr>
          <w:sz w:val="20"/>
          <w:szCs w:val="20"/>
        </w:rPr>
        <w:t>nies in non-public transactions, such as</w:t>
      </w:r>
      <w:r w:rsidR="00746777" w:rsidRPr="000F3CBF">
        <w:rPr>
          <w:sz w:val="20"/>
          <w:szCs w:val="20"/>
        </w:rPr>
        <w:t xml:space="preserve"> prior to an initial public offering (IPO).  </w:t>
      </w:r>
      <w:r w:rsidR="00241757" w:rsidRPr="000F3CBF">
        <w:rPr>
          <w:sz w:val="20"/>
          <w:szCs w:val="20"/>
        </w:rPr>
        <w:t>The SEC found that the analyst’s</w:t>
      </w:r>
      <w:r w:rsidR="00903D89" w:rsidRPr="000F3CBF">
        <w:rPr>
          <w:sz w:val="20"/>
          <w:szCs w:val="20"/>
        </w:rPr>
        <w:t xml:space="preserve"> restricted stock </w:t>
      </w:r>
      <w:r w:rsidR="00903D89" w:rsidRPr="000F3CBF">
        <w:rPr>
          <w:sz w:val="20"/>
          <w:szCs w:val="20"/>
        </w:rPr>
        <w:lastRenderedPageBreak/>
        <w:t xml:space="preserve">holdings generated </w:t>
      </w:r>
      <w:r w:rsidR="00885682" w:rsidRPr="000F3CBF">
        <w:rPr>
          <w:sz w:val="20"/>
          <w:szCs w:val="20"/>
        </w:rPr>
        <w:t xml:space="preserve">individual </w:t>
      </w:r>
      <w:r w:rsidR="00903D89" w:rsidRPr="000F3CBF">
        <w:rPr>
          <w:sz w:val="20"/>
          <w:szCs w:val="20"/>
        </w:rPr>
        <w:t>pr</w:t>
      </w:r>
      <w:r w:rsidR="00885682" w:rsidRPr="000F3CBF">
        <w:rPr>
          <w:sz w:val="20"/>
          <w:szCs w:val="20"/>
        </w:rPr>
        <w:t>ofits ranging from $100,000 to</w:t>
      </w:r>
      <w:r w:rsidR="00903D89" w:rsidRPr="000F3CBF">
        <w:rPr>
          <w:sz w:val="20"/>
          <w:szCs w:val="20"/>
        </w:rPr>
        <w:t xml:space="preserve"> $3.5 million (Unger 2001).  Therefore, stock ownership appears to</w:t>
      </w:r>
      <w:r w:rsidR="00D65897" w:rsidRPr="000F3CBF">
        <w:rPr>
          <w:sz w:val="20"/>
          <w:szCs w:val="20"/>
        </w:rPr>
        <w:t xml:space="preserve"> be</w:t>
      </w:r>
      <w:r w:rsidR="00903D89" w:rsidRPr="000F3CBF">
        <w:rPr>
          <w:sz w:val="20"/>
          <w:szCs w:val="20"/>
        </w:rPr>
        <w:t xml:space="preserve"> a common, and potentially major, financial incentive for sell-side analysts.</w:t>
      </w:r>
    </w:p>
    <w:p w:rsidR="008308CE" w:rsidRPr="000F3CBF" w:rsidRDefault="00B75881" w:rsidP="00550D89">
      <w:pPr>
        <w:spacing w:line="480" w:lineRule="auto"/>
        <w:ind w:firstLine="360"/>
        <w:rPr>
          <w:sz w:val="20"/>
          <w:szCs w:val="20"/>
        </w:rPr>
      </w:pPr>
      <w:r w:rsidRPr="000F3CBF">
        <w:rPr>
          <w:sz w:val="20"/>
          <w:szCs w:val="20"/>
        </w:rPr>
        <w:t>P</w:t>
      </w:r>
      <w:r w:rsidR="00E879EC" w:rsidRPr="000F3CBF">
        <w:rPr>
          <w:sz w:val="20"/>
          <w:szCs w:val="20"/>
        </w:rPr>
        <w:t>opular press anecdotes</w:t>
      </w:r>
      <w:r w:rsidR="00B6535C" w:rsidRPr="000F3CBF">
        <w:rPr>
          <w:sz w:val="20"/>
          <w:szCs w:val="20"/>
        </w:rPr>
        <w:t xml:space="preserve"> </w:t>
      </w:r>
      <w:r w:rsidRPr="000F3CBF">
        <w:rPr>
          <w:sz w:val="20"/>
          <w:szCs w:val="20"/>
        </w:rPr>
        <w:t>and</w:t>
      </w:r>
      <w:r w:rsidR="002770BB" w:rsidRPr="000F3CBF">
        <w:rPr>
          <w:sz w:val="20"/>
          <w:szCs w:val="20"/>
        </w:rPr>
        <w:t xml:space="preserve"> the SEC investigation</w:t>
      </w:r>
      <w:r w:rsidR="00237959" w:rsidRPr="000F3CBF">
        <w:rPr>
          <w:sz w:val="20"/>
          <w:szCs w:val="20"/>
        </w:rPr>
        <w:t xml:space="preserve"> suggest</w:t>
      </w:r>
      <w:r w:rsidR="00B6535C" w:rsidRPr="000F3CBF">
        <w:rPr>
          <w:sz w:val="20"/>
          <w:szCs w:val="20"/>
        </w:rPr>
        <w:t xml:space="preserve"> analysts </w:t>
      </w:r>
      <w:r w:rsidR="00237959" w:rsidRPr="000F3CBF">
        <w:rPr>
          <w:sz w:val="20"/>
          <w:szCs w:val="20"/>
        </w:rPr>
        <w:t>typically become stock owners by</w:t>
      </w:r>
      <w:r w:rsidR="00BA3793" w:rsidRPr="000F3CBF">
        <w:rPr>
          <w:sz w:val="20"/>
          <w:szCs w:val="20"/>
        </w:rPr>
        <w:t xml:space="preserve"> p</w:t>
      </w:r>
      <w:r w:rsidR="00237959" w:rsidRPr="000F3CBF">
        <w:rPr>
          <w:sz w:val="20"/>
          <w:szCs w:val="20"/>
        </w:rPr>
        <w:t>urchasing</w:t>
      </w:r>
      <w:r w:rsidR="00B6535C" w:rsidRPr="000F3CBF">
        <w:rPr>
          <w:sz w:val="20"/>
          <w:szCs w:val="20"/>
        </w:rPr>
        <w:t xml:space="preserve"> restricted stock pr</w:t>
      </w:r>
      <w:r w:rsidR="00072B18" w:rsidRPr="000F3CBF">
        <w:rPr>
          <w:sz w:val="20"/>
          <w:szCs w:val="20"/>
        </w:rPr>
        <w:t>ior to an IPO,</w:t>
      </w:r>
      <w:r w:rsidR="00237959" w:rsidRPr="000F3CBF">
        <w:rPr>
          <w:sz w:val="20"/>
          <w:szCs w:val="20"/>
        </w:rPr>
        <w:t xml:space="preserve"> or</w:t>
      </w:r>
      <w:r w:rsidR="00556C25" w:rsidRPr="000F3CBF">
        <w:rPr>
          <w:sz w:val="20"/>
          <w:szCs w:val="20"/>
        </w:rPr>
        <w:t xml:space="preserve"> by</w:t>
      </w:r>
      <w:r w:rsidR="00072B18" w:rsidRPr="000F3CBF">
        <w:rPr>
          <w:sz w:val="20"/>
          <w:szCs w:val="20"/>
        </w:rPr>
        <w:t xml:space="preserve"> invest</w:t>
      </w:r>
      <w:r w:rsidR="00237959" w:rsidRPr="000F3CBF">
        <w:rPr>
          <w:sz w:val="20"/>
          <w:szCs w:val="20"/>
        </w:rPr>
        <w:t>ing</w:t>
      </w:r>
      <w:r w:rsidR="00072B18" w:rsidRPr="000F3CBF">
        <w:rPr>
          <w:sz w:val="20"/>
          <w:szCs w:val="20"/>
        </w:rPr>
        <w:t xml:space="preserve"> </w:t>
      </w:r>
      <w:r w:rsidR="00B6535C" w:rsidRPr="000F3CBF">
        <w:rPr>
          <w:sz w:val="20"/>
          <w:szCs w:val="20"/>
        </w:rPr>
        <w:t>a</w:t>
      </w:r>
      <w:r w:rsidR="00072B18" w:rsidRPr="000F3CBF">
        <w:rPr>
          <w:sz w:val="20"/>
          <w:szCs w:val="20"/>
        </w:rPr>
        <w:t>t the time of the IPO as an employee</w:t>
      </w:r>
      <w:r w:rsidR="00B6535C" w:rsidRPr="000F3CBF">
        <w:rPr>
          <w:sz w:val="20"/>
          <w:szCs w:val="20"/>
        </w:rPr>
        <w:t xml:space="preserve"> of </w:t>
      </w:r>
      <w:r w:rsidR="00072B18" w:rsidRPr="000F3CBF">
        <w:rPr>
          <w:sz w:val="20"/>
          <w:szCs w:val="20"/>
        </w:rPr>
        <w:t xml:space="preserve">one of </w:t>
      </w:r>
      <w:r w:rsidR="00B6535C" w:rsidRPr="000F3CBF">
        <w:rPr>
          <w:sz w:val="20"/>
          <w:szCs w:val="20"/>
        </w:rPr>
        <w:t>the</w:t>
      </w:r>
      <w:r w:rsidR="00072B18" w:rsidRPr="000F3CBF">
        <w:rPr>
          <w:sz w:val="20"/>
          <w:szCs w:val="20"/>
        </w:rPr>
        <w:t xml:space="preserve"> underwriting</w:t>
      </w:r>
      <w:r w:rsidR="00B6535C" w:rsidRPr="000F3CBF">
        <w:rPr>
          <w:sz w:val="20"/>
          <w:szCs w:val="20"/>
        </w:rPr>
        <w:t xml:space="preserve"> investment bank</w:t>
      </w:r>
      <w:r w:rsidR="00072B18" w:rsidRPr="000F3CBF">
        <w:rPr>
          <w:sz w:val="20"/>
          <w:szCs w:val="20"/>
        </w:rPr>
        <w:t>s</w:t>
      </w:r>
      <w:r w:rsidR="0059133E" w:rsidRPr="000F3CBF">
        <w:rPr>
          <w:sz w:val="20"/>
          <w:szCs w:val="20"/>
        </w:rPr>
        <w:t>,</w:t>
      </w:r>
      <w:r w:rsidR="008725A9" w:rsidRPr="000F3CBF">
        <w:rPr>
          <w:sz w:val="20"/>
          <w:szCs w:val="20"/>
        </w:rPr>
        <w:t xml:space="preserve"> or </w:t>
      </w:r>
      <w:r w:rsidR="00237959" w:rsidRPr="000F3CBF">
        <w:rPr>
          <w:sz w:val="20"/>
          <w:szCs w:val="20"/>
        </w:rPr>
        <w:t>by making</w:t>
      </w:r>
      <w:r w:rsidR="00B6535C" w:rsidRPr="000F3CBF">
        <w:rPr>
          <w:sz w:val="20"/>
          <w:szCs w:val="20"/>
        </w:rPr>
        <w:t xml:space="preserve"> </w:t>
      </w:r>
      <w:r w:rsidR="00B91458" w:rsidRPr="000F3CBF">
        <w:rPr>
          <w:sz w:val="20"/>
          <w:szCs w:val="20"/>
        </w:rPr>
        <w:t xml:space="preserve">an </w:t>
      </w:r>
      <w:r w:rsidR="00B6535C" w:rsidRPr="000F3CBF">
        <w:rPr>
          <w:sz w:val="20"/>
          <w:szCs w:val="20"/>
        </w:rPr>
        <w:t xml:space="preserve">open market purchase.  One venture capitalist explained the </w:t>
      </w:r>
      <w:r w:rsidR="008A5BFB" w:rsidRPr="000F3CBF">
        <w:rPr>
          <w:sz w:val="20"/>
          <w:szCs w:val="20"/>
        </w:rPr>
        <w:t>potential benefit of allowing a pre-IPO investment by an analyst as follows, “You’re hoping to get them to cover you if you go public</w:t>
      </w:r>
      <w:r w:rsidR="00D70EC8" w:rsidRPr="000F3CBF">
        <w:rPr>
          <w:sz w:val="20"/>
          <w:szCs w:val="20"/>
        </w:rPr>
        <w:t>.</w:t>
      </w:r>
      <w:r w:rsidR="008A5BFB" w:rsidRPr="000F3CBF">
        <w:rPr>
          <w:sz w:val="20"/>
          <w:szCs w:val="20"/>
        </w:rPr>
        <w:t>”</w:t>
      </w:r>
      <w:r w:rsidR="008A5BFB" w:rsidRPr="000F3CBF">
        <w:rPr>
          <w:rStyle w:val="FootnoteReference"/>
          <w:sz w:val="20"/>
          <w:szCs w:val="20"/>
        </w:rPr>
        <w:footnoteReference w:id="2"/>
      </w:r>
      <w:r w:rsidR="00D70EC8" w:rsidRPr="000F3CBF">
        <w:rPr>
          <w:sz w:val="20"/>
          <w:szCs w:val="20"/>
        </w:rPr>
        <w:t xml:space="preserve">  </w:t>
      </w:r>
      <w:r w:rsidR="00D4519C" w:rsidRPr="000F3CBF">
        <w:rPr>
          <w:sz w:val="20"/>
          <w:szCs w:val="20"/>
        </w:rPr>
        <w:t xml:space="preserve">The SEC found </w:t>
      </w:r>
      <w:r w:rsidR="004F20DB" w:rsidRPr="000F3CBF">
        <w:rPr>
          <w:sz w:val="20"/>
          <w:szCs w:val="20"/>
        </w:rPr>
        <w:t xml:space="preserve">that </w:t>
      </w:r>
      <w:r w:rsidR="00D4519C" w:rsidRPr="000F3CBF">
        <w:rPr>
          <w:sz w:val="20"/>
          <w:szCs w:val="20"/>
        </w:rPr>
        <w:t xml:space="preserve">analysts were regularly involved with start-up companies well before an investment banking relationship had been established.  The analyst established the relationship and often reviewed the company operations and provided informal strategic advice. </w:t>
      </w:r>
      <w:r w:rsidR="00746153" w:rsidRPr="000F3CBF">
        <w:rPr>
          <w:sz w:val="20"/>
          <w:szCs w:val="20"/>
        </w:rPr>
        <w:t xml:space="preserve"> </w:t>
      </w:r>
      <w:r w:rsidR="00D70EC8" w:rsidRPr="000F3CBF">
        <w:rPr>
          <w:sz w:val="20"/>
          <w:szCs w:val="20"/>
        </w:rPr>
        <w:t>The desire</w:t>
      </w:r>
      <w:r w:rsidR="00BA4F6E" w:rsidRPr="000F3CBF">
        <w:rPr>
          <w:sz w:val="20"/>
          <w:szCs w:val="20"/>
        </w:rPr>
        <w:t xml:space="preserve"> for</w:t>
      </w:r>
      <w:r w:rsidR="004F20DB" w:rsidRPr="000F3CBF">
        <w:rPr>
          <w:sz w:val="20"/>
          <w:szCs w:val="20"/>
        </w:rPr>
        <w:t>,</w:t>
      </w:r>
      <w:r w:rsidR="00D70EC8" w:rsidRPr="000F3CBF">
        <w:rPr>
          <w:sz w:val="20"/>
          <w:szCs w:val="20"/>
        </w:rPr>
        <w:t xml:space="preserve"> and importance of</w:t>
      </w:r>
      <w:r w:rsidR="004F20DB" w:rsidRPr="000F3CBF">
        <w:rPr>
          <w:sz w:val="20"/>
          <w:szCs w:val="20"/>
        </w:rPr>
        <w:t>,</w:t>
      </w:r>
      <w:r w:rsidR="00D70EC8" w:rsidRPr="000F3CBF">
        <w:rPr>
          <w:sz w:val="20"/>
          <w:szCs w:val="20"/>
        </w:rPr>
        <w:t xml:space="preserve"> analyst coverage</w:t>
      </w:r>
      <w:r w:rsidR="00BA4F6E" w:rsidRPr="000F3CBF">
        <w:rPr>
          <w:sz w:val="20"/>
          <w:szCs w:val="20"/>
        </w:rPr>
        <w:t xml:space="preserve"> to companies going public in recent times</w:t>
      </w:r>
      <w:r w:rsidR="00D70EC8" w:rsidRPr="000F3CBF">
        <w:rPr>
          <w:sz w:val="20"/>
          <w:szCs w:val="20"/>
        </w:rPr>
        <w:t xml:space="preserve"> is documented by </w:t>
      </w:r>
      <w:proofErr w:type="spellStart"/>
      <w:r w:rsidR="00D70EC8" w:rsidRPr="000F3CBF">
        <w:rPr>
          <w:sz w:val="20"/>
          <w:szCs w:val="20"/>
        </w:rPr>
        <w:t>Loughran</w:t>
      </w:r>
      <w:proofErr w:type="spellEnd"/>
      <w:r w:rsidR="00D70EC8" w:rsidRPr="000F3CBF">
        <w:rPr>
          <w:sz w:val="20"/>
          <w:szCs w:val="20"/>
        </w:rPr>
        <w:t xml:space="preserve"> and Ritter (2004) and Bradley, J</w:t>
      </w:r>
      <w:r w:rsidR="00241757" w:rsidRPr="000F3CBF">
        <w:rPr>
          <w:sz w:val="20"/>
          <w:szCs w:val="20"/>
        </w:rPr>
        <w:t>ordan and Ritter (2003)</w:t>
      </w:r>
      <w:r w:rsidR="00BA4F6E" w:rsidRPr="000F3CBF">
        <w:rPr>
          <w:sz w:val="20"/>
          <w:szCs w:val="20"/>
        </w:rPr>
        <w:t>.</w:t>
      </w:r>
      <w:r w:rsidR="00550D89" w:rsidRPr="000F3CBF">
        <w:rPr>
          <w:sz w:val="20"/>
          <w:szCs w:val="20"/>
        </w:rPr>
        <w:t xml:space="preserve">  </w:t>
      </w:r>
      <w:r w:rsidR="00D96D00" w:rsidRPr="000F3CBF">
        <w:rPr>
          <w:sz w:val="20"/>
          <w:szCs w:val="20"/>
        </w:rPr>
        <w:t>Developing relationships w</w:t>
      </w:r>
      <w:r w:rsidR="00C2141E" w:rsidRPr="000F3CBF">
        <w:rPr>
          <w:sz w:val="20"/>
          <w:szCs w:val="20"/>
        </w:rPr>
        <w:t>ith pre-IPO companies and owning stock offer</w:t>
      </w:r>
      <w:r w:rsidR="00D96D00" w:rsidRPr="000F3CBF">
        <w:rPr>
          <w:sz w:val="20"/>
          <w:szCs w:val="20"/>
        </w:rPr>
        <w:t xml:space="preserve"> potential benefits to the analyst</w:t>
      </w:r>
      <w:r w:rsidR="00237959" w:rsidRPr="000F3CBF">
        <w:rPr>
          <w:sz w:val="20"/>
          <w:szCs w:val="20"/>
        </w:rPr>
        <w:t xml:space="preserve"> as well</w:t>
      </w:r>
      <w:r w:rsidR="00D96D00" w:rsidRPr="000F3CBF">
        <w:rPr>
          <w:sz w:val="20"/>
          <w:szCs w:val="20"/>
        </w:rPr>
        <w:t>.  E</w:t>
      </w:r>
      <w:r w:rsidR="00B91458" w:rsidRPr="000F3CBF">
        <w:rPr>
          <w:sz w:val="20"/>
          <w:szCs w:val="20"/>
        </w:rPr>
        <w:t>valuating</w:t>
      </w:r>
      <w:r w:rsidR="00072B18" w:rsidRPr="000F3CBF">
        <w:rPr>
          <w:sz w:val="20"/>
          <w:szCs w:val="20"/>
        </w:rPr>
        <w:t xml:space="preserve"> emerging co</w:t>
      </w:r>
      <w:r w:rsidR="008725A9" w:rsidRPr="000F3CBF">
        <w:rPr>
          <w:sz w:val="20"/>
          <w:szCs w:val="20"/>
        </w:rPr>
        <w:t>mpetitors enhances</w:t>
      </w:r>
      <w:r w:rsidR="00D96D00" w:rsidRPr="000F3CBF">
        <w:rPr>
          <w:sz w:val="20"/>
          <w:szCs w:val="20"/>
        </w:rPr>
        <w:t xml:space="preserve"> the analyst’s</w:t>
      </w:r>
      <w:r w:rsidR="008725A9" w:rsidRPr="000F3CBF">
        <w:rPr>
          <w:sz w:val="20"/>
          <w:szCs w:val="20"/>
        </w:rPr>
        <w:t xml:space="preserve"> industry knowledge and</w:t>
      </w:r>
      <w:r w:rsidR="00165DB3" w:rsidRPr="000F3CBF">
        <w:rPr>
          <w:sz w:val="20"/>
          <w:szCs w:val="20"/>
        </w:rPr>
        <w:t xml:space="preserve"> </w:t>
      </w:r>
      <w:r w:rsidR="00072B18" w:rsidRPr="000F3CBF">
        <w:rPr>
          <w:sz w:val="20"/>
          <w:szCs w:val="20"/>
        </w:rPr>
        <w:t>understanding of competitive threats to existing industry participants.  Iden</w:t>
      </w:r>
      <w:r w:rsidR="0059133E" w:rsidRPr="000F3CBF">
        <w:rPr>
          <w:sz w:val="20"/>
          <w:szCs w:val="20"/>
        </w:rPr>
        <w:t>tifying potential IPO clients i</w:t>
      </w:r>
      <w:r w:rsidR="00B91458" w:rsidRPr="000F3CBF">
        <w:rPr>
          <w:sz w:val="20"/>
          <w:szCs w:val="20"/>
        </w:rPr>
        <w:t>s also valuable</w:t>
      </w:r>
      <w:r w:rsidR="008725A9" w:rsidRPr="000F3CBF">
        <w:rPr>
          <w:sz w:val="20"/>
          <w:szCs w:val="20"/>
        </w:rPr>
        <w:t xml:space="preserve"> to the analyst’s</w:t>
      </w:r>
      <w:r w:rsidR="00072B18" w:rsidRPr="000F3CBF">
        <w:rPr>
          <w:sz w:val="20"/>
          <w:szCs w:val="20"/>
        </w:rPr>
        <w:t xml:space="preserve"> employer and</w:t>
      </w:r>
      <w:r w:rsidR="00D465FB" w:rsidRPr="000F3CBF">
        <w:rPr>
          <w:sz w:val="20"/>
          <w:szCs w:val="20"/>
        </w:rPr>
        <w:t>,</w:t>
      </w:r>
      <w:r w:rsidR="00B91458" w:rsidRPr="000F3CBF">
        <w:rPr>
          <w:sz w:val="20"/>
          <w:szCs w:val="20"/>
        </w:rPr>
        <w:t xml:space="preserve"> perhaps</w:t>
      </w:r>
      <w:r w:rsidR="00072B18" w:rsidRPr="000F3CBF">
        <w:rPr>
          <w:sz w:val="20"/>
          <w:szCs w:val="20"/>
        </w:rPr>
        <w:t xml:space="preserve"> ultimately</w:t>
      </w:r>
      <w:r w:rsidR="00D465FB" w:rsidRPr="000F3CBF">
        <w:rPr>
          <w:sz w:val="20"/>
          <w:szCs w:val="20"/>
        </w:rPr>
        <w:t>,</w:t>
      </w:r>
      <w:r w:rsidR="00072B18" w:rsidRPr="000F3CBF">
        <w:rPr>
          <w:sz w:val="20"/>
          <w:szCs w:val="20"/>
        </w:rPr>
        <w:t xml:space="preserve"> </w:t>
      </w:r>
      <w:r w:rsidR="00237959" w:rsidRPr="000F3CBF">
        <w:rPr>
          <w:sz w:val="20"/>
          <w:szCs w:val="20"/>
        </w:rPr>
        <w:t xml:space="preserve">the analyst </w:t>
      </w:r>
      <w:r w:rsidR="00805579" w:rsidRPr="000F3CBF">
        <w:rPr>
          <w:sz w:val="20"/>
          <w:szCs w:val="20"/>
        </w:rPr>
        <w:t>themselves</w:t>
      </w:r>
      <w:r w:rsidR="00237959" w:rsidRPr="000F3CBF">
        <w:rPr>
          <w:sz w:val="20"/>
          <w:szCs w:val="20"/>
        </w:rPr>
        <w:t>.  I</w:t>
      </w:r>
      <w:r w:rsidR="008308CE" w:rsidRPr="000F3CBF">
        <w:rPr>
          <w:sz w:val="20"/>
          <w:szCs w:val="20"/>
        </w:rPr>
        <w:t>nve</w:t>
      </w:r>
      <w:r w:rsidR="00BA3793" w:rsidRPr="000F3CBF">
        <w:rPr>
          <w:sz w:val="20"/>
          <w:szCs w:val="20"/>
        </w:rPr>
        <w:t>sting in the compa</w:t>
      </w:r>
      <w:r w:rsidR="00B66238" w:rsidRPr="000F3CBF">
        <w:rPr>
          <w:sz w:val="20"/>
          <w:szCs w:val="20"/>
        </w:rPr>
        <w:t>nies that the analyst covers</w:t>
      </w:r>
      <w:r w:rsidR="00072B18" w:rsidRPr="000F3CBF">
        <w:rPr>
          <w:sz w:val="20"/>
          <w:szCs w:val="20"/>
        </w:rPr>
        <w:t>, or will cover,</w:t>
      </w:r>
      <w:r w:rsidR="00D465FB" w:rsidRPr="000F3CBF">
        <w:rPr>
          <w:sz w:val="20"/>
          <w:szCs w:val="20"/>
        </w:rPr>
        <w:t xml:space="preserve"> as part of</w:t>
      </w:r>
      <w:r w:rsidR="000D05E2" w:rsidRPr="000F3CBF">
        <w:rPr>
          <w:sz w:val="20"/>
          <w:szCs w:val="20"/>
        </w:rPr>
        <w:t xml:space="preserve"> their emp</w:t>
      </w:r>
      <w:r w:rsidR="00C2141E" w:rsidRPr="000F3CBF">
        <w:rPr>
          <w:sz w:val="20"/>
          <w:szCs w:val="20"/>
        </w:rPr>
        <w:t>loyment allows investment</w:t>
      </w:r>
      <w:r w:rsidR="000D05E2" w:rsidRPr="000F3CBF">
        <w:rPr>
          <w:sz w:val="20"/>
          <w:szCs w:val="20"/>
        </w:rPr>
        <w:t xml:space="preserve"> without</w:t>
      </w:r>
      <w:r w:rsidR="008308CE" w:rsidRPr="000F3CBF">
        <w:rPr>
          <w:sz w:val="20"/>
          <w:szCs w:val="20"/>
        </w:rPr>
        <w:t xml:space="preserve"> </w:t>
      </w:r>
      <w:r w:rsidR="000D05E2" w:rsidRPr="000F3CBF">
        <w:rPr>
          <w:sz w:val="20"/>
          <w:szCs w:val="20"/>
        </w:rPr>
        <w:t xml:space="preserve">any </w:t>
      </w:r>
      <w:r w:rsidR="008308CE" w:rsidRPr="000F3CBF">
        <w:rPr>
          <w:sz w:val="20"/>
          <w:szCs w:val="20"/>
        </w:rPr>
        <w:t>additional effort.</w:t>
      </w:r>
      <w:r w:rsidR="00237959" w:rsidRPr="000F3CBF">
        <w:rPr>
          <w:sz w:val="20"/>
          <w:szCs w:val="20"/>
        </w:rPr>
        <w:t xml:space="preserve">  Analyst stock ownership offers potential benefits to </w:t>
      </w:r>
      <w:r w:rsidR="00556C25" w:rsidRPr="000F3CBF">
        <w:rPr>
          <w:sz w:val="20"/>
          <w:szCs w:val="20"/>
        </w:rPr>
        <w:t>companies and</w:t>
      </w:r>
      <w:r w:rsidR="00237959" w:rsidRPr="000F3CBF">
        <w:rPr>
          <w:sz w:val="20"/>
          <w:szCs w:val="20"/>
        </w:rPr>
        <w:t xml:space="preserve"> the analyst, but there is legitimate concern </w:t>
      </w:r>
      <w:r w:rsidR="00CD5DDB" w:rsidRPr="000F3CBF">
        <w:rPr>
          <w:sz w:val="20"/>
          <w:szCs w:val="20"/>
        </w:rPr>
        <w:t xml:space="preserve">about the </w:t>
      </w:r>
      <w:r w:rsidR="00B66238" w:rsidRPr="000F3CBF">
        <w:rPr>
          <w:sz w:val="20"/>
          <w:szCs w:val="20"/>
        </w:rPr>
        <w:t xml:space="preserve">potential </w:t>
      </w:r>
      <w:r w:rsidR="00CD5DDB" w:rsidRPr="000F3CBF">
        <w:rPr>
          <w:sz w:val="20"/>
          <w:szCs w:val="20"/>
        </w:rPr>
        <w:t>effect on users of analyst reports</w:t>
      </w:r>
      <w:r w:rsidR="00B66238" w:rsidRPr="000F3CBF">
        <w:rPr>
          <w:sz w:val="20"/>
          <w:szCs w:val="20"/>
        </w:rPr>
        <w:t xml:space="preserve"> if </w:t>
      </w:r>
      <w:r w:rsidR="00556C25" w:rsidRPr="000F3CBF">
        <w:rPr>
          <w:sz w:val="20"/>
          <w:szCs w:val="20"/>
        </w:rPr>
        <w:t xml:space="preserve">those </w:t>
      </w:r>
      <w:r w:rsidR="00B66238" w:rsidRPr="000F3CBF">
        <w:rPr>
          <w:sz w:val="20"/>
          <w:szCs w:val="20"/>
        </w:rPr>
        <w:t>reports are biased due to personal incentives</w:t>
      </w:r>
      <w:r w:rsidR="00CD5DDB" w:rsidRPr="000F3CBF">
        <w:rPr>
          <w:sz w:val="20"/>
          <w:szCs w:val="20"/>
        </w:rPr>
        <w:t>.</w:t>
      </w:r>
    </w:p>
    <w:p w:rsidR="004D7CD5" w:rsidRPr="000F3CBF" w:rsidRDefault="006C412A" w:rsidP="00550D89">
      <w:pPr>
        <w:spacing w:line="480" w:lineRule="auto"/>
        <w:ind w:firstLine="360"/>
        <w:rPr>
          <w:sz w:val="20"/>
          <w:szCs w:val="20"/>
        </w:rPr>
      </w:pPr>
      <w:r w:rsidRPr="000F3CBF">
        <w:rPr>
          <w:sz w:val="20"/>
          <w:szCs w:val="20"/>
        </w:rPr>
        <w:t>An analyst’s financial int</w:t>
      </w:r>
      <w:r w:rsidR="00CD281D" w:rsidRPr="000F3CBF">
        <w:rPr>
          <w:sz w:val="20"/>
          <w:szCs w:val="20"/>
        </w:rPr>
        <w:t>erest in the stock</w:t>
      </w:r>
      <w:r w:rsidR="00C2141E" w:rsidRPr="000F3CBF">
        <w:rPr>
          <w:sz w:val="20"/>
          <w:szCs w:val="20"/>
        </w:rPr>
        <w:t xml:space="preserve"> of a company</w:t>
      </w:r>
      <w:r w:rsidR="00CD281D" w:rsidRPr="000F3CBF">
        <w:rPr>
          <w:sz w:val="20"/>
          <w:szCs w:val="20"/>
        </w:rPr>
        <w:t xml:space="preserve"> on which she</w:t>
      </w:r>
      <w:r w:rsidRPr="000F3CBF">
        <w:rPr>
          <w:sz w:val="20"/>
          <w:szCs w:val="20"/>
        </w:rPr>
        <w:t xml:space="preserve"> report</w:t>
      </w:r>
      <w:r w:rsidR="00CD281D" w:rsidRPr="000F3CBF">
        <w:rPr>
          <w:sz w:val="20"/>
          <w:szCs w:val="20"/>
        </w:rPr>
        <w:t>s</w:t>
      </w:r>
      <w:r w:rsidR="007804EA" w:rsidRPr="000F3CBF">
        <w:rPr>
          <w:sz w:val="20"/>
          <w:szCs w:val="20"/>
        </w:rPr>
        <w:t xml:space="preserve"> could have a detrimental </w:t>
      </w:r>
      <w:r w:rsidR="004D7CD5" w:rsidRPr="000F3CBF">
        <w:rPr>
          <w:sz w:val="20"/>
          <w:szCs w:val="20"/>
        </w:rPr>
        <w:t>effect since</w:t>
      </w:r>
      <w:r w:rsidR="006D7FA7" w:rsidRPr="000F3CBF">
        <w:rPr>
          <w:sz w:val="20"/>
          <w:szCs w:val="20"/>
        </w:rPr>
        <w:t xml:space="preserve"> an analyst might report with a</w:t>
      </w:r>
      <w:r w:rsidR="00D96D00" w:rsidRPr="000F3CBF">
        <w:rPr>
          <w:sz w:val="20"/>
          <w:szCs w:val="20"/>
        </w:rPr>
        <w:t>n optimistic bias.  For example</w:t>
      </w:r>
      <w:r w:rsidR="006D7FA7" w:rsidRPr="000F3CBF">
        <w:rPr>
          <w:sz w:val="20"/>
          <w:szCs w:val="20"/>
        </w:rPr>
        <w:t>, an owning an</w:t>
      </w:r>
      <w:r w:rsidR="005A657F" w:rsidRPr="000F3CBF">
        <w:rPr>
          <w:sz w:val="20"/>
          <w:szCs w:val="20"/>
        </w:rPr>
        <w:t>alyst might fail to report</w:t>
      </w:r>
      <w:r w:rsidR="006D7FA7" w:rsidRPr="000F3CBF">
        <w:rPr>
          <w:sz w:val="20"/>
          <w:szCs w:val="20"/>
        </w:rPr>
        <w:t xml:space="preserve"> bad news prior </w:t>
      </w:r>
      <w:r w:rsidR="005A657F" w:rsidRPr="000F3CBF">
        <w:rPr>
          <w:sz w:val="20"/>
          <w:szCs w:val="20"/>
        </w:rPr>
        <w:t>to selling their stock</w:t>
      </w:r>
      <w:r w:rsidR="00D96D00" w:rsidRPr="000F3CBF">
        <w:rPr>
          <w:sz w:val="20"/>
          <w:szCs w:val="20"/>
        </w:rPr>
        <w:t>.</w:t>
      </w:r>
      <w:r w:rsidR="00063396">
        <w:rPr>
          <w:sz w:val="20"/>
          <w:szCs w:val="20"/>
        </w:rPr>
        <w:t xml:space="preserve">  A personal financial incentive would result in strategic bias.</w:t>
      </w:r>
      <w:r w:rsidR="0059133E" w:rsidRPr="000F3CBF">
        <w:rPr>
          <w:sz w:val="20"/>
          <w:szCs w:val="20"/>
        </w:rPr>
        <w:t xml:space="preserve">  </w:t>
      </w:r>
      <w:r w:rsidR="005A657F" w:rsidRPr="000F3CBF">
        <w:rPr>
          <w:sz w:val="20"/>
          <w:szCs w:val="20"/>
        </w:rPr>
        <w:t>However, t</w:t>
      </w:r>
      <w:r w:rsidR="007809FF" w:rsidRPr="000F3CBF">
        <w:rPr>
          <w:sz w:val="20"/>
          <w:szCs w:val="20"/>
        </w:rPr>
        <w:t xml:space="preserve">he </w:t>
      </w:r>
      <w:r w:rsidR="0059133E" w:rsidRPr="000F3CBF">
        <w:rPr>
          <w:sz w:val="20"/>
          <w:szCs w:val="20"/>
        </w:rPr>
        <w:t>long-term value</w:t>
      </w:r>
      <w:r w:rsidR="00BA3793" w:rsidRPr="000F3CBF">
        <w:rPr>
          <w:sz w:val="20"/>
          <w:szCs w:val="20"/>
        </w:rPr>
        <w:t>,</w:t>
      </w:r>
      <w:r w:rsidR="0059133E" w:rsidRPr="000F3CBF">
        <w:rPr>
          <w:sz w:val="20"/>
          <w:szCs w:val="20"/>
        </w:rPr>
        <w:t xml:space="preserve"> and hence </w:t>
      </w:r>
      <w:r w:rsidR="007809FF" w:rsidRPr="000F3CBF">
        <w:rPr>
          <w:sz w:val="20"/>
          <w:szCs w:val="20"/>
        </w:rPr>
        <w:t>importance</w:t>
      </w:r>
      <w:r w:rsidR="00BA3793" w:rsidRPr="000F3CBF">
        <w:rPr>
          <w:sz w:val="20"/>
          <w:szCs w:val="20"/>
        </w:rPr>
        <w:t>,</w:t>
      </w:r>
      <w:r w:rsidR="007809FF" w:rsidRPr="000F3CBF">
        <w:rPr>
          <w:sz w:val="20"/>
          <w:szCs w:val="20"/>
        </w:rPr>
        <w:t xml:space="preserve"> of an analyst’s reputation</w:t>
      </w:r>
      <w:r w:rsidR="00017274" w:rsidRPr="000F3CBF">
        <w:rPr>
          <w:sz w:val="20"/>
          <w:szCs w:val="20"/>
        </w:rPr>
        <w:t xml:space="preserve"> provides a </w:t>
      </w:r>
      <w:r w:rsidR="004D7CD5" w:rsidRPr="000F3CBF">
        <w:rPr>
          <w:sz w:val="20"/>
          <w:szCs w:val="20"/>
        </w:rPr>
        <w:t xml:space="preserve">potential </w:t>
      </w:r>
      <w:r w:rsidR="00C2141E" w:rsidRPr="000F3CBF">
        <w:rPr>
          <w:sz w:val="20"/>
          <w:szCs w:val="20"/>
        </w:rPr>
        <w:t>counter-</w:t>
      </w:r>
      <w:r w:rsidR="00017274" w:rsidRPr="000F3CBF">
        <w:rPr>
          <w:sz w:val="20"/>
          <w:szCs w:val="20"/>
        </w:rPr>
        <w:t>force against</w:t>
      </w:r>
      <w:r w:rsidR="007809FF" w:rsidRPr="000F3CBF">
        <w:rPr>
          <w:sz w:val="20"/>
          <w:szCs w:val="20"/>
        </w:rPr>
        <w:t xml:space="preserve"> any</w:t>
      </w:r>
      <w:r w:rsidR="00C4773B">
        <w:rPr>
          <w:sz w:val="20"/>
          <w:szCs w:val="20"/>
        </w:rPr>
        <w:t xml:space="preserve"> </w:t>
      </w:r>
      <w:proofErr w:type="gramStart"/>
      <w:r w:rsidR="00C4773B">
        <w:rPr>
          <w:sz w:val="20"/>
          <w:szCs w:val="20"/>
        </w:rPr>
        <w:t xml:space="preserve">strategic </w:t>
      </w:r>
      <w:r w:rsidR="00017274" w:rsidRPr="000F3CBF">
        <w:rPr>
          <w:sz w:val="20"/>
          <w:szCs w:val="20"/>
        </w:rPr>
        <w:t xml:space="preserve"> reporting</w:t>
      </w:r>
      <w:proofErr w:type="gramEnd"/>
      <w:r w:rsidR="007809FF" w:rsidRPr="000F3CBF">
        <w:rPr>
          <w:sz w:val="20"/>
          <w:szCs w:val="20"/>
        </w:rPr>
        <w:t xml:space="preserve"> bias. </w:t>
      </w:r>
      <w:r w:rsidR="006D7FA7" w:rsidRPr="000F3CBF">
        <w:rPr>
          <w:sz w:val="20"/>
          <w:szCs w:val="20"/>
        </w:rPr>
        <w:t xml:space="preserve"> </w:t>
      </w:r>
      <w:r w:rsidR="004D7CD5" w:rsidRPr="000F3CBF">
        <w:rPr>
          <w:sz w:val="20"/>
          <w:szCs w:val="20"/>
        </w:rPr>
        <w:t>In addition, b</w:t>
      </w:r>
      <w:r w:rsidR="00E879EC" w:rsidRPr="000F3CBF">
        <w:rPr>
          <w:sz w:val="20"/>
          <w:szCs w:val="20"/>
        </w:rPr>
        <w:t>ehavioral theory</w:t>
      </w:r>
      <w:r w:rsidR="005A657F" w:rsidRPr="000F3CBF">
        <w:rPr>
          <w:sz w:val="20"/>
          <w:szCs w:val="20"/>
        </w:rPr>
        <w:t xml:space="preserve"> suggest</w:t>
      </w:r>
      <w:r w:rsidR="00734A73" w:rsidRPr="000F3CBF">
        <w:rPr>
          <w:sz w:val="20"/>
          <w:szCs w:val="20"/>
        </w:rPr>
        <w:t>s</w:t>
      </w:r>
      <w:r w:rsidR="005A657F" w:rsidRPr="000F3CBF">
        <w:rPr>
          <w:sz w:val="20"/>
          <w:szCs w:val="20"/>
        </w:rPr>
        <w:t xml:space="preserve"> that</w:t>
      </w:r>
      <w:r w:rsidR="00E879EC" w:rsidRPr="000F3CBF">
        <w:rPr>
          <w:sz w:val="20"/>
          <w:szCs w:val="20"/>
        </w:rPr>
        <w:t xml:space="preserve"> analyst ownership could create</w:t>
      </w:r>
      <w:r w:rsidR="005A657F" w:rsidRPr="000F3CBF">
        <w:rPr>
          <w:sz w:val="20"/>
          <w:szCs w:val="20"/>
        </w:rPr>
        <w:t xml:space="preserve"> an inside view which results in a lack of</w:t>
      </w:r>
      <w:r w:rsidR="00E879EC" w:rsidRPr="000F3CBF">
        <w:rPr>
          <w:sz w:val="20"/>
          <w:szCs w:val="20"/>
        </w:rPr>
        <w:t xml:space="preserve"> reporting</w:t>
      </w:r>
      <w:r w:rsidR="005A657F" w:rsidRPr="000F3CBF">
        <w:rPr>
          <w:sz w:val="20"/>
          <w:szCs w:val="20"/>
        </w:rPr>
        <w:t xml:space="preserve"> objectivity.</w:t>
      </w:r>
      <w:r w:rsidR="00E879EC" w:rsidRPr="000F3CBF">
        <w:rPr>
          <w:sz w:val="20"/>
          <w:szCs w:val="20"/>
        </w:rPr>
        <w:t xml:space="preserve">  Such an outcome would be a nonstrategic bias.</w:t>
      </w:r>
      <w:r w:rsidR="005A657F" w:rsidRPr="000F3CBF">
        <w:rPr>
          <w:sz w:val="20"/>
          <w:szCs w:val="20"/>
        </w:rPr>
        <w:t xml:space="preserve">  </w:t>
      </w:r>
    </w:p>
    <w:p w:rsidR="007809FF" w:rsidRPr="000F3CBF" w:rsidRDefault="002848C9" w:rsidP="00550D89">
      <w:pPr>
        <w:spacing w:line="480" w:lineRule="auto"/>
        <w:ind w:firstLine="360"/>
        <w:rPr>
          <w:sz w:val="20"/>
          <w:szCs w:val="20"/>
        </w:rPr>
      </w:pPr>
      <w:r w:rsidRPr="000F3CBF">
        <w:rPr>
          <w:sz w:val="20"/>
          <w:szCs w:val="20"/>
        </w:rPr>
        <w:lastRenderedPageBreak/>
        <w:t>Government and regulatory authorities desire a fair and well functioning capital</w:t>
      </w:r>
      <w:r w:rsidR="005E4F05" w:rsidRPr="000F3CBF">
        <w:rPr>
          <w:sz w:val="20"/>
          <w:szCs w:val="20"/>
        </w:rPr>
        <w:t xml:space="preserve"> market.  Therefore they</w:t>
      </w:r>
      <w:r w:rsidRPr="000F3CBF">
        <w:rPr>
          <w:sz w:val="20"/>
          <w:szCs w:val="20"/>
        </w:rPr>
        <w:t xml:space="preserve"> are sensitive to investors or potential</w:t>
      </w:r>
      <w:r w:rsidR="005E4F05" w:rsidRPr="000F3CBF">
        <w:rPr>
          <w:sz w:val="20"/>
          <w:szCs w:val="20"/>
        </w:rPr>
        <w:t xml:space="preserve"> investors receiving</w:t>
      </w:r>
      <w:r w:rsidRPr="000F3CBF">
        <w:rPr>
          <w:sz w:val="20"/>
          <w:szCs w:val="20"/>
        </w:rPr>
        <w:t xml:space="preserve"> biased advice.</w:t>
      </w:r>
      <w:r w:rsidR="00D058BD" w:rsidRPr="000F3CBF">
        <w:rPr>
          <w:sz w:val="20"/>
          <w:szCs w:val="20"/>
        </w:rPr>
        <w:t xml:space="preserve">  </w:t>
      </w:r>
      <w:r w:rsidR="00237959" w:rsidRPr="000F3CBF">
        <w:rPr>
          <w:sz w:val="20"/>
          <w:szCs w:val="20"/>
        </w:rPr>
        <w:t>The SEC is currently pursuing a legal case against one analyst, alleging that he failed to tell investors that he owned stock in two public companies for which he issued a buy recommendation</w:t>
      </w:r>
      <w:r w:rsidR="005F22C4" w:rsidRPr="000F3CBF">
        <w:rPr>
          <w:sz w:val="20"/>
          <w:szCs w:val="20"/>
        </w:rPr>
        <w:t xml:space="preserve"> (Solomon, 2005)</w:t>
      </w:r>
      <w:r w:rsidR="00237959" w:rsidRPr="000F3CBF">
        <w:rPr>
          <w:sz w:val="20"/>
          <w:szCs w:val="20"/>
        </w:rPr>
        <w:t xml:space="preserve">.  </w:t>
      </w:r>
      <w:r w:rsidR="00550D89" w:rsidRPr="000F3CBF">
        <w:rPr>
          <w:sz w:val="20"/>
          <w:szCs w:val="20"/>
        </w:rPr>
        <w:t>Recent regulatory changes now prohibit analysts f</w:t>
      </w:r>
      <w:r w:rsidR="00C2141E" w:rsidRPr="000F3CBF">
        <w:rPr>
          <w:sz w:val="20"/>
          <w:szCs w:val="20"/>
        </w:rPr>
        <w:t xml:space="preserve">rom obtaining restricted shares. </w:t>
      </w:r>
      <w:r w:rsidR="00550D89" w:rsidRPr="000F3CBF">
        <w:rPr>
          <w:sz w:val="20"/>
          <w:szCs w:val="20"/>
        </w:rPr>
        <w:t xml:space="preserve"> </w:t>
      </w:r>
      <w:r w:rsidR="00C2141E" w:rsidRPr="000F3CBF">
        <w:rPr>
          <w:sz w:val="20"/>
          <w:szCs w:val="20"/>
        </w:rPr>
        <w:t>C</w:t>
      </w:r>
      <w:r w:rsidR="00556C25" w:rsidRPr="000F3CBF">
        <w:rPr>
          <w:sz w:val="20"/>
          <w:szCs w:val="20"/>
        </w:rPr>
        <w:t xml:space="preserve">lear and explicit disclosure of ownership is now required (NYSE Rule 472) </w:t>
      </w:r>
      <w:r w:rsidR="00550D89" w:rsidRPr="000F3CBF">
        <w:rPr>
          <w:sz w:val="20"/>
          <w:szCs w:val="20"/>
        </w:rPr>
        <w:t>and many brokerage firms have adopted policies prohibiting analysts from owni</w:t>
      </w:r>
      <w:r w:rsidR="00556C25" w:rsidRPr="000F3CBF">
        <w:rPr>
          <w:sz w:val="20"/>
          <w:szCs w:val="20"/>
        </w:rPr>
        <w:t>ng the stocks that they cover.</w:t>
      </w:r>
      <w:r w:rsidR="00550D89" w:rsidRPr="000F3CBF">
        <w:rPr>
          <w:sz w:val="20"/>
          <w:szCs w:val="20"/>
        </w:rPr>
        <w:t xml:space="preserve">  </w:t>
      </w:r>
      <w:r w:rsidR="00E93252">
        <w:rPr>
          <w:sz w:val="20"/>
          <w:szCs w:val="20"/>
        </w:rPr>
        <w:t>This paper explores the influence</w:t>
      </w:r>
      <w:r w:rsidR="00D058BD" w:rsidRPr="000F3CBF">
        <w:rPr>
          <w:sz w:val="20"/>
          <w:szCs w:val="20"/>
        </w:rPr>
        <w:t xml:space="preserve"> of analyst stock ownership on their primary report outputs</w:t>
      </w:r>
      <w:r w:rsidR="00556C25" w:rsidRPr="000F3CBF">
        <w:rPr>
          <w:sz w:val="20"/>
          <w:szCs w:val="20"/>
        </w:rPr>
        <w:t xml:space="preserve"> in the period prior to these reforms</w:t>
      </w:r>
      <w:r w:rsidR="0068395C" w:rsidRPr="000F3CBF">
        <w:rPr>
          <w:sz w:val="20"/>
          <w:szCs w:val="20"/>
        </w:rPr>
        <w:t>.</w:t>
      </w:r>
      <w:r w:rsidR="00072B18" w:rsidRPr="000F3CBF">
        <w:rPr>
          <w:sz w:val="20"/>
          <w:szCs w:val="20"/>
        </w:rPr>
        <w:t xml:space="preserve">  </w:t>
      </w:r>
    </w:p>
    <w:p w:rsidR="006C412A" w:rsidRPr="000F3CBF" w:rsidRDefault="005A657F" w:rsidP="00D058BD">
      <w:pPr>
        <w:autoSpaceDE w:val="0"/>
        <w:autoSpaceDN w:val="0"/>
        <w:adjustRightInd w:val="0"/>
        <w:spacing w:line="480" w:lineRule="auto"/>
        <w:ind w:firstLine="360"/>
        <w:rPr>
          <w:sz w:val="20"/>
          <w:szCs w:val="20"/>
        </w:rPr>
      </w:pPr>
      <w:r w:rsidRPr="000F3CBF">
        <w:rPr>
          <w:sz w:val="20"/>
          <w:szCs w:val="20"/>
        </w:rPr>
        <w:t>I employ</w:t>
      </w:r>
      <w:r w:rsidR="006C412A" w:rsidRPr="000F3CBF">
        <w:rPr>
          <w:sz w:val="20"/>
          <w:szCs w:val="20"/>
        </w:rPr>
        <w:t xml:space="preserve"> two </w:t>
      </w:r>
      <w:r w:rsidR="00017274" w:rsidRPr="000F3CBF">
        <w:rPr>
          <w:sz w:val="20"/>
          <w:szCs w:val="20"/>
        </w:rPr>
        <w:t>samples of analysts who provide</w:t>
      </w:r>
      <w:r w:rsidR="006C412A" w:rsidRPr="000F3CBF">
        <w:rPr>
          <w:sz w:val="20"/>
          <w:szCs w:val="20"/>
        </w:rPr>
        <w:t xml:space="preserve"> research coverage on stocks th</w:t>
      </w:r>
      <w:r w:rsidR="00017274" w:rsidRPr="000F3CBF">
        <w:rPr>
          <w:sz w:val="20"/>
          <w:szCs w:val="20"/>
        </w:rPr>
        <w:t>ey own</w:t>
      </w:r>
      <w:r w:rsidR="006C412A" w:rsidRPr="000F3CBF">
        <w:rPr>
          <w:sz w:val="20"/>
          <w:szCs w:val="20"/>
        </w:rPr>
        <w:t>.  Each sample</w:t>
      </w:r>
      <w:r w:rsidR="00CD5DDB" w:rsidRPr="000F3CBF">
        <w:rPr>
          <w:sz w:val="20"/>
          <w:szCs w:val="20"/>
        </w:rPr>
        <w:t xml:space="preserve"> has its </w:t>
      </w:r>
      <w:r w:rsidR="006C412A" w:rsidRPr="000F3CBF">
        <w:rPr>
          <w:sz w:val="20"/>
          <w:szCs w:val="20"/>
        </w:rPr>
        <w:t>advantage</w:t>
      </w:r>
      <w:r w:rsidR="00CD5DDB" w:rsidRPr="000F3CBF">
        <w:rPr>
          <w:sz w:val="20"/>
          <w:szCs w:val="20"/>
        </w:rPr>
        <w:t>s</w:t>
      </w:r>
      <w:r w:rsidR="006C412A" w:rsidRPr="000F3CBF">
        <w:rPr>
          <w:sz w:val="20"/>
          <w:szCs w:val="20"/>
        </w:rPr>
        <w:t xml:space="preserve">.  </w:t>
      </w:r>
      <w:r w:rsidRPr="000F3CBF">
        <w:rPr>
          <w:sz w:val="20"/>
          <w:szCs w:val="20"/>
        </w:rPr>
        <w:t>T</w:t>
      </w:r>
      <w:r w:rsidR="005E4F05" w:rsidRPr="000F3CBF">
        <w:rPr>
          <w:sz w:val="20"/>
          <w:szCs w:val="20"/>
        </w:rPr>
        <w:t>he Form 144 sample</w:t>
      </w:r>
      <w:r w:rsidR="006C412A" w:rsidRPr="000F3CBF">
        <w:rPr>
          <w:sz w:val="20"/>
          <w:szCs w:val="20"/>
        </w:rPr>
        <w:t xml:space="preserve"> </w:t>
      </w:r>
      <w:r w:rsidRPr="000F3CBF">
        <w:rPr>
          <w:sz w:val="20"/>
          <w:szCs w:val="20"/>
        </w:rPr>
        <w:t>results from</w:t>
      </w:r>
      <w:r w:rsidR="006C412A" w:rsidRPr="000F3CBF">
        <w:rPr>
          <w:sz w:val="20"/>
          <w:szCs w:val="20"/>
        </w:rPr>
        <w:t xml:space="preserve"> matching analyst </w:t>
      </w:r>
      <w:r w:rsidR="005E4F05" w:rsidRPr="000F3CBF">
        <w:rPr>
          <w:sz w:val="20"/>
          <w:szCs w:val="20"/>
        </w:rPr>
        <w:t xml:space="preserve">names to SEC Form 144 filings.  </w:t>
      </w:r>
      <w:r w:rsidR="006C412A" w:rsidRPr="000F3CBF">
        <w:rPr>
          <w:sz w:val="20"/>
          <w:szCs w:val="20"/>
        </w:rPr>
        <w:t>A Form 144 is required for the sale of restricted stock if the stock is sold within a specified timeframe.</w:t>
      </w:r>
      <w:r w:rsidR="00D96D00" w:rsidRPr="000F3CBF">
        <w:rPr>
          <w:sz w:val="20"/>
          <w:szCs w:val="20"/>
        </w:rPr>
        <w:t xml:space="preserve">  </w:t>
      </w:r>
      <w:r w:rsidR="005E4F05" w:rsidRPr="000F3CBF">
        <w:rPr>
          <w:sz w:val="20"/>
          <w:szCs w:val="20"/>
        </w:rPr>
        <w:t>(</w:t>
      </w:r>
      <w:r w:rsidR="00D96D00" w:rsidRPr="000F3CBF">
        <w:rPr>
          <w:sz w:val="20"/>
          <w:szCs w:val="20"/>
        </w:rPr>
        <w:t>See 3.1.1 for details.</w:t>
      </w:r>
      <w:r w:rsidR="006C412A" w:rsidRPr="000F3CBF">
        <w:rPr>
          <w:sz w:val="20"/>
          <w:szCs w:val="20"/>
        </w:rPr>
        <w:t xml:space="preserve">)  These restricted-stock-owning analysts may not have otherwise disclosed their stock </w:t>
      </w:r>
      <w:proofErr w:type="gramStart"/>
      <w:r w:rsidR="006C412A" w:rsidRPr="000F3CBF">
        <w:rPr>
          <w:sz w:val="20"/>
          <w:szCs w:val="20"/>
        </w:rPr>
        <w:t>ownersh</w:t>
      </w:r>
      <w:r w:rsidR="00C2141E" w:rsidRPr="000F3CBF">
        <w:rPr>
          <w:sz w:val="20"/>
          <w:szCs w:val="20"/>
        </w:rPr>
        <w:t>ip,</w:t>
      </w:r>
      <w:proofErr w:type="gramEnd"/>
      <w:r w:rsidR="006C412A" w:rsidRPr="000F3CBF">
        <w:rPr>
          <w:sz w:val="20"/>
          <w:szCs w:val="20"/>
        </w:rPr>
        <w:t xml:space="preserve"> therefore market participants may not have been aware of the potential conflict of interest.  </w:t>
      </w:r>
      <w:r w:rsidR="00E33DEC" w:rsidRPr="000F3CBF">
        <w:rPr>
          <w:sz w:val="20"/>
          <w:szCs w:val="20"/>
        </w:rPr>
        <w:t>Theo</w:t>
      </w:r>
      <w:r w:rsidRPr="000F3CBF">
        <w:rPr>
          <w:sz w:val="20"/>
          <w:szCs w:val="20"/>
        </w:rPr>
        <w:t>ry suggests</w:t>
      </w:r>
      <w:r w:rsidR="00C2141E" w:rsidRPr="000F3CBF">
        <w:rPr>
          <w:sz w:val="20"/>
          <w:szCs w:val="20"/>
        </w:rPr>
        <w:t xml:space="preserve"> that</w:t>
      </w:r>
      <w:r w:rsidRPr="000F3CBF">
        <w:rPr>
          <w:sz w:val="20"/>
          <w:szCs w:val="20"/>
        </w:rPr>
        <w:t xml:space="preserve"> </w:t>
      </w:r>
      <w:r w:rsidR="00E33DEC" w:rsidRPr="000F3CBF">
        <w:rPr>
          <w:sz w:val="20"/>
          <w:szCs w:val="20"/>
        </w:rPr>
        <w:t xml:space="preserve">the analyst is likely to </w:t>
      </w:r>
      <w:r w:rsidR="000F3CBF">
        <w:rPr>
          <w:sz w:val="20"/>
          <w:szCs w:val="20"/>
        </w:rPr>
        <w:t xml:space="preserve">report </w:t>
      </w:r>
      <w:r w:rsidR="00E33DEC" w:rsidRPr="000F3CBF">
        <w:rPr>
          <w:sz w:val="20"/>
          <w:szCs w:val="20"/>
        </w:rPr>
        <w:t>optimis</w:t>
      </w:r>
      <w:r w:rsidR="000F3CBF">
        <w:rPr>
          <w:sz w:val="20"/>
          <w:szCs w:val="20"/>
        </w:rPr>
        <w:t>tically under</w:t>
      </w:r>
      <w:r w:rsidR="00474CA3" w:rsidRPr="000F3CBF">
        <w:rPr>
          <w:sz w:val="20"/>
          <w:szCs w:val="20"/>
        </w:rPr>
        <w:t xml:space="preserve"> these circumstances</w:t>
      </w:r>
      <w:r w:rsidR="00017274" w:rsidRPr="000F3CBF">
        <w:rPr>
          <w:sz w:val="20"/>
          <w:szCs w:val="20"/>
        </w:rPr>
        <w:t xml:space="preserve"> (Morgan and </w:t>
      </w:r>
      <w:proofErr w:type="spellStart"/>
      <w:r w:rsidR="00017274" w:rsidRPr="000F3CBF">
        <w:rPr>
          <w:sz w:val="20"/>
          <w:szCs w:val="20"/>
        </w:rPr>
        <w:t>Stocken</w:t>
      </w:r>
      <w:proofErr w:type="spellEnd"/>
      <w:r w:rsidR="00017274" w:rsidRPr="000F3CBF">
        <w:rPr>
          <w:sz w:val="20"/>
          <w:szCs w:val="20"/>
        </w:rPr>
        <w:t>, 2003)</w:t>
      </w:r>
      <w:r w:rsidR="00E33DEC" w:rsidRPr="000F3CBF">
        <w:rPr>
          <w:sz w:val="20"/>
          <w:szCs w:val="20"/>
        </w:rPr>
        <w:t xml:space="preserve">.  </w:t>
      </w:r>
      <w:r w:rsidR="000F3CBF">
        <w:rPr>
          <w:sz w:val="20"/>
          <w:szCs w:val="20"/>
        </w:rPr>
        <w:t>This sample also</w:t>
      </w:r>
      <w:r w:rsidR="006C412A" w:rsidRPr="000F3CBF">
        <w:rPr>
          <w:sz w:val="20"/>
          <w:szCs w:val="20"/>
        </w:rPr>
        <w:t xml:space="preserve"> provides a cross-section of owning analysts from different brokerage </w:t>
      </w:r>
      <w:proofErr w:type="gramStart"/>
      <w:r w:rsidR="006C412A" w:rsidRPr="000F3CBF">
        <w:rPr>
          <w:sz w:val="20"/>
          <w:szCs w:val="20"/>
        </w:rPr>
        <w:t>firms</w:t>
      </w:r>
      <w:r w:rsidR="00385274" w:rsidRPr="000F3CBF">
        <w:rPr>
          <w:sz w:val="20"/>
          <w:szCs w:val="20"/>
        </w:rPr>
        <w:t>,</w:t>
      </w:r>
      <w:proofErr w:type="gramEnd"/>
      <w:r w:rsidR="00385274" w:rsidRPr="000F3CBF">
        <w:rPr>
          <w:sz w:val="20"/>
          <w:szCs w:val="20"/>
        </w:rPr>
        <w:t xml:space="preserve"> however, the firms represented are</w:t>
      </w:r>
      <w:r w:rsidR="00017274" w:rsidRPr="000F3CBF">
        <w:rPr>
          <w:sz w:val="20"/>
          <w:szCs w:val="20"/>
        </w:rPr>
        <w:t xml:space="preserve"> generally</w:t>
      </w:r>
      <w:r w:rsidR="008308CE" w:rsidRPr="000F3CBF">
        <w:rPr>
          <w:sz w:val="20"/>
          <w:szCs w:val="20"/>
        </w:rPr>
        <w:t xml:space="preserve"> larg</w:t>
      </w:r>
      <w:r w:rsidR="004D7CD5" w:rsidRPr="000F3CBF">
        <w:rPr>
          <w:sz w:val="20"/>
          <w:szCs w:val="20"/>
        </w:rPr>
        <w:t>e</w:t>
      </w:r>
      <w:r w:rsidR="006C412A" w:rsidRPr="000F3CBF">
        <w:rPr>
          <w:sz w:val="20"/>
          <w:szCs w:val="20"/>
        </w:rPr>
        <w:t>.</w:t>
      </w:r>
      <w:r w:rsidR="004D7CD5" w:rsidRPr="000F3CBF">
        <w:rPr>
          <w:sz w:val="20"/>
          <w:szCs w:val="20"/>
        </w:rPr>
        <w:t xml:space="preserve">  The</w:t>
      </w:r>
      <w:r w:rsidR="000F3CBF">
        <w:rPr>
          <w:sz w:val="20"/>
          <w:szCs w:val="20"/>
        </w:rPr>
        <w:t xml:space="preserve"> 144</w:t>
      </w:r>
      <w:r w:rsidR="007259A8" w:rsidRPr="000F3CBF">
        <w:rPr>
          <w:sz w:val="20"/>
          <w:szCs w:val="20"/>
        </w:rPr>
        <w:t xml:space="preserve"> </w:t>
      </w:r>
      <w:r w:rsidR="00E33DEC" w:rsidRPr="000F3CBF">
        <w:rPr>
          <w:sz w:val="20"/>
          <w:szCs w:val="20"/>
        </w:rPr>
        <w:t>sample</w:t>
      </w:r>
      <w:r w:rsidR="000F3CBF">
        <w:rPr>
          <w:sz w:val="20"/>
          <w:szCs w:val="20"/>
        </w:rPr>
        <w:t xml:space="preserve"> is</w:t>
      </w:r>
      <w:r w:rsidR="005E4F05" w:rsidRPr="000F3CBF">
        <w:rPr>
          <w:sz w:val="20"/>
          <w:szCs w:val="20"/>
        </w:rPr>
        <w:t xml:space="preserve"> all</w:t>
      </w:r>
      <w:r w:rsidR="00BA3793" w:rsidRPr="000F3CBF">
        <w:rPr>
          <w:sz w:val="20"/>
          <w:szCs w:val="20"/>
        </w:rPr>
        <w:t xml:space="preserve"> IPO companie</w:t>
      </w:r>
      <w:r w:rsidR="00D4519C" w:rsidRPr="000F3CBF">
        <w:rPr>
          <w:sz w:val="20"/>
          <w:szCs w:val="20"/>
        </w:rPr>
        <w:t>s</w:t>
      </w:r>
      <w:r w:rsidR="005E4F05" w:rsidRPr="000F3CBF">
        <w:rPr>
          <w:sz w:val="20"/>
          <w:szCs w:val="20"/>
        </w:rPr>
        <w:t>,</w:t>
      </w:r>
      <w:r w:rsidR="00D4519C" w:rsidRPr="000F3CBF">
        <w:rPr>
          <w:sz w:val="20"/>
          <w:szCs w:val="20"/>
        </w:rPr>
        <w:t xml:space="preserve"> as </w:t>
      </w:r>
      <w:r w:rsidR="00E33DEC" w:rsidRPr="000F3CBF">
        <w:rPr>
          <w:sz w:val="20"/>
          <w:szCs w:val="20"/>
        </w:rPr>
        <w:t>the analyst sells her</w:t>
      </w:r>
      <w:r w:rsidR="00D96D00" w:rsidRPr="000F3CBF">
        <w:rPr>
          <w:sz w:val="20"/>
          <w:szCs w:val="20"/>
        </w:rPr>
        <w:t xml:space="preserve"> restricted</w:t>
      </w:r>
      <w:r w:rsidR="00E33DEC" w:rsidRPr="000F3CBF">
        <w:rPr>
          <w:sz w:val="20"/>
          <w:szCs w:val="20"/>
        </w:rPr>
        <w:t xml:space="preserve"> shares shortly after</w:t>
      </w:r>
      <w:r w:rsidR="00D4519C" w:rsidRPr="000F3CBF">
        <w:rPr>
          <w:sz w:val="20"/>
          <w:szCs w:val="20"/>
        </w:rPr>
        <w:t xml:space="preserve"> the IPO.</w:t>
      </w:r>
      <w:r w:rsidR="006C412A" w:rsidRPr="000F3CBF">
        <w:rPr>
          <w:sz w:val="20"/>
          <w:szCs w:val="20"/>
        </w:rPr>
        <w:t xml:space="preserve">  </w:t>
      </w:r>
      <w:r w:rsidR="005E4F05" w:rsidRPr="000F3CBF">
        <w:rPr>
          <w:sz w:val="20"/>
          <w:szCs w:val="20"/>
        </w:rPr>
        <w:t>I obtain the</w:t>
      </w:r>
      <w:r w:rsidR="00B0503D" w:rsidRPr="000F3CBF">
        <w:rPr>
          <w:sz w:val="20"/>
          <w:szCs w:val="20"/>
        </w:rPr>
        <w:t xml:space="preserve"> second sample</w:t>
      </w:r>
      <w:r w:rsidR="005E4F05" w:rsidRPr="000F3CBF">
        <w:rPr>
          <w:sz w:val="20"/>
          <w:szCs w:val="20"/>
        </w:rPr>
        <w:t xml:space="preserve"> </w:t>
      </w:r>
      <w:r w:rsidR="00B0503D" w:rsidRPr="000F3CBF">
        <w:rPr>
          <w:sz w:val="20"/>
          <w:szCs w:val="20"/>
        </w:rPr>
        <w:t>(</w:t>
      </w:r>
      <w:r w:rsidR="006C412A" w:rsidRPr="000F3CBF">
        <w:rPr>
          <w:sz w:val="20"/>
          <w:szCs w:val="20"/>
        </w:rPr>
        <w:t>disclosing</w:t>
      </w:r>
      <w:r w:rsidR="005E4F05" w:rsidRPr="000F3CBF">
        <w:rPr>
          <w:sz w:val="20"/>
          <w:szCs w:val="20"/>
        </w:rPr>
        <w:t xml:space="preserve"> sample</w:t>
      </w:r>
      <w:r w:rsidR="00B0503D" w:rsidRPr="000F3CBF">
        <w:rPr>
          <w:sz w:val="20"/>
          <w:szCs w:val="20"/>
        </w:rPr>
        <w:t>)</w:t>
      </w:r>
      <w:r w:rsidR="006C412A" w:rsidRPr="000F3CBF">
        <w:rPr>
          <w:sz w:val="20"/>
          <w:szCs w:val="20"/>
        </w:rPr>
        <w:t xml:space="preserve"> through analyst owne</w:t>
      </w:r>
      <w:r w:rsidR="005E4F05" w:rsidRPr="000F3CBF">
        <w:rPr>
          <w:sz w:val="20"/>
          <w:szCs w:val="20"/>
        </w:rPr>
        <w:t>rship disclosures in the published</w:t>
      </w:r>
      <w:r w:rsidR="006C412A" w:rsidRPr="000F3CBF">
        <w:rPr>
          <w:sz w:val="20"/>
          <w:szCs w:val="20"/>
        </w:rPr>
        <w:t xml:space="preserve"> reports of one of the few brokerage firms that histor</w:t>
      </w:r>
      <w:r w:rsidR="005E4F05" w:rsidRPr="000F3CBF">
        <w:rPr>
          <w:sz w:val="20"/>
          <w:szCs w:val="20"/>
        </w:rPr>
        <w:t>ically required such disclosure</w:t>
      </w:r>
      <w:r w:rsidR="006C412A" w:rsidRPr="000F3CBF">
        <w:rPr>
          <w:sz w:val="20"/>
          <w:szCs w:val="20"/>
        </w:rPr>
        <w:t>.</w:t>
      </w:r>
      <w:r w:rsidR="006D7FA7" w:rsidRPr="000F3CBF">
        <w:rPr>
          <w:rStyle w:val="FootnoteReference"/>
          <w:sz w:val="20"/>
          <w:szCs w:val="20"/>
        </w:rPr>
        <w:footnoteReference w:id="3"/>
      </w:r>
      <w:r w:rsidR="006C412A" w:rsidRPr="000F3CBF">
        <w:rPr>
          <w:sz w:val="20"/>
          <w:szCs w:val="20"/>
        </w:rPr>
        <w:t xml:space="preserve">  </w:t>
      </w:r>
      <w:r w:rsidR="008308CE" w:rsidRPr="000F3CBF">
        <w:rPr>
          <w:sz w:val="20"/>
          <w:szCs w:val="20"/>
        </w:rPr>
        <w:t>T</w:t>
      </w:r>
      <w:r w:rsidR="005E4F05" w:rsidRPr="000F3CBF">
        <w:rPr>
          <w:sz w:val="20"/>
          <w:szCs w:val="20"/>
        </w:rPr>
        <w:t>he disclosing</w:t>
      </w:r>
      <w:r w:rsidR="00E33DEC" w:rsidRPr="000F3CBF">
        <w:rPr>
          <w:sz w:val="20"/>
          <w:szCs w:val="20"/>
        </w:rPr>
        <w:t xml:space="preserve"> firm is</w:t>
      </w:r>
      <w:r w:rsidR="008308CE" w:rsidRPr="000F3CBF">
        <w:rPr>
          <w:sz w:val="20"/>
          <w:szCs w:val="20"/>
        </w:rPr>
        <w:t xml:space="preserve"> also in the largest </w:t>
      </w:r>
      <w:proofErr w:type="spellStart"/>
      <w:r w:rsidR="008308CE" w:rsidRPr="000F3CBF">
        <w:rPr>
          <w:sz w:val="20"/>
          <w:szCs w:val="20"/>
        </w:rPr>
        <w:t>decile</w:t>
      </w:r>
      <w:proofErr w:type="spellEnd"/>
      <w:r w:rsidR="00E33DEC" w:rsidRPr="000F3CBF">
        <w:rPr>
          <w:sz w:val="20"/>
          <w:szCs w:val="20"/>
        </w:rPr>
        <w:t xml:space="preserve"> of brokerage firms</w:t>
      </w:r>
      <w:r w:rsidR="008308CE" w:rsidRPr="000F3CBF">
        <w:rPr>
          <w:sz w:val="20"/>
          <w:szCs w:val="20"/>
        </w:rPr>
        <w:t xml:space="preserve">.  </w:t>
      </w:r>
      <w:r w:rsidR="006C412A" w:rsidRPr="000F3CBF">
        <w:rPr>
          <w:sz w:val="20"/>
          <w:szCs w:val="20"/>
        </w:rPr>
        <w:t>This sample has the advantage of identifying all of the ownership positions of the disclosing analysts.</w:t>
      </w:r>
      <w:r w:rsidR="005E4F05" w:rsidRPr="000F3CBF">
        <w:rPr>
          <w:sz w:val="20"/>
          <w:szCs w:val="20"/>
        </w:rPr>
        <w:t xml:space="preserve">  The majority of the </w:t>
      </w:r>
      <w:r w:rsidR="00E93252">
        <w:rPr>
          <w:sz w:val="20"/>
          <w:szCs w:val="20"/>
        </w:rPr>
        <w:t xml:space="preserve">disclosing </w:t>
      </w:r>
      <w:r w:rsidR="005E4F05" w:rsidRPr="000F3CBF">
        <w:rPr>
          <w:sz w:val="20"/>
          <w:szCs w:val="20"/>
        </w:rPr>
        <w:t>sample companies are also IPOs</w:t>
      </w:r>
      <w:r w:rsidR="00D4519C" w:rsidRPr="000F3CBF">
        <w:rPr>
          <w:sz w:val="20"/>
          <w:szCs w:val="20"/>
        </w:rPr>
        <w:t xml:space="preserve">, although </w:t>
      </w:r>
      <w:r w:rsidR="003B0AD0" w:rsidRPr="000F3CBF">
        <w:rPr>
          <w:sz w:val="20"/>
          <w:szCs w:val="20"/>
        </w:rPr>
        <w:t>a substantial portion is</w:t>
      </w:r>
      <w:r w:rsidR="00E33DEC" w:rsidRPr="000F3CBF">
        <w:rPr>
          <w:sz w:val="20"/>
          <w:szCs w:val="20"/>
        </w:rPr>
        <w:t xml:space="preserve"> older, well established companies</w:t>
      </w:r>
      <w:r w:rsidR="00D4519C" w:rsidRPr="000F3CBF">
        <w:rPr>
          <w:sz w:val="20"/>
          <w:szCs w:val="20"/>
        </w:rPr>
        <w:t>.</w:t>
      </w:r>
      <w:r w:rsidR="00474CA3" w:rsidRPr="000F3CBF">
        <w:rPr>
          <w:sz w:val="20"/>
          <w:szCs w:val="20"/>
        </w:rPr>
        <w:t xml:space="preserve">  T</w:t>
      </w:r>
      <w:r w:rsidR="00E33DEC" w:rsidRPr="000F3CBF">
        <w:rPr>
          <w:sz w:val="20"/>
          <w:szCs w:val="20"/>
        </w:rPr>
        <w:t>o isolate the effect of stock ownership</w:t>
      </w:r>
      <w:r w:rsidR="00017274" w:rsidRPr="000F3CBF">
        <w:rPr>
          <w:sz w:val="20"/>
          <w:szCs w:val="20"/>
        </w:rPr>
        <w:t xml:space="preserve"> from an underwriting incentive</w:t>
      </w:r>
      <w:r w:rsidR="00E33DEC" w:rsidRPr="000F3CBF">
        <w:rPr>
          <w:sz w:val="20"/>
          <w:szCs w:val="20"/>
        </w:rPr>
        <w:t>, all underwriting relations are identified and controlled for in the empirical tests.</w:t>
      </w:r>
      <w:r w:rsidR="00D058BD" w:rsidRPr="000F3CBF">
        <w:rPr>
          <w:sz w:val="20"/>
          <w:szCs w:val="20"/>
        </w:rPr>
        <w:t xml:space="preserve">  The research design</w:t>
      </w:r>
      <w:r w:rsidR="005E4F05" w:rsidRPr="000F3CBF">
        <w:rPr>
          <w:sz w:val="20"/>
          <w:szCs w:val="20"/>
        </w:rPr>
        <w:t xml:space="preserve"> also</w:t>
      </w:r>
      <w:r w:rsidR="00D058BD" w:rsidRPr="000F3CBF">
        <w:rPr>
          <w:sz w:val="20"/>
          <w:szCs w:val="20"/>
        </w:rPr>
        <w:t xml:space="preserve"> includes tests to differentiate between an optimistic analyst who chooses to own (self-selection) and an owner who reports with bias.</w:t>
      </w:r>
      <w:r w:rsidR="00E93252">
        <w:rPr>
          <w:sz w:val="20"/>
          <w:szCs w:val="20"/>
        </w:rPr>
        <w:t xml:space="preserve">  A summary of results follows.</w:t>
      </w:r>
    </w:p>
    <w:p w:rsidR="00B64195" w:rsidRPr="000F3CBF" w:rsidRDefault="00E93252" w:rsidP="001C123A">
      <w:pPr>
        <w:pStyle w:val="BodyTextIndent"/>
        <w:rPr>
          <w:sz w:val="20"/>
          <w:szCs w:val="20"/>
        </w:rPr>
      </w:pPr>
      <w:r>
        <w:rPr>
          <w:sz w:val="20"/>
          <w:szCs w:val="20"/>
        </w:rPr>
        <w:lastRenderedPageBreak/>
        <w:t>B</w:t>
      </w:r>
      <w:r w:rsidR="001C123A" w:rsidRPr="000F3CBF">
        <w:rPr>
          <w:sz w:val="20"/>
          <w:szCs w:val="20"/>
        </w:rPr>
        <w:t>oth stock-owning and non-stock-owning control analy</w:t>
      </w:r>
      <w:r w:rsidR="001C123A">
        <w:rPr>
          <w:sz w:val="20"/>
          <w:szCs w:val="20"/>
        </w:rPr>
        <w:t>sts issue “Buy” recommendations</w:t>
      </w:r>
      <w:r>
        <w:rPr>
          <w:sz w:val="20"/>
          <w:szCs w:val="20"/>
        </w:rPr>
        <w:t>, on average,</w:t>
      </w:r>
      <w:r w:rsidR="001C123A" w:rsidRPr="000F3CBF">
        <w:rPr>
          <w:sz w:val="20"/>
          <w:szCs w:val="20"/>
        </w:rPr>
        <w:t xml:space="preserve"> during the sample period.</w:t>
      </w:r>
      <w:r w:rsidR="001C123A">
        <w:rPr>
          <w:sz w:val="20"/>
          <w:szCs w:val="20"/>
        </w:rPr>
        <w:t xml:space="preserve"> </w:t>
      </w:r>
      <w:r w:rsidR="00CA541E">
        <w:rPr>
          <w:sz w:val="20"/>
          <w:szCs w:val="20"/>
        </w:rPr>
        <w:t>The results of the</w:t>
      </w:r>
      <w:r w:rsidR="006C412A" w:rsidRPr="000F3CBF">
        <w:rPr>
          <w:sz w:val="20"/>
          <w:szCs w:val="20"/>
        </w:rPr>
        <w:t xml:space="preserve"> ordered </w:t>
      </w:r>
      <w:proofErr w:type="spellStart"/>
      <w:r w:rsidR="006C412A" w:rsidRPr="000F3CBF">
        <w:rPr>
          <w:sz w:val="20"/>
          <w:szCs w:val="20"/>
        </w:rPr>
        <w:t>probit</w:t>
      </w:r>
      <w:proofErr w:type="spellEnd"/>
      <w:r w:rsidR="006C412A" w:rsidRPr="000F3CBF">
        <w:rPr>
          <w:sz w:val="20"/>
          <w:szCs w:val="20"/>
        </w:rPr>
        <w:t xml:space="preserve"> ana</w:t>
      </w:r>
      <w:r w:rsidR="00CA541E">
        <w:rPr>
          <w:sz w:val="20"/>
          <w:szCs w:val="20"/>
        </w:rPr>
        <w:t>lyses</w:t>
      </w:r>
      <w:r w:rsidR="004F4F49">
        <w:rPr>
          <w:sz w:val="20"/>
          <w:szCs w:val="20"/>
        </w:rPr>
        <w:t xml:space="preserve"> for both samples</w:t>
      </w:r>
      <w:r w:rsidR="00CA541E">
        <w:rPr>
          <w:sz w:val="20"/>
          <w:szCs w:val="20"/>
        </w:rPr>
        <w:t xml:space="preserve"> </w:t>
      </w:r>
      <w:r w:rsidR="006C412A" w:rsidRPr="000F3CBF">
        <w:rPr>
          <w:sz w:val="20"/>
          <w:szCs w:val="20"/>
        </w:rPr>
        <w:t>show t</w:t>
      </w:r>
      <w:r w:rsidR="001F4D34" w:rsidRPr="000F3CBF">
        <w:rPr>
          <w:sz w:val="20"/>
          <w:szCs w:val="20"/>
        </w:rPr>
        <w:t>hat stock-owning analysts are mor</w:t>
      </w:r>
      <w:r w:rsidR="00B6133E" w:rsidRPr="000F3CBF">
        <w:rPr>
          <w:sz w:val="20"/>
          <w:szCs w:val="20"/>
        </w:rPr>
        <w:t xml:space="preserve">e likely to issue a less </w:t>
      </w:r>
      <w:r w:rsidR="00E946AA">
        <w:rPr>
          <w:sz w:val="20"/>
          <w:szCs w:val="20"/>
        </w:rPr>
        <w:t>favorable</w:t>
      </w:r>
      <w:r w:rsidR="006C412A" w:rsidRPr="000F3CBF">
        <w:rPr>
          <w:sz w:val="20"/>
          <w:szCs w:val="20"/>
        </w:rPr>
        <w:t xml:space="preserve"> re</w:t>
      </w:r>
      <w:r w:rsidR="00E42C4A">
        <w:rPr>
          <w:sz w:val="20"/>
          <w:szCs w:val="20"/>
        </w:rPr>
        <w:t xml:space="preserve">commendation, relative to </w:t>
      </w:r>
      <w:r w:rsidR="006C412A" w:rsidRPr="000F3CBF">
        <w:rPr>
          <w:sz w:val="20"/>
          <w:szCs w:val="20"/>
        </w:rPr>
        <w:t>non-stock-owni</w:t>
      </w:r>
      <w:r w:rsidR="004F4F49">
        <w:rPr>
          <w:sz w:val="20"/>
          <w:szCs w:val="20"/>
        </w:rPr>
        <w:t xml:space="preserve">ng analysts.  </w:t>
      </w:r>
      <w:r w:rsidR="00CC3BAB">
        <w:rPr>
          <w:sz w:val="20"/>
          <w:szCs w:val="20"/>
        </w:rPr>
        <w:t>A</w:t>
      </w:r>
      <w:r w:rsidR="00592F9A" w:rsidRPr="000F3CBF">
        <w:rPr>
          <w:sz w:val="20"/>
          <w:szCs w:val="20"/>
        </w:rPr>
        <w:t>nnouncement returns</w:t>
      </w:r>
      <w:r w:rsidR="008308CE" w:rsidRPr="000F3CBF">
        <w:rPr>
          <w:sz w:val="20"/>
          <w:szCs w:val="20"/>
        </w:rPr>
        <w:t xml:space="preserve"> around the analysts’ recommendations</w:t>
      </w:r>
      <w:r w:rsidR="00C11CB1">
        <w:rPr>
          <w:sz w:val="20"/>
          <w:szCs w:val="20"/>
        </w:rPr>
        <w:t xml:space="preserve"> </w:t>
      </w:r>
      <w:r w:rsidR="00E42C4A">
        <w:rPr>
          <w:sz w:val="20"/>
          <w:szCs w:val="20"/>
        </w:rPr>
        <w:t>suggest that in most cases</w:t>
      </w:r>
      <w:r w:rsidR="00CC3BAB">
        <w:rPr>
          <w:sz w:val="20"/>
          <w:szCs w:val="20"/>
        </w:rPr>
        <w:t xml:space="preserve"> the market does not assess owner recommendation</w:t>
      </w:r>
      <w:r w:rsidR="00E946AA">
        <w:rPr>
          <w:sz w:val="20"/>
          <w:szCs w:val="20"/>
        </w:rPr>
        <w:t>s</w:t>
      </w:r>
      <w:r w:rsidR="00CC3BAB">
        <w:rPr>
          <w:sz w:val="20"/>
          <w:szCs w:val="20"/>
        </w:rPr>
        <w:t xml:space="preserve"> differently</w:t>
      </w:r>
      <w:r w:rsidR="00592F9A" w:rsidRPr="000F3CBF">
        <w:rPr>
          <w:sz w:val="20"/>
          <w:szCs w:val="20"/>
        </w:rPr>
        <w:t xml:space="preserve">.  </w:t>
      </w:r>
      <w:r w:rsidR="00E33DEC" w:rsidRPr="000F3CBF">
        <w:rPr>
          <w:sz w:val="20"/>
          <w:szCs w:val="20"/>
        </w:rPr>
        <w:t>Where optimism might be expected due to a lack of objectivity or a financial incentive</w:t>
      </w:r>
      <w:r w:rsidR="006C412A" w:rsidRPr="000F3CBF">
        <w:rPr>
          <w:sz w:val="20"/>
          <w:szCs w:val="20"/>
        </w:rPr>
        <w:t xml:space="preserve"> this c</w:t>
      </w:r>
      <w:r w:rsidR="0047046D" w:rsidRPr="000F3CBF">
        <w:rPr>
          <w:sz w:val="20"/>
          <w:szCs w:val="20"/>
        </w:rPr>
        <w:t>autious behavior is surprising.</w:t>
      </w:r>
    </w:p>
    <w:p w:rsidR="0047046D" w:rsidRPr="000F3CBF" w:rsidRDefault="004F4F49" w:rsidP="00E4627F">
      <w:pPr>
        <w:spacing w:line="480" w:lineRule="auto"/>
        <w:ind w:firstLine="360"/>
        <w:rPr>
          <w:sz w:val="20"/>
          <w:szCs w:val="20"/>
        </w:rPr>
      </w:pPr>
      <w:proofErr w:type="spellStart"/>
      <w:r>
        <w:rPr>
          <w:sz w:val="20"/>
          <w:szCs w:val="20"/>
        </w:rPr>
        <w:t>Un</w:t>
      </w:r>
      <w:r w:rsidR="00E93252">
        <w:rPr>
          <w:sz w:val="20"/>
          <w:szCs w:val="20"/>
        </w:rPr>
        <w:t>ivariate</w:t>
      </w:r>
      <w:proofErr w:type="spellEnd"/>
      <w:r w:rsidR="00E93252">
        <w:rPr>
          <w:sz w:val="20"/>
          <w:szCs w:val="20"/>
        </w:rPr>
        <w:t xml:space="preserve"> analysis of earnings forecast errors shows</w:t>
      </w:r>
      <w:r w:rsidR="009C075F">
        <w:rPr>
          <w:sz w:val="20"/>
          <w:szCs w:val="20"/>
        </w:rPr>
        <w:t xml:space="preserve"> owning-</w:t>
      </w:r>
      <w:r>
        <w:rPr>
          <w:sz w:val="20"/>
          <w:szCs w:val="20"/>
        </w:rPr>
        <w:t>analysts are more optimistic than control analysts in both samples. For the 144 sample, the multiva</w:t>
      </w:r>
      <w:r w:rsidR="004D677A">
        <w:rPr>
          <w:sz w:val="20"/>
          <w:szCs w:val="20"/>
        </w:rPr>
        <w:t>riate test</w:t>
      </w:r>
      <w:r>
        <w:rPr>
          <w:sz w:val="20"/>
          <w:szCs w:val="20"/>
        </w:rPr>
        <w:t xml:space="preserve"> fails to support </w:t>
      </w:r>
      <w:r w:rsidR="00B73B3C">
        <w:rPr>
          <w:sz w:val="20"/>
          <w:szCs w:val="20"/>
        </w:rPr>
        <w:t>an association between ownership and</w:t>
      </w:r>
      <w:r>
        <w:rPr>
          <w:sz w:val="20"/>
          <w:szCs w:val="20"/>
        </w:rPr>
        <w:t xml:space="preserve"> optimism.  Additional testing around the sale</w:t>
      </w:r>
      <w:r w:rsidR="00E42C4A">
        <w:rPr>
          <w:sz w:val="20"/>
          <w:szCs w:val="20"/>
        </w:rPr>
        <w:t xml:space="preserve"> of their stock </w:t>
      </w:r>
      <w:r>
        <w:rPr>
          <w:sz w:val="20"/>
          <w:szCs w:val="20"/>
        </w:rPr>
        <w:t>is suggestive of strategic behavior in the 144 sample but the results are</w:t>
      </w:r>
      <w:r w:rsidR="00E42C4A">
        <w:rPr>
          <w:sz w:val="20"/>
          <w:szCs w:val="20"/>
        </w:rPr>
        <w:t xml:space="preserve"> limited to sub-samples and are</w:t>
      </w:r>
      <w:r>
        <w:rPr>
          <w:sz w:val="20"/>
          <w:szCs w:val="20"/>
        </w:rPr>
        <w:t xml:space="preserve"> sensitive to the specification applied.  In the disclosing sample, th</w:t>
      </w:r>
      <w:r w:rsidR="00B73B3C">
        <w:rPr>
          <w:sz w:val="20"/>
          <w:szCs w:val="20"/>
        </w:rPr>
        <w:t xml:space="preserve">e multivariate analysis provides some evidence of </w:t>
      </w:r>
      <w:r w:rsidR="008568CD" w:rsidRPr="000F3CBF">
        <w:rPr>
          <w:sz w:val="20"/>
          <w:szCs w:val="20"/>
        </w:rPr>
        <w:t>an association between stock ownership</w:t>
      </w:r>
      <w:r w:rsidR="00B73B3C">
        <w:rPr>
          <w:sz w:val="20"/>
          <w:szCs w:val="20"/>
        </w:rPr>
        <w:t xml:space="preserve"> and earnings forecast op</w:t>
      </w:r>
      <w:r w:rsidR="00E42C4A">
        <w:rPr>
          <w:sz w:val="20"/>
          <w:szCs w:val="20"/>
        </w:rPr>
        <w:t>timism however, additional testing</w:t>
      </w:r>
      <w:r w:rsidR="00B73B3C">
        <w:rPr>
          <w:sz w:val="20"/>
          <w:szCs w:val="20"/>
        </w:rPr>
        <w:t xml:space="preserve"> </w:t>
      </w:r>
      <w:r w:rsidR="00E42C4A">
        <w:rPr>
          <w:sz w:val="20"/>
          <w:szCs w:val="20"/>
        </w:rPr>
        <w:t>reveals</w:t>
      </w:r>
      <w:r w:rsidR="00121F94" w:rsidRPr="000F3CBF">
        <w:rPr>
          <w:sz w:val="20"/>
          <w:szCs w:val="20"/>
        </w:rPr>
        <w:t xml:space="preserve"> that</w:t>
      </w:r>
      <w:r w:rsidR="00017274" w:rsidRPr="000F3CBF">
        <w:rPr>
          <w:sz w:val="20"/>
          <w:szCs w:val="20"/>
        </w:rPr>
        <w:t xml:space="preserve"> disclosing analysts is</w:t>
      </w:r>
      <w:r w:rsidR="00B73B3C">
        <w:rPr>
          <w:sz w:val="20"/>
          <w:szCs w:val="20"/>
        </w:rPr>
        <w:t>sue</w:t>
      </w:r>
      <w:r w:rsidR="00E42C4A">
        <w:rPr>
          <w:sz w:val="20"/>
          <w:szCs w:val="20"/>
        </w:rPr>
        <w:t xml:space="preserve"> similarly optimistic forecasts </w:t>
      </w:r>
      <w:r w:rsidR="00E93252">
        <w:rPr>
          <w:sz w:val="20"/>
          <w:szCs w:val="20"/>
        </w:rPr>
        <w:t xml:space="preserve">even </w:t>
      </w:r>
      <w:r w:rsidR="00B73B3C">
        <w:rPr>
          <w:sz w:val="20"/>
          <w:szCs w:val="20"/>
        </w:rPr>
        <w:t>when they are</w:t>
      </w:r>
      <w:r w:rsidR="000C2742" w:rsidRPr="000F3CBF">
        <w:rPr>
          <w:sz w:val="20"/>
          <w:szCs w:val="20"/>
        </w:rPr>
        <w:t xml:space="preserve"> not</w:t>
      </w:r>
      <w:r w:rsidR="00B73B3C">
        <w:rPr>
          <w:sz w:val="20"/>
          <w:szCs w:val="20"/>
        </w:rPr>
        <w:t xml:space="preserve"> an owner</w:t>
      </w:r>
      <w:r w:rsidR="00E42C4A">
        <w:rPr>
          <w:sz w:val="20"/>
          <w:szCs w:val="20"/>
        </w:rPr>
        <w:t>.</w:t>
      </w:r>
      <w:r w:rsidR="00B73B3C">
        <w:rPr>
          <w:sz w:val="20"/>
          <w:szCs w:val="20"/>
        </w:rPr>
        <w:t xml:space="preserve"> </w:t>
      </w:r>
      <w:r w:rsidR="00E42C4A">
        <w:rPr>
          <w:sz w:val="20"/>
          <w:szCs w:val="20"/>
        </w:rPr>
        <w:t>Therefore it is difficult to conclude that</w:t>
      </w:r>
      <w:r w:rsidR="00B73B3C">
        <w:rPr>
          <w:sz w:val="20"/>
          <w:szCs w:val="20"/>
        </w:rPr>
        <w:t xml:space="preserve"> ownership is the cause of the optimism.  S</w:t>
      </w:r>
      <w:r w:rsidR="000C2742" w:rsidRPr="000F3CBF">
        <w:rPr>
          <w:sz w:val="20"/>
          <w:szCs w:val="20"/>
        </w:rPr>
        <w:t>uch behavior may reflect</w:t>
      </w:r>
      <w:r w:rsidR="00615756" w:rsidRPr="000F3CBF">
        <w:rPr>
          <w:sz w:val="20"/>
          <w:szCs w:val="20"/>
        </w:rPr>
        <w:t xml:space="preserve"> analyst</w:t>
      </w:r>
      <w:r w:rsidR="00385274" w:rsidRPr="000F3CBF">
        <w:rPr>
          <w:sz w:val="20"/>
          <w:szCs w:val="20"/>
        </w:rPr>
        <w:t xml:space="preserve"> efforts to please</w:t>
      </w:r>
      <w:r w:rsidR="00121F94" w:rsidRPr="000F3CBF">
        <w:rPr>
          <w:sz w:val="20"/>
          <w:szCs w:val="20"/>
        </w:rPr>
        <w:t xml:space="preserve"> company management</w:t>
      </w:r>
      <w:r>
        <w:rPr>
          <w:sz w:val="20"/>
          <w:szCs w:val="20"/>
        </w:rPr>
        <w:t xml:space="preserve"> in an effort to obtain </w:t>
      </w:r>
      <w:r w:rsidR="00385274" w:rsidRPr="000F3CBF">
        <w:rPr>
          <w:sz w:val="20"/>
          <w:szCs w:val="20"/>
        </w:rPr>
        <w:t>information</w:t>
      </w:r>
      <w:r w:rsidR="00E42C4A">
        <w:rPr>
          <w:sz w:val="20"/>
          <w:szCs w:val="20"/>
        </w:rPr>
        <w:t xml:space="preserve"> (Lim, 2001)</w:t>
      </w:r>
      <w:r w:rsidR="00017274" w:rsidRPr="000F3CBF">
        <w:rPr>
          <w:sz w:val="20"/>
          <w:szCs w:val="20"/>
        </w:rPr>
        <w:t>.</w:t>
      </w:r>
    </w:p>
    <w:p w:rsidR="008568CD" w:rsidRPr="000F3CBF" w:rsidRDefault="00B45D83" w:rsidP="00017274">
      <w:pPr>
        <w:spacing w:line="480" w:lineRule="auto"/>
        <w:ind w:firstLine="360"/>
        <w:rPr>
          <w:sz w:val="20"/>
          <w:szCs w:val="20"/>
        </w:rPr>
      </w:pPr>
      <w:r w:rsidRPr="000F3CBF">
        <w:rPr>
          <w:sz w:val="20"/>
          <w:szCs w:val="20"/>
        </w:rPr>
        <w:t>Although common, not all analysts own every stock for which they publish</w:t>
      </w:r>
      <w:r w:rsidR="005E4F05" w:rsidRPr="000F3CBF">
        <w:rPr>
          <w:sz w:val="20"/>
          <w:szCs w:val="20"/>
        </w:rPr>
        <w:t xml:space="preserve"> research.  </w:t>
      </w:r>
      <w:r w:rsidR="00556C25" w:rsidRPr="000F3CBF">
        <w:rPr>
          <w:sz w:val="20"/>
          <w:szCs w:val="20"/>
        </w:rPr>
        <w:t>Therefore, any owning-</w:t>
      </w:r>
      <w:r w:rsidR="005E4F05" w:rsidRPr="000F3CBF">
        <w:rPr>
          <w:sz w:val="20"/>
          <w:szCs w:val="20"/>
        </w:rPr>
        <w:t>analyst reporting</w:t>
      </w:r>
      <w:r w:rsidRPr="000F3CBF">
        <w:rPr>
          <w:sz w:val="20"/>
          <w:szCs w:val="20"/>
        </w:rPr>
        <w:t xml:space="preserve"> bi</w:t>
      </w:r>
      <w:r w:rsidR="00556C25" w:rsidRPr="000F3CBF">
        <w:rPr>
          <w:sz w:val="20"/>
          <w:szCs w:val="20"/>
        </w:rPr>
        <w:t>as is subject to user skepticism</w:t>
      </w:r>
      <w:r w:rsidRPr="000F3CBF">
        <w:rPr>
          <w:sz w:val="20"/>
          <w:szCs w:val="20"/>
        </w:rPr>
        <w:t xml:space="preserve"> since </w:t>
      </w:r>
      <w:r w:rsidR="00E42C4A">
        <w:rPr>
          <w:sz w:val="20"/>
          <w:szCs w:val="20"/>
        </w:rPr>
        <w:t xml:space="preserve">in many cases </w:t>
      </w:r>
      <w:r w:rsidRPr="000F3CBF">
        <w:rPr>
          <w:sz w:val="20"/>
          <w:szCs w:val="20"/>
        </w:rPr>
        <w:t xml:space="preserve">multiple </w:t>
      </w:r>
      <w:r w:rsidR="00556C25" w:rsidRPr="000F3CBF">
        <w:rPr>
          <w:sz w:val="20"/>
          <w:szCs w:val="20"/>
        </w:rPr>
        <w:t xml:space="preserve">non-owning </w:t>
      </w:r>
      <w:r w:rsidRPr="000F3CBF">
        <w:rPr>
          <w:sz w:val="20"/>
          <w:szCs w:val="20"/>
        </w:rPr>
        <w:t xml:space="preserve">analysts </w:t>
      </w:r>
      <w:r w:rsidR="00556C25" w:rsidRPr="000F3CBF">
        <w:rPr>
          <w:sz w:val="20"/>
          <w:szCs w:val="20"/>
        </w:rPr>
        <w:t>also provide reports</w:t>
      </w:r>
      <w:r w:rsidR="005E4F05" w:rsidRPr="000F3CBF">
        <w:rPr>
          <w:sz w:val="20"/>
          <w:szCs w:val="20"/>
        </w:rPr>
        <w:t xml:space="preserve">.  </w:t>
      </w:r>
      <w:r w:rsidR="00E42C4A">
        <w:rPr>
          <w:sz w:val="20"/>
          <w:szCs w:val="20"/>
        </w:rPr>
        <w:t>Being an outlier potentially</w:t>
      </w:r>
      <w:r w:rsidR="00556C25" w:rsidRPr="000F3CBF">
        <w:rPr>
          <w:sz w:val="20"/>
          <w:szCs w:val="20"/>
        </w:rPr>
        <w:t xml:space="preserve"> reduces</w:t>
      </w:r>
      <w:r w:rsidR="00E42C4A">
        <w:rPr>
          <w:sz w:val="20"/>
          <w:szCs w:val="20"/>
        </w:rPr>
        <w:t xml:space="preserve"> any</w:t>
      </w:r>
      <w:r w:rsidR="00556C25" w:rsidRPr="000F3CBF">
        <w:rPr>
          <w:sz w:val="20"/>
          <w:szCs w:val="20"/>
        </w:rPr>
        <w:t xml:space="preserve"> benefit to the analyst</w:t>
      </w:r>
      <w:r w:rsidR="005E4F05" w:rsidRPr="000F3CBF">
        <w:rPr>
          <w:sz w:val="20"/>
          <w:szCs w:val="20"/>
        </w:rPr>
        <w:t xml:space="preserve"> and</w:t>
      </w:r>
      <w:r w:rsidR="00D058BD" w:rsidRPr="000F3CBF">
        <w:rPr>
          <w:sz w:val="20"/>
          <w:szCs w:val="20"/>
        </w:rPr>
        <w:t xml:space="preserve"> risk</w:t>
      </w:r>
      <w:r w:rsidR="005E4F05" w:rsidRPr="000F3CBF">
        <w:rPr>
          <w:sz w:val="20"/>
          <w:szCs w:val="20"/>
        </w:rPr>
        <w:t>s</w:t>
      </w:r>
      <w:r w:rsidRPr="000F3CBF">
        <w:rPr>
          <w:sz w:val="20"/>
          <w:szCs w:val="20"/>
        </w:rPr>
        <w:t xml:space="preserve"> their personal reputation.  </w:t>
      </w:r>
      <w:r w:rsidR="004D677A">
        <w:rPr>
          <w:sz w:val="20"/>
          <w:szCs w:val="20"/>
        </w:rPr>
        <w:t>This scenario</w:t>
      </w:r>
      <w:r w:rsidR="0038376B">
        <w:rPr>
          <w:sz w:val="20"/>
          <w:szCs w:val="20"/>
        </w:rPr>
        <w:t xml:space="preserve"> is similar to </w:t>
      </w:r>
      <w:proofErr w:type="spellStart"/>
      <w:proofErr w:type="gramStart"/>
      <w:r w:rsidR="00B229F0">
        <w:rPr>
          <w:sz w:val="20"/>
          <w:szCs w:val="20"/>
        </w:rPr>
        <w:t>G</w:t>
      </w:r>
      <w:r w:rsidR="004D677A">
        <w:rPr>
          <w:sz w:val="20"/>
          <w:szCs w:val="20"/>
        </w:rPr>
        <w:t>u</w:t>
      </w:r>
      <w:proofErr w:type="spellEnd"/>
      <w:proofErr w:type="gramEnd"/>
      <w:r w:rsidR="004D677A">
        <w:rPr>
          <w:sz w:val="20"/>
          <w:szCs w:val="20"/>
        </w:rPr>
        <w:t xml:space="preserve"> and </w:t>
      </w:r>
      <w:proofErr w:type="spellStart"/>
      <w:r w:rsidR="004D677A">
        <w:rPr>
          <w:sz w:val="20"/>
          <w:szCs w:val="20"/>
        </w:rPr>
        <w:t>Xue’s</w:t>
      </w:r>
      <w:proofErr w:type="spellEnd"/>
      <w:r w:rsidR="004D677A">
        <w:rPr>
          <w:sz w:val="20"/>
          <w:szCs w:val="20"/>
        </w:rPr>
        <w:t xml:space="preserve"> (2008) setting where</w:t>
      </w:r>
      <w:r w:rsidR="00B229F0">
        <w:rPr>
          <w:sz w:val="20"/>
          <w:szCs w:val="20"/>
        </w:rPr>
        <w:t xml:space="preserve"> independent analysts provide implicit monitoring which</w:t>
      </w:r>
      <w:r w:rsidR="0038376B">
        <w:rPr>
          <w:sz w:val="20"/>
          <w:szCs w:val="20"/>
        </w:rPr>
        <w:t xml:space="preserve"> counter</w:t>
      </w:r>
      <w:r w:rsidR="00B229F0">
        <w:rPr>
          <w:sz w:val="20"/>
          <w:szCs w:val="20"/>
        </w:rPr>
        <w:t>s</w:t>
      </w:r>
      <w:r w:rsidR="0038376B">
        <w:rPr>
          <w:sz w:val="20"/>
          <w:szCs w:val="20"/>
        </w:rPr>
        <w:t xml:space="preserve"> investment banking and brokerage incentives. </w:t>
      </w:r>
      <w:r w:rsidR="004D677A">
        <w:rPr>
          <w:sz w:val="20"/>
          <w:szCs w:val="20"/>
        </w:rPr>
        <w:t>S</w:t>
      </w:r>
      <w:r w:rsidR="00385274" w:rsidRPr="000F3CBF">
        <w:rPr>
          <w:sz w:val="20"/>
          <w:szCs w:val="20"/>
        </w:rPr>
        <w:t>tock o</w:t>
      </w:r>
      <w:r w:rsidR="00B229F0">
        <w:rPr>
          <w:sz w:val="20"/>
          <w:szCs w:val="20"/>
        </w:rPr>
        <w:t>wnership therefore</w:t>
      </w:r>
      <w:r w:rsidRPr="000F3CBF">
        <w:rPr>
          <w:sz w:val="20"/>
          <w:szCs w:val="20"/>
        </w:rPr>
        <w:t xml:space="preserve"> differs from </w:t>
      </w:r>
      <w:r w:rsidR="00D058BD" w:rsidRPr="000F3CBF">
        <w:rPr>
          <w:sz w:val="20"/>
          <w:szCs w:val="20"/>
        </w:rPr>
        <w:t>other incentives</w:t>
      </w:r>
      <w:r w:rsidR="004D677A">
        <w:rPr>
          <w:sz w:val="20"/>
          <w:szCs w:val="20"/>
        </w:rPr>
        <w:t>,</w:t>
      </w:r>
      <w:r w:rsidR="00D058BD" w:rsidRPr="000F3CBF">
        <w:rPr>
          <w:sz w:val="20"/>
          <w:szCs w:val="20"/>
        </w:rPr>
        <w:t xml:space="preserve"> like </w:t>
      </w:r>
      <w:r w:rsidRPr="000F3CBF">
        <w:rPr>
          <w:sz w:val="20"/>
          <w:szCs w:val="20"/>
        </w:rPr>
        <w:t>underwriting and management access where many</w:t>
      </w:r>
      <w:r w:rsidR="00B0503D" w:rsidRPr="000F3CBF">
        <w:rPr>
          <w:sz w:val="20"/>
          <w:szCs w:val="20"/>
        </w:rPr>
        <w:t>,</w:t>
      </w:r>
      <w:r w:rsidRPr="000F3CBF">
        <w:rPr>
          <w:sz w:val="20"/>
          <w:szCs w:val="20"/>
        </w:rPr>
        <w:t xml:space="preserve"> if not all</w:t>
      </w:r>
      <w:r w:rsidR="00B0503D" w:rsidRPr="000F3CBF">
        <w:rPr>
          <w:sz w:val="20"/>
          <w:szCs w:val="20"/>
        </w:rPr>
        <w:t>,</w:t>
      </w:r>
      <w:r w:rsidRPr="000F3CBF">
        <w:rPr>
          <w:sz w:val="20"/>
          <w:szCs w:val="20"/>
        </w:rPr>
        <w:t xml:space="preserve"> analysts are attempting to curry favor with company management</w:t>
      </w:r>
      <w:r w:rsidR="0088508C" w:rsidRPr="000F3CBF">
        <w:rPr>
          <w:sz w:val="20"/>
          <w:szCs w:val="20"/>
        </w:rPr>
        <w:t xml:space="preserve"> through optimistic reporting</w:t>
      </w:r>
      <w:r w:rsidR="004D677A">
        <w:rPr>
          <w:sz w:val="20"/>
          <w:szCs w:val="20"/>
        </w:rPr>
        <w:t>, in that non-owning analysts act as implicit monitors.</w:t>
      </w:r>
      <w:r w:rsidR="00237959" w:rsidRPr="000F3CBF">
        <w:rPr>
          <w:sz w:val="20"/>
          <w:szCs w:val="20"/>
        </w:rPr>
        <w:t xml:space="preserve">  In the absence of a detrimental effect, ownership offers a potential benefit as a credible signal of an analyst’s conviction in a company’s prospects.</w:t>
      </w:r>
    </w:p>
    <w:p w:rsidR="00B45D83" w:rsidRPr="000F3CBF" w:rsidRDefault="00B45D83" w:rsidP="00017274">
      <w:pPr>
        <w:spacing w:line="480" w:lineRule="auto"/>
        <w:ind w:firstLine="360"/>
        <w:rPr>
          <w:sz w:val="20"/>
          <w:szCs w:val="20"/>
        </w:rPr>
      </w:pPr>
      <w:r w:rsidRPr="000F3CBF">
        <w:rPr>
          <w:sz w:val="20"/>
          <w:szCs w:val="20"/>
        </w:rPr>
        <w:t xml:space="preserve">This study makes several contributions to the literature.  First, it explores a new incentive which has received regulatory and government interest but heretofore has been absent from </w:t>
      </w:r>
      <w:r w:rsidR="00385274" w:rsidRPr="000F3CBF">
        <w:rPr>
          <w:sz w:val="20"/>
          <w:szCs w:val="20"/>
        </w:rPr>
        <w:t>the academic literature.</w:t>
      </w:r>
      <w:r w:rsidR="00D63AD6" w:rsidRPr="000F3CBF">
        <w:rPr>
          <w:sz w:val="20"/>
          <w:szCs w:val="20"/>
        </w:rPr>
        <w:t xml:space="preserve">  Second, the results support the countervailing role of reputation on personal incentives where there are multiple reporting parties</w:t>
      </w:r>
      <w:r w:rsidR="00D058BD" w:rsidRPr="000F3CBF">
        <w:rPr>
          <w:sz w:val="20"/>
          <w:szCs w:val="20"/>
        </w:rPr>
        <w:t>,</w:t>
      </w:r>
      <w:r w:rsidR="00D63AD6" w:rsidRPr="000F3CBF">
        <w:rPr>
          <w:sz w:val="20"/>
          <w:szCs w:val="20"/>
        </w:rPr>
        <w:t xml:space="preserve"> </w:t>
      </w:r>
      <w:r w:rsidR="00D058BD" w:rsidRPr="000F3CBF">
        <w:rPr>
          <w:sz w:val="20"/>
          <w:szCs w:val="20"/>
        </w:rPr>
        <w:t xml:space="preserve">some </w:t>
      </w:r>
      <w:r w:rsidR="00D058BD" w:rsidRPr="000F3CBF">
        <w:rPr>
          <w:sz w:val="20"/>
          <w:szCs w:val="20"/>
        </w:rPr>
        <w:lastRenderedPageBreak/>
        <w:t>of whom are free of the</w:t>
      </w:r>
      <w:r w:rsidR="00D63AD6" w:rsidRPr="000F3CBF">
        <w:rPr>
          <w:sz w:val="20"/>
          <w:szCs w:val="20"/>
        </w:rPr>
        <w:t xml:space="preserve"> potential conflict of interest.  </w:t>
      </w:r>
      <w:r w:rsidR="005A3469" w:rsidRPr="000F3CBF">
        <w:rPr>
          <w:sz w:val="20"/>
          <w:szCs w:val="20"/>
        </w:rPr>
        <w:t>This study complements the theory work of Morgan</w:t>
      </w:r>
      <w:r w:rsidR="00CD5DDB" w:rsidRPr="000F3CBF">
        <w:rPr>
          <w:sz w:val="20"/>
          <w:szCs w:val="20"/>
        </w:rPr>
        <w:t xml:space="preserve"> and </w:t>
      </w:r>
      <w:proofErr w:type="spellStart"/>
      <w:r w:rsidR="00CD5DDB" w:rsidRPr="000F3CBF">
        <w:rPr>
          <w:sz w:val="20"/>
          <w:szCs w:val="20"/>
        </w:rPr>
        <w:t>Stocken</w:t>
      </w:r>
      <w:proofErr w:type="spellEnd"/>
      <w:r w:rsidR="00CD5DDB" w:rsidRPr="000F3CBF">
        <w:rPr>
          <w:sz w:val="20"/>
          <w:szCs w:val="20"/>
        </w:rPr>
        <w:t xml:space="preserve"> (2003)</w:t>
      </w:r>
      <w:r w:rsidR="00B0503D" w:rsidRPr="000F3CBF">
        <w:rPr>
          <w:sz w:val="20"/>
          <w:szCs w:val="20"/>
        </w:rPr>
        <w:t>,</w:t>
      </w:r>
      <w:r w:rsidR="00CD5DDB" w:rsidRPr="000F3CBF">
        <w:rPr>
          <w:sz w:val="20"/>
          <w:szCs w:val="20"/>
        </w:rPr>
        <w:t xml:space="preserve"> who model</w:t>
      </w:r>
      <w:r w:rsidR="005A3469" w:rsidRPr="000F3CBF">
        <w:rPr>
          <w:sz w:val="20"/>
          <w:szCs w:val="20"/>
        </w:rPr>
        <w:t xml:space="preserve"> a</w:t>
      </w:r>
      <w:r w:rsidR="0038376B">
        <w:rPr>
          <w:sz w:val="20"/>
          <w:szCs w:val="20"/>
        </w:rPr>
        <w:t>n analyst stock ownership</w:t>
      </w:r>
      <w:r w:rsidR="005A3469" w:rsidRPr="000F3CBF">
        <w:rPr>
          <w:sz w:val="20"/>
          <w:szCs w:val="20"/>
        </w:rPr>
        <w:t xml:space="preserve"> setting </w:t>
      </w:r>
      <w:r w:rsidR="0038376B">
        <w:rPr>
          <w:sz w:val="20"/>
          <w:szCs w:val="20"/>
        </w:rPr>
        <w:t xml:space="preserve">but </w:t>
      </w:r>
      <w:r w:rsidR="005A3469" w:rsidRPr="000F3CBF">
        <w:rPr>
          <w:sz w:val="20"/>
          <w:szCs w:val="20"/>
        </w:rPr>
        <w:t xml:space="preserve">with </w:t>
      </w:r>
      <w:r w:rsidR="00556C25" w:rsidRPr="000F3CBF">
        <w:rPr>
          <w:sz w:val="20"/>
          <w:szCs w:val="20"/>
        </w:rPr>
        <w:t xml:space="preserve">only </w:t>
      </w:r>
      <w:r w:rsidR="005A3469" w:rsidRPr="000F3CBF">
        <w:rPr>
          <w:sz w:val="20"/>
          <w:szCs w:val="20"/>
        </w:rPr>
        <w:t>one analyst</w:t>
      </w:r>
      <w:r w:rsidR="00B229F0">
        <w:rPr>
          <w:sz w:val="20"/>
          <w:szCs w:val="20"/>
        </w:rPr>
        <w:t>, as well as the empirical evidence</w:t>
      </w:r>
      <w:r w:rsidR="0038376B">
        <w:rPr>
          <w:sz w:val="20"/>
          <w:szCs w:val="20"/>
        </w:rPr>
        <w:t xml:space="preserve"> of </w:t>
      </w:r>
      <w:proofErr w:type="spellStart"/>
      <w:proofErr w:type="gramStart"/>
      <w:r w:rsidR="0038376B">
        <w:rPr>
          <w:sz w:val="20"/>
          <w:szCs w:val="20"/>
        </w:rPr>
        <w:t>Gu</w:t>
      </w:r>
      <w:proofErr w:type="spellEnd"/>
      <w:proofErr w:type="gramEnd"/>
      <w:r w:rsidR="0038376B">
        <w:rPr>
          <w:sz w:val="20"/>
          <w:szCs w:val="20"/>
        </w:rPr>
        <w:t xml:space="preserve"> and Xue (2008) who explore the beneficial role of independent analysts</w:t>
      </w:r>
      <w:r w:rsidR="005A3469" w:rsidRPr="000F3CBF">
        <w:rPr>
          <w:sz w:val="20"/>
          <w:szCs w:val="20"/>
        </w:rPr>
        <w:t xml:space="preserve">.  </w:t>
      </w:r>
      <w:r w:rsidR="00D63AD6" w:rsidRPr="000F3CBF">
        <w:rPr>
          <w:sz w:val="20"/>
          <w:szCs w:val="20"/>
        </w:rPr>
        <w:t>Last</w:t>
      </w:r>
      <w:r w:rsidR="002C0B60" w:rsidRPr="000F3CBF">
        <w:rPr>
          <w:sz w:val="20"/>
          <w:szCs w:val="20"/>
        </w:rPr>
        <w:t>,</w:t>
      </w:r>
      <w:r w:rsidR="00385274" w:rsidRPr="000F3CBF">
        <w:rPr>
          <w:sz w:val="20"/>
          <w:szCs w:val="20"/>
        </w:rPr>
        <w:t xml:space="preserve"> the results suggest that </w:t>
      </w:r>
      <w:r w:rsidR="00D63AD6" w:rsidRPr="000F3CBF">
        <w:rPr>
          <w:sz w:val="20"/>
          <w:szCs w:val="20"/>
        </w:rPr>
        <w:t xml:space="preserve">brokerage firms and regulatory bodies </w:t>
      </w:r>
      <w:r w:rsidR="00385274" w:rsidRPr="000F3CBF">
        <w:rPr>
          <w:sz w:val="20"/>
          <w:szCs w:val="20"/>
        </w:rPr>
        <w:t>may have overreacted to concerns about the detrimental effects</w:t>
      </w:r>
      <w:r w:rsidR="00D63AD6" w:rsidRPr="000F3CBF">
        <w:rPr>
          <w:sz w:val="20"/>
          <w:szCs w:val="20"/>
        </w:rPr>
        <w:t xml:space="preserve"> of</w:t>
      </w:r>
      <w:r w:rsidR="00385274" w:rsidRPr="000F3CBF">
        <w:rPr>
          <w:sz w:val="20"/>
          <w:szCs w:val="20"/>
        </w:rPr>
        <w:t xml:space="preserve"> analyst</w:t>
      </w:r>
      <w:r w:rsidR="00D63AD6" w:rsidRPr="000F3CBF">
        <w:rPr>
          <w:sz w:val="20"/>
          <w:szCs w:val="20"/>
        </w:rPr>
        <w:t xml:space="preserve"> stock ownership</w:t>
      </w:r>
      <w:r w:rsidR="000F3CBF">
        <w:rPr>
          <w:sz w:val="20"/>
          <w:szCs w:val="20"/>
        </w:rPr>
        <w:t>, on average</w:t>
      </w:r>
      <w:r w:rsidR="00D63AD6" w:rsidRPr="000F3CBF">
        <w:rPr>
          <w:sz w:val="20"/>
          <w:szCs w:val="20"/>
        </w:rPr>
        <w:t>.</w:t>
      </w:r>
    </w:p>
    <w:p w:rsidR="00BB3D1D" w:rsidRDefault="006C412A" w:rsidP="00017274">
      <w:pPr>
        <w:spacing w:line="480" w:lineRule="auto"/>
        <w:ind w:firstLine="360"/>
        <w:rPr>
          <w:sz w:val="20"/>
          <w:szCs w:val="20"/>
        </w:rPr>
      </w:pPr>
      <w:r w:rsidRPr="000F3CBF">
        <w:rPr>
          <w:sz w:val="20"/>
          <w:szCs w:val="20"/>
        </w:rPr>
        <w:t xml:space="preserve">The paper is organized as follows.  </w:t>
      </w:r>
      <w:r w:rsidR="001E50D2" w:rsidRPr="000F3CBF">
        <w:rPr>
          <w:sz w:val="20"/>
          <w:szCs w:val="20"/>
        </w:rPr>
        <w:t>Section 2</w:t>
      </w:r>
      <w:r w:rsidRPr="000F3CBF">
        <w:rPr>
          <w:sz w:val="20"/>
          <w:szCs w:val="20"/>
        </w:rPr>
        <w:t xml:space="preserve"> outl</w:t>
      </w:r>
      <w:r w:rsidR="001E50D2" w:rsidRPr="000F3CBF">
        <w:rPr>
          <w:sz w:val="20"/>
          <w:szCs w:val="20"/>
        </w:rPr>
        <w:t>ines the hypothesis.  Section 3</w:t>
      </w:r>
      <w:r w:rsidRPr="000F3CBF">
        <w:rPr>
          <w:sz w:val="20"/>
          <w:szCs w:val="20"/>
        </w:rPr>
        <w:t xml:space="preserve"> contains the sample selection, some descriptive statistics and outlines the</w:t>
      </w:r>
      <w:r w:rsidR="001E50D2" w:rsidRPr="000F3CBF">
        <w:rPr>
          <w:sz w:val="20"/>
          <w:szCs w:val="20"/>
        </w:rPr>
        <w:t xml:space="preserve"> research design.  Section 4</w:t>
      </w:r>
      <w:r w:rsidRPr="000F3CBF">
        <w:rPr>
          <w:sz w:val="20"/>
          <w:szCs w:val="20"/>
        </w:rPr>
        <w:t xml:space="preserve"> </w:t>
      </w:r>
      <w:r w:rsidR="001E50D2" w:rsidRPr="000F3CBF">
        <w:rPr>
          <w:sz w:val="20"/>
          <w:szCs w:val="20"/>
        </w:rPr>
        <w:t>details the results.  Section 5</w:t>
      </w:r>
      <w:r w:rsidRPr="000F3CBF">
        <w:rPr>
          <w:sz w:val="20"/>
          <w:szCs w:val="20"/>
        </w:rPr>
        <w:t xml:space="preserve"> concludes.</w:t>
      </w:r>
    </w:p>
    <w:p w:rsidR="00B32966" w:rsidRPr="000F3CBF" w:rsidRDefault="00B32966" w:rsidP="00017274">
      <w:pPr>
        <w:spacing w:line="480" w:lineRule="auto"/>
        <w:ind w:firstLine="360"/>
        <w:rPr>
          <w:sz w:val="20"/>
          <w:szCs w:val="20"/>
        </w:rPr>
      </w:pPr>
    </w:p>
    <w:p w:rsidR="006C412A" w:rsidRPr="000F3CBF" w:rsidRDefault="006C412A" w:rsidP="001E50D2">
      <w:pPr>
        <w:numPr>
          <w:ilvl w:val="0"/>
          <w:numId w:val="15"/>
        </w:numPr>
        <w:spacing w:line="480" w:lineRule="auto"/>
        <w:ind w:firstLine="0"/>
        <w:rPr>
          <w:b/>
          <w:sz w:val="20"/>
          <w:szCs w:val="20"/>
        </w:rPr>
      </w:pPr>
      <w:r w:rsidRPr="000F3CBF">
        <w:rPr>
          <w:b/>
          <w:sz w:val="20"/>
          <w:szCs w:val="20"/>
        </w:rPr>
        <w:t>Hypothesis Development</w:t>
      </w:r>
    </w:p>
    <w:p w:rsidR="00241757" w:rsidRPr="000F3CBF" w:rsidRDefault="006C412A" w:rsidP="00241757">
      <w:pPr>
        <w:spacing w:line="480" w:lineRule="auto"/>
        <w:ind w:firstLine="360"/>
        <w:rPr>
          <w:sz w:val="20"/>
          <w:szCs w:val="20"/>
        </w:rPr>
      </w:pPr>
      <w:r w:rsidRPr="000F3CBF">
        <w:rPr>
          <w:sz w:val="20"/>
          <w:szCs w:val="20"/>
        </w:rPr>
        <w:t>Researchers and investors are uncertain about the objective function of analysts.  There is some evidence that analyst compensation may be tied to brokerage firm revenues, including trading commissions and investment banking revenues (</w:t>
      </w:r>
      <w:proofErr w:type="spellStart"/>
      <w:r w:rsidRPr="000F3CBF">
        <w:rPr>
          <w:sz w:val="20"/>
          <w:szCs w:val="20"/>
        </w:rPr>
        <w:t>Michaely</w:t>
      </w:r>
      <w:proofErr w:type="spellEnd"/>
      <w:r w:rsidRPr="000F3CBF">
        <w:rPr>
          <w:sz w:val="20"/>
          <w:szCs w:val="20"/>
        </w:rPr>
        <w:t xml:space="preserve"> and Womack, 1999).  Thus, one element of an anal</w:t>
      </w:r>
      <w:r w:rsidR="000E74E0" w:rsidRPr="000F3CBF">
        <w:rPr>
          <w:sz w:val="20"/>
          <w:szCs w:val="20"/>
        </w:rPr>
        <w:t>yst’s objective function is he</w:t>
      </w:r>
      <w:r w:rsidRPr="000F3CBF">
        <w:rPr>
          <w:sz w:val="20"/>
          <w:szCs w:val="20"/>
        </w:rPr>
        <w:t>r compensation.  In addition, an analyst’s personal stock portfolio would also affect her objective function.  These personal financial considerations could affect an analyst’s objectivity and misalign her interests from those of investors.</w:t>
      </w:r>
      <w:r w:rsidR="00BB3D1D" w:rsidRPr="000F3CBF">
        <w:rPr>
          <w:sz w:val="20"/>
          <w:szCs w:val="20"/>
        </w:rPr>
        <w:t xml:space="preserve">  Prior research finds support for a relation between investment banking affiliation and analyst reporting optimism</w:t>
      </w:r>
      <w:r w:rsidR="00B91458" w:rsidRPr="000F3CBF">
        <w:rPr>
          <w:sz w:val="20"/>
          <w:szCs w:val="20"/>
        </w:rPr>
        <w:t>.  In particular, the recommendations of analysts associated with the lead underwriter, of both IPOs and Seasoned Equity Offerings (SEOs), are, on av</w:t>
      </w:r>
      <w:r w:rsidR="00E92A4C" w:rsidRPr="000F3CBF">
        <w:rPr>
          <w:sz w:val="20"/>
          <w:szCs w:val="20"/>
        </w:rPr>
        <w:t xml:space="preserve">erage, more optimistic than </w:t>
      </w:r>
      <w:r w:rsidR="00B91458" w:rsidRPr="000F3CBF">
        <w:rPr>
          <w:sz w:val="20"/>
          <w:szCs w:val="20"/>
        </w:rPr>
        <w:t xml:space="preserve">the recommendations of other analysts (Lin and </w:t>
      </w:r>
      <w:proofErr w:type="spellStart"/>
      <w:r w:rsidR="00B91458" w:rsidRPr="000F3CBF">
        <w:rPr>
          <w:sz w:val="20"/>
          <w:szCs w:val="20"/>
        </w:rPr>
        <w:t>McNichols</w:t>
      </w:r>
      <w:proofErr w:type="spellEnd"/>
      <w:r w:rsidR="00B91458" w:rsidRPr="000F3CBF">
        <w:rPr>
          <w:sz w:val="20"/>
          <w:szCs w:val="20"/>
        </w:rPr>
        <w:t xml:space="preserve">, 1998; </w:t>
      </w:r>
      <w:proofErr w:type="spellStart"/>
      <w:r w:rsidR="00B91458" w:rsidRPr="000F3CBF">
        <w:rPr>
          <w:sz w:val="20"/>
          <w:szCs w:val="20"/>
        </w:rPr>
        <w:t>Michaely</w:t>
      </w:r>
      <w:proofErr w:type="spellEnd"/>
      <w:r w:rsidR="00B91458" w:rsidRPr="000F3CBF">
        <w:rPr>
          <w:sz w:val="20"/>
          <w:szCs w:val="20"/>
        </w:rPr>
        <w:t xml:space="preserve"> and Womack, 1999).</w:t>
      </w:r>
      <w:r w:rsidR="00241757" w:rsidRPr="000F3CBF">
        <w:rPr>
          <w:sz w:val="20"/>
          <w:szCs w:val="20"/>
        </w:rPr>
        <w:t xml:space="preserve">  Because there is anecdotal evidence that analyst compensation is significantly influenced by their helpfulness to the investment banking group and its financing efforts, one interpretation of these results is that personal financial incentives motivate underwriter analyst optimism.</w:t>
      </w:r>
    </w:p>
    <w:p w:rsidR="00D96D00" w:rsidRPr="000F3CBF" w:rsidRDefault="00BB3D1D" w:rsidP="000E74E0">
      <w:pPr>
        <w:spacing w:line="480" w:lineRule="auto"/>
        <w:ind w:firstLine="360"/>
        <w:rPr>
          <w:sz w:val="20"/>
          <w:szCs w:val="20"/>
        </w:rPr>
      </w:pPr>
      <w:r w:rsidRPr="000F3CBF">
        <w:rPr>
          <w:sz w:val="20"/>
          <w:szCs w:val="20"/>
        </w:rPr>
        <w:t xml:space="preserve">Morgan </w:t>
      </w:r>
      <w:r w:rsidR="00A14997" w:rsidRPr="000F3CBF">
        <w:rPr>
          <w:sz w:val="20"/>
          <w:szCs w:val="20"/>
        </w:rPr>
        <w:t xml:space="preserve">and </w:t>
      </w:r>
      <w:proofErr w:type="spellStart"/>
      <w:r w:rsidR="00A14997" w:rsidRPr="000F3CBF">
        <w:rPr>
          <w:sz w:val="20"/>
          <w:szCs w:val="20"/>
        </w:rPr>
        <w:t>Stocken</w:t>
      </w:r>
      <w:proofErr w:type="spellEnd"/>
      <w:r w:rsidR="00A14997" w:rsidRPr="000F3CBF">
        <w:rPr>
          <w:sz w:val="20"/>
          <w:szCs w:val="20"/>
        </w:rPr>
        <w:t xml:space="preserve"> (2003) model</w:t>
      </w:r>
      <w:r w:rsidRPr="000F3CBF">
        <w:rPr>
          <w:sz w:val="20"/>
          <w:szCs w:val="20"/>
        </w:rPr>
        <w:t xml:space="preserve"> </w:t>
      </w:r>
      <w:r w:rsidR="00A14997" w:rsidRPr="000F3CBF">
        <w:rPr>
          <w:sz w:val="20"/>
          <w:szCs w:val="20"/>
        </w:rPr>
        <w:t xml:space="preserve">the </w:t>
      </w:r>
      <w:r w:rsidRPr="000F3CBF">
        <w:rPr>
          <w:sz w:val="20"/>
          <w:szCs w:val="20"/>
        </w:rPr>
        <w:t>recommendations</w:t>
      </w:r>
      <w:r w:rsidR="00A14997" w:rsidRPr="000F3CBF">
        <w:rPr>
          <w:sz w:val="20"/>
          <w:szCs w:val="20"/>
        </w:rPr>
        <w:t xml:space="preserve"> of one analyst</w:t>
      </w:r>
      <w:r w:rsidRPr="000F3CBF">
        <w:rPr>
          <w:sz w:val="20"/>
          <w:szCs w:val="20"/>
        </w:rPr>
        <w:t xml:space="preserve"> where investors are uncertain about </w:t>
      </w:r>
      <w:r w:rsidR="00A14997" w:rsidRPr="000F3CBF">
        <w:rPr>
          <w:sz w:val="20"/>
          <w:szCs w:val="20"/>
        </w:rPr>
        <w:t xml:space="preserve">the </w:t>
      </w:r>
      <w:r w:rsidRPr="000F3CBF">
        <w:rPr>
          <w:sz w:val="20"/>
          <w:szCs w:val="20"/>
        </w:rPr>
        <w:t>analyst</w:t>
      </w:r>
      <w:r w:rsidR="00A14997" w:rsidRPr="000F3CBF">
        <w:rPr>
          <w:sz w:val="20"/>
          <w:szCs w:val="20"/>
        </w:rPr>
        <w:t>’s</w:t>
      </w:r>
      <w:r w:rsidRPr="000F3CBF">
        <w:rPr>
          <w:sz w:val="20"/>
          <w:szCs w:val="20"/>
        </w:rPr>
        <w:t xml:space="preserve"> incentives.  They find that </w:t>
      </w:r>
      <w:r w:rsidR="00A14997" w:rsidRPr="000F3CBF">
        <w:rPr>
          <w:sz w:val="20"/>
          <w:szCs w:val="20"/>
        </w:rPr>
        <w:t>a misaligned analyst, one</w:t>
      </w:r>
      <w:r w:rsidRPr="000F3CBF">
        <w:rPr>
          <w:sz w:val="20"/>
          <w:szCs w:val="20"/>
        </w:rPr>
        <w:t xml:space="preserve"> that prefer</w:t>
      </w:r>
      <w:r w:rsidR="00A14997" w:rsidRPr="000F3CBF">
        <w:rPr>
          <w:sz w:val="20"/>
          <w:szCs w:val="20"/>
        </w:rPr>
        <w:t>s</w:t>
      </w:r>
      <w:r w:rsidRPr="000F3CBF">
        <w:rPr>
          <w:sz w:val="20"/>
          <w:szCs w:val="20"/>
        </w:rPr>
        <w:t xml:space="preserve"> to induce a higher stock price than is warranted by their information</w:t>
      </w:r>
      <w:r w:rsidR="00BA3793" w:rsidRPr="000F3CBF">
        <w:rPr>
          <w:sz w:val="20"/>
          <w:szCs w:val="20"/>
        </w:rPr>
        <w:t>,</w:t>
      </w:r>
      <w:r w:rsidRPr="000F3CBF">
        <w:rPr>
          <w:sz w:val="20"/>
          <w:szCs w:val="20"/>
        </w:rPr>
        <w:t xml:space="preserve"> issue</w:t>
      </w:r>
      <w:r w:rsidR="00121F94" w:rsidRPr="000F3CBF">
        <w:rPr>
          <w:sz w:val="20"/>
          <w:szCs w:val="20"/>
        </w:rPr>
        <w:t>s</w:t>
      </w:r>
      <w:r w:rsidRPr="000F3CBF">
        <w:rPr>
          <w:sz w:val="20"/>
          <w:szCs w:val="20"/>
        </w:rPr>
        <w:t xml:space="preserve"> favorable reports more frequently.  A stock-holding analyst might personally benefit from attempts to boost the stoc</w:t>
      </w:r>
      <w:r w:rsidR="00BA3793" w:rsidRPr="000F3CBF">
        <w:rPr>
          <w:sz w:val="20"/>
          <w:szCs w:val="20"/>
        </w:rPr>
        <w:t>k price prior to selling, or by</w:t>
      </w:r>
      <w:r w:rsidRPr="000F3CBF">
        <w:rPr>
          <w:sz w:val="20"/>
          <w:szCs w:val="20"/>
        </w:rPr>
        <w:t xml:space="preserve"> sell</w:t>
      </w:r>
      <w:r w:rsidR="00BA3793" w:rsidRPr="000F3CBF">
        <w:rPr>
          <w:sz w:val="20"/>
          <w:szCs w:val="20"/>
        </w:rPr>
        <w:t>ing</w:t>
      </w:r>
      <w:r w:rsidRPr="000F3CBF">
        <w:rPr>
          <w:sz w:val="20"/>
          <w:szCs w:val="20"/>
        </w:rPr>
        <w:t xml:space="preserve"> prior to downgrading a recommendation </w:t>
      </w:r>
      <w:r w:rsidRPr="000F3CBF">
        <w:rPr>
          <w:sz w:val="20"/>
          <w:szCs w:val="20"/>
        </w:rPr>
        <w:lastRenderedPageBreak/>
        <w:t>or reducin</w:t>
      </w:r>
      <w:r w:rsidR="00BA3793" w:rsidRPr="000F3CBF">
        <w:rPr>
          <w:sz w:val="20"/>
          <w:szCs w:val="20"/>
        </w:rPr>
        <w:t>g an earnings forecast.</w:t>
      </w:r>
      <w:r w:rsidR="000F3CBF">
        <w:rPr>
          <w:rStyle w:val="FootnoteReference"/>
          <w:sz w:val="20"/>
          <w:szCs w:val="20"/>
        </w:rPr>
        <w:footnoteReference w:id="4"/>
      </w:r>
      <w:r w:rsidR="00BA3793" w:rsidRPr="000F3CBF">
        <w:rPr>
          <w:sz w:val="20"/>
          <w:szCs w:val="20"/>
        </w:rPr>
        <w:t xml:space="preserve">  S</w:t>
      </w:r>
      <w:r w:rsidR="00CD5DDB" w:rsidRPr="000F3CBF">
        <w:rPr>
          <w:sz w:val="20"/>
          <w:szCs w:val="20"/>
        </w:rPr>
        <w:t>uch actions constitute</w:t>
      </w:r>
      <w:r w:rsidRPr="000F3CBF">
        <w:rPr>
          <w:sz w:val="20"/>
          <w:szCs w:val="20"/>
        </w:rPr>
        <w:t xml:space="preserve"> a strategic bia</w:t>
      </w:r>
      <w:r w:rsidR="00734A73" w:rsidRPr="000F3CBF">
        <w:rPr>
          <w:sz w:val="20"/>
          <w:szCs w:val="20"/>
        </w:rPr>
        <w:t xml:space="preserve">s.  </w:t>
      </w:r>
      <w:r w:rsidR="00121F94" w:rsidRPr="000F3CBF">
        <w:rPr>
          <w:sz w:val="20"/>
          <w:szCs w:val="20"/>
        </w:rPr>
        <w:t xml:space="preserve">Morgan and </w:t>
      </w:r>
      <w:proofErr w:type="spellStart"/>
      <w:r w:rsidR="00121F94" w:rsidRPr="000F3CBF">
        <w:rPr>
          <w:sz w:val="20"/>
          <w:szCs w:val="20"/>
        </w:rPr>
        <w:t>Stocken’s</w:t>
      </w:r>
      <w:proofErr w:type="spellEnd"/>
      <w:r w:rsidR="00121F94" w:rsidRPr="000F3CBF">
        <w:rPr>
          <w:sz w:val="20"/>
          <w:szCs w:val="20"/>
        </w:rPr>
        <w:t xml:space="preserve"> result suggests </w:t>
      </w:r>
      <w:r w:rsidR="00CD5DDB" w:rsidRPr="000F3CBF">
        <w:rPr>
          <w:sz w:val="20"/>
          <w:szCs w:val="20"/>
        </w:rPr>
        <w:t xml:space="preserve">that </w:t>
      </w:r>
      <w:r w:rsidR="00121F94" w:rsidRPr="000F3CBF">
        <w:rPr>
          <w:sz w:val="20"/>
          <w:szCs w:val="20"/>
        </w:rPr>
        <w:t>o</w:t>
      </w:r>
      <w:r w:rsidR="00734A73" w:rsidRPr="000F3CBF">
        <w:rPr>
          <w:sz w:val="20"/>
          <w:szCs w:val="20"/>
        </w:rPr>
        <w:t>ppor</w:t>
      </w:r>
      <w:r w:rsidR="00016989" w:rsidRPr="000F3CBF">
        <w:rPr>
          <w:sz w:val="20"/>
          <w:szCs w:val="20"/>
        </w:rPr>
        <w:t>tunistic behavior is expected</w:t>
      </w:r>
      <w:r w:rsidR="00734A73" w:rsidRPr="000F3CBF">
        <w:rPr>
          <w:sz w:val="20"/>
          <w:szCs w:val="20"/>
        </w:rPr>
        <w:t xml:space="preserve"> where incentives are</w:t>
      </w:r>
      <w:r w:rsidRPr="000F3CBF">
        <w:rPr>
          <w:sz w:val="20"/>
          <w:szCs w:val="20"/>
        </w:rPr>
        <w:t xml:space="preserve"> not clear</w:t>
      </w:r>
      <w:r w:rsidR="007D34DD" w:rsidRPr="000F3CBF">
        <w:rPr>
          <w:sz w:val="20"/>
          <w:szCs w:val="20"/>
        </w:rPr>
        <w:t>ly disclosed, i.e. where</w:t>
      </w:r>
      <w:r w:rsidRPr="000F3CBF">
        <w:rPr>
          <w:sz w:val="20"/>
          <w:szCs w:val="20"/>
        </w:rPr>
        <w:t xml:space="preserve"> the analyst’s stock ownership</w:t>
      </w:r>
      <w:r w:rsidR="007D34DD" w:rsidRPr="000F3CBF">
        <w:rPr>
          <w:sz w:val="20"/>
          <w:szCs w:val="20"/>
        </w:rPr>
        <w:t xml:space="preserve"> is not revealed</w:t>
      </w:r>
      <w:r w:rsidRPr="000F3CBF">
        <w:rPr>
          <w:sz w:val="20"/>
          <w:szCs w:val="20"/>
        </w:rPr>
        <w:t xml:space="preserve"> in her report.</w:t>
      </w:r>
      <w:r w:rsidR="00D96D00" w:rsidRPr="000F3CBF">
        <w:rPr>
          <w:sz w:val="20"/>
          <w:szCs w:val="20"/>
        </w:rPr>
        <w:t xml:space="preserve">  </w:t>
      </w:r>
    </w:p>
    <w:p w:rsidR="00FD4CC9" w:rsidRPr="000F3CBF" w:rsidRDefault="001359B5" w:rsidP="00FC0F0A">
      <w:pPr>
        <w:spacing w:line="480" w:lineRule="auto"/>
        <w:ind w:firstLine="360"/>
        <w:rPr>
          <w:sz w:val="20"/>
          <w:szCs w:val="20"/>
        </w:rPr>
      </w:pPr>
      <w:r w:rsidRPr="000F3CBF">
        <w:rPr>
          <w:sz w:val="20"/>
          <w:szCs w:val="20"/>
        </w:rPr>
        <w:t xml:space="preserve">However, analyst reputation concerns help to align investor and analyst interests, acting as a potential counter force to personal financial incentives.  </w:t>
      </w:r>
      <w:r w:rsidR="0088508C" w:rsidRPr="000F3CBF">
        <w:rPr>
          <w:sz w:val="20"/>
          <w:szCs w:val="20"/>
        </w:rPr>
        <w:t xml:space="preserve">Perceived external reputation is </w:t>
      </w:r>
      <w:r w:rsidR="00556C25" w:rsidRPr="000F3CBF">
        <w:rPr>
          <w:sz w:val="20"/>
          <w:szCs w:val="20"/>
        </w:rPr>
        <w:t>also a</w:t>
      </w:r>
      <w:r w:rsidR="000E74E0" w:rsidRPr="000F3CBF">
        <w:rPr>
          <w:sz w:val="20"/>
          <w:szCs w:val="20"/>
        </w:rPr>
        <w:t xml:space="preserve"> major contributing facto</w:t>
      </w:r>
      <w:r w:rsidR="0088508C" w:rsidRPr="000F3CBF">
        <w:rPr>
          <w:sz w:val="20"/>
          <w:szCs w:val="20"/>
        </w:rPr>
        <w:t>r to analyst compensation</w:t>
      </w:r>
      <w:r w:rsidR="000E74E0" w:rsidRPr="000F3CBF">
        <w:rPr>
          <w:sz w:val="20"/>
          <w:szCs w:val="20"/>
        </w:rPr>
        <w:t xml:space="preserve">.  Industry polls and analyst rankings, such as those found in </w:t>
      </w:r>
      <w:r w:rsidR="000E74E0" w:rsidRPr="000F3CBF">
        <w:rPr>
          <w:i/>
          <w:sz w:val="20"/>
          <w:szCs w:val="20"/>
        </w:rPr>
        <w:t>Institutional Investor</w:t>
      </w:r>
      <w:r w:rsidR="000E74E0" w:rsidRPr="000F3CBF">
        <w:rPr>
          <w:sz w:val="20"/>
          <w:szCs w:val="20"/>
        </w:rPr>
        <w:t xml:space="preserve"> and the </w:t>
      </w:r>
      <w:r w:rsidR="000E74E0" w:rsidRPr="000F3CBF">
        <w:rPr>
          <w:i/>
          <w:sz w:val="20"/>
          <w:szCs w:val="20"/>
        </w:rPr>
        <w:t>Wall Street Journal,</w:t>
      </w:r>
      <w:r w:rsidR="000E74E0" w:rsidRPr="000F3CBF">
        <w:rPr>
          <w:sz w:val="20"/>
          <w:szCs w:val="20"/>
        </w:rPr>
        <w:t xml:space="preserve"> affect an analyst's reputation</w:t>
      </w:r>
      <w:r w:rsidRPr="000F3CBF">
        <w:rPr>
          <w:sz w:val="20"/>
          <w:szCs w:val="20"/>
        </w:rPr>
        <w:t xml:space="preserve"> and hence her compensation</w:t>
      </w:r>
      <w:r w:rsidR="000E74E0" w:rsidRPr="000F3CBF">
        <w:rPr>
          <w:sz w:val="20"/>
          <w:szCs w:val="20"/>
        </w:rPr>
        <w:t>.  Stock-picking ability and forecast accuracy are two of the cited determinants of external analyst rankings.</w:t>
      </w:r>
      <w:r w:rsidR="00FD4CC9">
        <w:rPr>
          <w:rStyle w:val="FootnoteReference"/>
          <w:sz w:val="20"/>
          <w:szCs w:val="20"/>
        </w:rPr>
        <w:footnoteReference w:id="5"/>
      </w:r>
    </w:p>
    <w:p w:rsidR="002C3BCD" w:rsidRPr="000F3CBF" w:rsidRDefault="001359B5" w:rsidP="002C3BCD">
      <w:pPr>
        <w:spacing w:line="480" w:lineRule="auto"/>
        <w:ind w:firstLine="360"/>
        <w:rPr>
          <w:sz w:val="20"/>
          <w:szCs w:val="20"/>
        </w:rPr>
      </w:pPr>
      <w:r w:rsidRPr="000F3CBF">
        <w:rPr>
          <w:sz w:val="20"/>
          <w:szCs w:val="20"/>
        </w:rPr>
        <w:t>Cognitive research suggests a potential nonstrategic bias arising from analyst stock ownership</w:t>
      </w:r>
      <w:r w:rsidR="002C3BCD" w:rsidRPr="000F3CBF">
        <w:rPr>
          <w:sz w:val="20"/>
          <w:szCs w:val="20"/>
        </w:rPr>
        <w:t xml:space="preserve">.  </w:t>
      </w:r>
      <w:proofErr w:type="spellStart"/>
      <w:r w:rsidR="002C3BCD" w:rsidRPr="000F3CBF">
        <w:rPr>
          <w:sz w:val="20"/>
          <w:szCs w:val="20"/>
        </w:rPr>
        <w:t>Boni</w:t>
      </w:r>
      <w:proofErr w:type="spellEnd"/>
      <w:r w:rsidR="002C3BCD" w:rsidRPr="000F3CBF">
        <w:rPr>
          <w:sz w:val="20"/>
          <w:szCs w:val="20"/>
        </w:rPr>
        <w:t xml:space="preserve"> and Womack (2002)</w:t>
      </w:r>
      <w:r w:rsidR="00BA3793" w:rsidRPr="000F3CBF">
        <w:rPr>
          <w:sz w:val="20"/>
          <w:szCs w:val="20"/>
        </w:rPr>
        <w:t>,</w:t>
      </w:r>
      <w:r w:rsidR="002C3BCD" w:rsidRPr="000F3CBF">
        <w:rPr>
          <w:sz w:val="20"/>
          <w:szCs w:val="20"/>
        </w:rPr>
        <w:t xml:space="preserve"> citing the work of </w:t>
      </w:r>
      <w:proofErr w:type="spellStart"/>
      <w:r w:rsidR="002C3BCD" w:rsidRPr="000F3CBF">
        <w:rPr>
          <w:sz w:val="20"/>
          <w:szCs w:val="20"/>
        </w:rPr>
        <w:t>Kahne</w:t>
      </w:r>
      <w:r w:rsidR="008532E4" w:rsidRPr="000F3CBF">
        <w:rPr>
          <w:sz w:val="20"/>
          <w:szCs w:val="20"/>
        </w:rPr>
        <w:t>man</w:t>
      </w:r>
      <w:proofErr w:type="spellEnd"/>
      <w:r w:rsidR="008532E4" w:rsidRPr="000F3CBF">
        <w:rPr>
          <w:sz w:val="20"/>
          <w:szCs w:val="20"/>
        </w:rPr>
        <w:t xml:space="preserve"> and </w:t>
      </w:r>
      <w:proofErr w:type="spellStart"/>
      <w:r w:rsidR="008532E4" w:rsidRPr="000F3CBF">
        <w:rPr>
          <w:sz w:val="20"/>
          <w:szCs w:val="20"/>
        </w:rPr>
        <w:t>Lovallo</w:t>
      </w:r>
      <w:proofErr w:type="spellEnd"/>
      <w:r w:rsidR="00BA3793" w:rsidRPr="000F3CBF">
        <w:rPr>
          <w:sz w:val="20"/>
          <w:szCs w:val="20"/>
        </w:rPr>
        <w:t>,</w:t>
      </w:r>
      <w:r w:rsidR="008532E4" w:rsidRPr="000F3CBF">
        <w:rPr>
          <w:sz w:val="20"/>
          <w:szCs w:val="20"/>
        </w:rPr>
        <w:t xml:space="preserve"> suggest that</w:t>
      </w:r>
      <w:r w:rsidR="002C3BCD" w:rsidRPr="000F3CBF">
        <w:rPr>
          <w:sz w:val="20"/>
          <w:szCs w:val="20"/>
        </w:rPr>
        <w:t xml:space="preserve"> stock-owning analyst</w:t>
      </w:r>
      <w:r w:rsidR="008532E4" w:rsidRPr="000F3CBF">
        <w:rPr>
          <w:sz w:val="20"/>
          <w:szCs w:val="20"/>
        </w:rPr>
        <w:t>s</w:t>
      </w:r>
      <w:r w:rsidR="002C3BCD" w:rsidRPr="000F3CBF">
        <w:rPr>
          <w:sz w:val="20"/>
          <w:szCs w:val="20"/>
        </w:rPr>
        <w:t xml:space="preserve"> may be subject to an inside view in the sense that it is more difficult for them to be objective and think s</w:t>
      </w:r>
      <w:r w:rsidR="00B0503D" w:rsidRPr="000F3CBF">
        <w:rPr>
          <w:sz w:val="20"/>
          <w:szCs w:val="20"/>
        </w:rPr>
        <w:t>tatistically about companies with</w:t>
      </w:r>
      <w:r w:rsidR="002C3BCD" w:rsidRPr="000F3CBF">
        <w:rPr>
          <w:sz w:val="20"/>
          <w:szCs w:val="20"/>
        </w:rPr>
        <w:t xml:space="preserve"> which they are emotionally involved.  </w:t>
      </w:r>
      <w:r w:rsidR="00FD4CC9">
        <w:rPr>
          <w:sz w:val="20"/>
          <w:szCs w:val="20"/>
        </w:rPr>
        <w:t xml:space="preserve">Thinking situations are unique, rather than a member of a class </w:t>
      </w:r>
      <w:r w:rsidR="009C075F">
        <w:rPr>
          <w:sz w:val="20"/>
          <w:szCs w:val="20"/>
        </w:rPr>
        <w:t>of probabilistic events, owning-</w:t>
      </w:r>
      <w:r w:rsidR="00FD4CC9">
        <w:rPr>
          <w:sz w:val="20"/>
          <w:szCs w:val="20"/>
        </w:rPr>
        <w:t xml:space="preserve">analysts are likely to think in terms of potentially achievable outcomes rather than most likely outcomes. </w:t>
      </w:r>
      <w:r w:rsidR="002C3BCD" w:rsidRPr="000F3CBF">
        <w:rPr>
          <w:sz w:val="20"/>
          <w:szCs w:val="20"/>
        </w:rPr>
        <w:t xml:space="preserve">Facing uncertainty, good </w:t>
      </w:r>
      <w:r w:rsidR="00165DB3" w:rsidRPr="000F3CBF">
        <w:rPr>
          <w:sz w:val="20"/>
          <w:szCs w:val="20"/>
        </w:rPr>
        <w:t>decision-making</w:t>
      </w:r>
      <w:r w:rsidR="002C3BCD" w:rsidRPr="000F3CBF">
        <w:rPr>
          <w:sz w:val="20"/>
          <w:szCs w:val="20"/>
        </w:rPr>
        <w:t xml:space="preserve"> requires an “outside view</w:t>
      </w:r>
      <w:r w:rsidR="000E74E0" w:rsidRPr="000F3CBF">
        <w:rPr>
          <w:sz w:val="20"/>
          <w:szCs w:val="20"/>
        </w:rPr>
        <w:t>”</w:t>
      </w:r>
      <w:r w:rsidR="00B0503D" w:rsidRPr="000F3CBF">
        <w:rPr>
          <w:sz w:val="20"/>
          <w:szCs w:val="20"/>
        </w:rPr>
        <w:t>,</w:t>
      </w:r>
      <w:r w:rsidR="000E74E0" w:rsidRPr="000F3CBF">
        <w:rPr>
          <w:sz w:val="20"/>
          <w:szCs w:val="20"/>
        </w:rPr>
        <w:t xml:space="preserve"> which is not possible if the analyst is an owner of the stock.</w:t>
      </w:r>
    </w:p>
    <w:p w:rsidR="006C412A" w:rsidRDefault="007B4598" w:rsidP="009364E2">
      <w:pPr>
        <w:spacing w:line="480" w:lineRule="auto"/>
        <w:ind w:firstLine="360"/>
        <w:rPr>
          <w:sz w:val="20"/>
          <w:szCs w:val="20"/>
        </w:rPr>
      </w:pPr>
      <w:r w:rsidRPr="000F3CBF">
        <w:rPr>
          <w:sz w:val="20"/>
          <w:szCs w:val="20"/>
        </w:rPr>
        <w:t>Gi</w:t>
      </w:r>
      <w:r w:rsidR="0088508C" w:rsidRPr="000F3CBF">
        <w:rPr>
          <w:sz w:val="20"/>
          <w:szCs w:val="20"/>
        </w:rPr>
        <w:t>ven the uncertainty of whether the</w:t>
      </w:r>
      <w:r w:rsidR="002C3BCD" w:rsidRPr="000F3CBF">
        <w:rPr>
          <w:sz w:val="20"/>
          <w:szCs w:val="20"/>
        </w:rPr>
        <w:t xml:space="preserve"> </w:t>
      </w:r>
      <w:r w:rsidR="00016989" w:rsidRPr="000F3CBF">
        <w:rPr>
          <w:sz w:val="20"/>
          <w:szCs w:val="20"/>
        </w:rPr>
        <w:t>incentive</w:t>
      </w:r>
      <w:r w:rsidR="0088508C" w:rsidRPr="000F3CBF">
        <w:rPr>
          <w:sz w:val="20"/>
          <w:szCs w:val="20"/>
        </w:rPr>
        <w:t xml:space="preserve"> effect dominates the</w:t>
      </w:r>
      <w:r w:rsidR="00016989" w:rsidRPr="000F3CBF">
        <w:rPr>
          <w:sz w:val="20"/>
          <w:szCs w:val="20"/>
        </w:rPr>
        <w:t xml:space="preserve"> reputation</w:t>
      </w:r>
      <w:r w:rsidR="0088508C" w:rsidRPr="000F3CBF">
        <w:rPr>
          <w:sz w:val="20"/>
          <w:szCs w:val="20"/>
        </w:rPr>
        <w:t xml:space="preserve"> effect</w:t>
      </w:r>
      <w:r w:rsidR="00016989" w:rsidRPr="000F3CBF">
        <w:rPr>
          <w:sz w:val="20"/>
          <w:szCs w:val="20"/>
        </w:rPr>
        <w:t xml:space="preserve"> and whether an inside view effect exists,</w:t>
      </w:r>
      <w:r w:rsidRPr="000F3CBF">
        <w:rPr>
          <w:sz w:val="20"/>
          <w:szCs w:val="20"/>
        </w:rPr>
        <w:t xml:space="preserve"> I </w:t>
      </w:r>
      <w:r w:rsidR="0088508C" w:rsidRPr="000F3CBF">
        <w:rPr>
          <w:sz w:val="20"/>
          <w:szCs w:val="20"/>
        </w:rPr>
        <w:t>offer my hypothesis in the null;</w:t>
      </w:r>
      <w:r w:rsidRPr="000F3CBF">
        <w:rPr>
          <w:sz w:val="20"/>
          <w:szCs w:val="20"/>
        </w:rPr>
        <w:t xml:space="preserve"> analyst</w:t>
      </w:r>
      <w:r w:rsidR="006C412A" w:rsidRPr="000F3CBF">
        <w:rPr>
          <w:sz w:val="20"/>
          <w:szCs w:val="20"/>
        </w:rPr>
        <w:t xml:space="preserve"> report</w:t>
      </w:r>
      <w:r w:rsidR="00016989" w:rsidRPr="000F3CBF">
        <w:rPr>
          <w:sz w:val="20"/>
          <w:szCs w:val="20"/>
        </w:rPr>
        <w:t xml:space="preserve"> output</w:t>
      </w:r>
      <w:r w:rsidR="006C412A" w:rsidRPr="000F3CBF">
        <w:rPr>
          <w:sz w:val="20"/>
          <w:szCs w:val="20"/>
        </w:rPr>
        <w:t>s</w:t>
      </w:r>
      <w:r w:rsidR="00E357DA" w:rsidRPr="000F3CBF">
        <w:rPr>
          <w:sz w:val="20"/>
          <w:szCs w:val="20"/>
        </w:rPr>
        <w:t xml:space="preserve"> are unaffected by stock ownership</w:t>
      </w:r>
      <w:r w:rsidR="006C412A" w:rsidRPr="000F3CBF">
        <w:rPr>
          <w:sz w:val="20"/>
          <w:szCs w:val="20"/>
        </w:rPr>
        <w:t>.</w:t>
      </w:r>
    </w:p>
    <w:p w:rsidR="00B32966" w:rsidRPr="000F3CBF" w:rsidRDefault="00B32966" w:rsidP="009364E2">
      <w:pPr>
        <w:spacing w:line="480" w:lineRule="auto"/>
        <w:ind w:firstLine="360"/>
        <w:rPr>
          <w:sz w:val="20"/>
          <w:szCs w:val="20"/>
        </w:rPr>
      </w:pPr>
    </w:p>
    <w:p w:rsidR="006C412A" w:rsidRPr="000F3CBF" w:rsidRDefault="003D1485" w:rsidP="003D1485">
      <w:pPr>
        <w:pStyle w:val="Heading8"/>
        <w:jc w:val="left"/>
        <w:rPr>
          <w:sz w:val="20"/>
          <w:szCs w:val="20"/>
        </w:rPr>
      </w:pPr>
      <w:r w:rsidRPr="000F3CBF">
        <w:rPr>
          <w:sz w:val="20"/>
          <w:szCs w:val="20"/>
        </w:rPr>
        <w:t>3</w:t>
      </w:r>
      <w:r w:rsidR="006C412A" w:rsidRPr="000F3CBF">
        <w:rPr>
          <w:sz w:val="20"/>
          <w:szCs w:val="20"/>
        </w:rPr>
        <w:t>.  Sample Selection, Descriptive Statistics, and Research Design</w:t>
      </w:r>
    </w:p>
    <w:p w:rsidR="006C412A" w:rsidRPr="000F3CBF" w:rsidRDefault="00B07B5D" w:rsidP="00B07B5D">
      <w:pPr>
        <w:numPr>
          <w:ilvl w:val="1"/>
          <w:numId w:val="20"/>
        </w:numPr>
        <w:spacing w:line="480" w:lineRule="auto"/>
        <w:rPr>
          <w:i/>
          <w:sz w:val="20"/>
          <w:szCs w:val="20"/>
        </w:rPr>
      </w:pPr>
      <w:r w:rsidRPr="000F3CBF">
        <w:rPr>
          <w:i/>
          <w:sz w:val="20"/>
          <w:szCs w:val="20"/>
        </w:rPr>
        <w:t xml:space="preserve"> </w:t>
      </w:r>
      <w:r w:rsidR="006C412A" w:rsidRPr="000F3CBF">
        <w:rPr>
          <w:i/>
          <w:sz w:val="20"/>
          <w:szCs w:val="20"/>
        </w:rPr>
        <w:t>Sample Selection</w:t>
      </w:r>
    </w:p>
    <w:p w:rsidR="006C412A" w:rsidRDefault="006C412A" w:rsidP="00CF0B85">
      <w:pPr>
        <w:pStyle w:val="BodyTextIndent"/>
        <w:rPr>
          <w:sz w:val="20"/>
          <w:szCs w:val="20"/>
        </w:rPr>
      </w:pPr>
      <w:r w:rsidRPr="000F3CBF">
        <w:rPr>
          <w:sz w:val="20"/>
          <w:szCs w:val="20"/>
        </w:rPr>
        <w:t xml:space="preserve">I identify two samples of analysts that </w:t>
      </w:r>
      <w:r w:rsidR="00A337E8">
        <w:rPr>
          <w:sz w:val="20"/>
          <w:szCs w:val="20"/>
        </w:rPr>
        <w:t xml:space="preserve">held stock in a company and </w:t>
      </w:r>
      <w:r w:rsidR="00A337E8" w:rsidRPr="000F3CBF">
        <w:rPr>
          <w:sz w:val="20"/>
          <w:szCs w:val="20"/>
        </w:rPr>
        <w:t>published</w:t>
      </w:r>
      <w:r w:rsidRPr="000F3CBF">
        <w:rPr>
          <w:sz w:val="20"/>
          <w:szCs w:val="20"/>
        </w:rPr>
        <w:t xml:space="preserve"> research on that </w:t>
      </w:r>
      <w:r w:rsidR="00A337E8">
        <w:rPr>
          <w:sz w:val="20"/>
          <w:szCs w:val="20"/>
        </w:rPr>
        <w:t>compa</w:t>
      </w:r>
      <w:r w:rsidR="00FC0F0A">
        <w:rPr>
          <w:sz w:val="20"/>
          <w:szCs w:val="20"/>
        </w:rPr>
        <w:t xml:space="preserve">ny. </w:t>
      </w:r>
    </w:p>
    <w:p w:rsidR="006C412A" w:rsidRPr="000F3CBF" w:rsidRDefault="003D1485" w:rsidP="009364E2">
      <w:pPr>
        <w:pStyle w:val="BodyTextIndent"/>
        <w:ind w:firstLine="0"/>
        <w:rPr>
          <w:i/>
          <w:sz w:val="20"/>
          <w:szCs w:val="20"/>
        </w:rPr>
      </w:pPr>
      <w:r w:rsidRPr="000F3CBF">
        <w:rPr>
          <w:i/>
          <w:sz w:val="20"/>
          <w:szCs w:val="20"/>
        </w:rPr>
        <w:lastRenderedPageBreak/>
        <w:t>3</w:t>
      </w:r>
      <w:r w:rsidR="006C412A" w:rsidRPr="000F3CBF">
        <w:rPr>
          <w:i/>
          <w:sz w:val="20"/>
          <w:szCs w:val="20"/>
        </w:rPr>
        <w:t>.1.</w:t>
      </w:r>
      <w:r w:rsidRPr="000F3CBF">
        <w:rPr>
          <w:i/>
          <w:sz w:val="20"/>
          <w:szCs w:val="20"/>
        </w:rPr>
        <w:t>1</w:t>
      </w:r>
      <w:r w:rsidR="00B07B5D" w:rsidRPr="000F3CBF">
        <w:rPr>
          <w:i/>
          <w:sz w:val="20"/>
          <w:szCs w:val="20"/>
        </w:rPr>
        <w:t>.</w:t>
      </w:r>
      <w:r w:rsidR="006C412A" w:rsidRPr="000F3CBF">
        <w:rPr>
          <w:i/>
          <w:sz w:val="20"/>
          <w:szCs w:val="20"/>
        </w:rPr>
        <w:t xml:space="preserve"> Form 144 sample</w:t>
      </w:r>
    </w:p>
    <w:p w:rsidR="006C412A" w:rsidRPr="000F3CBF" w:rsidRDefault="006C412A" w:rsidP="009364E2">
      <w:pPr>
        <w:pStyle w:val="BodyTextIndent"/>
        <w:rPr>
          <w:sz w:val="20"/>
          <w:szCs w:val="20"/>
        </w:rPr>
      </w:pPr>
      <w:r w:rsidRPr="000F3CBF">
        <w:rPr>
          <w:sz w:val="20"/>
          <w:szCs w:val="20"/>
        </w:rPr>
        <w:t>The Form 144 sample is based on name matches between Form 144 filings and the IBES database of analysts.</w:t>
      </w:r>
      <w:r w:rsidRPr="000F3CBF">
        <w:rPr>
          <w:b/>
          <w:sz w:val="20"/>
          <w:szCs w:val="20"/>
        </w:rPr>
        <w:t xml:space="preserve">  </w:t>
      </w:r>
      <w:r w:rsidRPr="000F3CBF">
        <w:rPr>
          <w:sz w:val="20"/>
          <w:szCs w:val="20"/>
        </w:rPr>
        <w:t>Form 144 is filed with the SEC under Rule 144.  An analyst</w:t>
      </w:r>
      <w:r w:rsidR="00014F59" w:rsidRPr="000F3CBF">
        <w:rPr>
          <w:sz w:val="20"/>
          <w:szCs w:val="20"/>
        </w:rPr>
        <w:t xml:space="preserve"> must file</w:t>
      </w:r>
      <w:r w:rsidRPr="000F3CBF">
        <w:rPr>
          <w:sz w:val="20"/>
          <w:szCs w:val="20"/>
        </w:rPr>
        <w:t xml:space="preserve"> a Form 144 if she sells restricted stock during the first year following the required holding period.  Prior to April 29, 1997, SEC Rule 144 required</w:t>
      </w:r>
      <w:r w:rsidR="00BA3793" w:rsidRPr="000F3CBF">
        <w:rPr>
          <w:sz w:val="20"/>
          <w:szCs w:val="20"/>
        </w:rPr>
        <w:t xml:space="preserve"> a two </w:t>
      </w:r>
      <w:r w:rsidRPr="000F3CBF">
        <w:rPr>
          <w:sz w:val="20"/>
          <w:szCs w:val="20"/>
        </w:rPr>
        <w:t>year holding period for restric</w:t>
      </w:r>
      <w:r w:rsidR="00CD281D" w:rsidRPr="000F3CBF">
        <w:rPr>
          <w:sz w:val="20"/>
          <w:szCs w:val="20"/>
        </w:rPr>
        <w:t>ted stock owners;</w:t>
      </w:r>
      <w:r w:rsidRPr="000F3CBF">
        <w:rPr>
          <w:sz w:val="20"/>
          <w:szCs w:val="20"/>
        </w:rPr>
        <w:t xml:space="preserve"> after April 29, 1997 the required holding period is one year.  Non-insiders,</w:t>
      </w:r>
      <w:r w:rsidRPr="000F3CBF">
        <w:rPr>
          <w:i/>
          <w:sz w:val="20"/>
          <w:szCs w:val="20"/>
        </w:rPr>
        <w:t xml:space="preserve"> </w:t>
      </w:r>
      <w:r w:rsidRPr="000F3CBF">
        <w:rPr>
          <w:sz w:val="20"/>
          <w:szCs w:val="20"/>
        </w:rPr>
        <w:t>such as analysts</w:t>
      </w:r>
      <w:r w:rsidRPr="000F3CBF">
        <w:rPr>
          <w:i/>
          <w:sz w:val="20"/>
          <w:szCs w:val="20"/>
        </w:rPr>
        <w:t>,</w:t>
      </w:r>
      <w:r w:rsidRPr="000F3CBF">
        <w:rPr>
          <w:sz w:val="20"/>
          <w:szCs w:val="20"/>
        </w:rPr>
        <w:t xml:space="preserve"> who sell after the mandated reporting period, have no obligation to file a Form 144 with the SEC.</w:t>
      </w:r>
    </w:p>
    <w:p w:rsidR="006C412A" w:rsidRPr="000F3CBF" w:rsidRDefault="006C412A" w:rsidP="009364E2">
      <w:pPr>
        <w:pStyle w:val="BodyTextIndent"/>
        <w:rPr>
          <w:sz w:val="20"/>
          <w:szCs w:val="20"/>
        </w:rPr>
      </w:pPr>
      <w:r w:rsidRPr="000F3CBF">
        <w:rPr>
          <w:sz w:val="20"/>
          <w:szCs w:val="20"/>
        </w:rPr>
        <w:t>These filings offer an ex-post indication of the incentives that existed when the anal</w:t>
      </w:r>
      <w:r w:rsidR="005E78D8" w:rsidRPr="000F3CBF">
        <w:rPr>
          <w:sz w:val="20"/>
          <w:szCs w:val="20"/>
        </w:rPr>
        <w:t>yst reported on the company</w:t>
      </w:r>
      <w:r w:rsidRPr="000F3CBF">
        <w:rPr>
          <w:sz w:val="20"/>
          <w:szCs w:val="20"/>
        </w:rPr>
        <w:t xml:space="preserve"> and about which, in many cases, the market was unaware.  From a research perspective</w:t>
      </w:r>
      <w:r w:rsidR="00014F59" w:rsidRPr="000F3CBF">
        <w:rPr>
          <w:sz w:val="20"/>
          <w:szCs w:val="20"/>
        </w:rPr>
        <w:t xml:space="preserve"> the filings also allow a cross-</w:t>
      </w:r>
      <w:r w:rsidR="009C075F">
        <w:rPr>
          <w:sz w:val="20"/>
          <w:szCs w:val="20"/>
        </w:rPr>
        <w:t>section of owning-</w:t>
      </w:r>
      <w:r w:rsidRPr="000F3CBF">
        <w:rPr>
          <w:sz w:val="20"/>
          <w:szCs w:val="20"/>
        </w:rPr>
        <w:t>analysts</w:t>
      </w:r>
      <w:r w:rsidR="00014F59" w:rsidRPr="000F3CBF">
        <w:rPr>
          <w:sz w:val="20"/>
          <w:szCs w:val="20"/>
        </w:rPr>
        <w:t>, the majority of</w:t>
      </w:r>
      <w:r w:rsidRPr="000F3CBF">
        <w:rPr>
          <w:sz w:val="20"/>
          <w:szCs w:val="20"/>
        </w:rPr>
        <w:t xml:space="preserve"> who</w:t>
      </w:r>
      <w:r w:rsidR="00014F59" w:rsidRPr="000F3CBF">
        <w:rPr>
          <w:sz w:val="20"/>
          <w:szCs w:val="20"/>
        </w:rPr>
        <w:t>m would</w:t>
      </w:r>
      <w:r w:rsidRPr="000F3CBF">
        <w:rPr>
          <w:sz w:val="20"/>
          <w:szCs w:val="20"/>
        </w:rPr>
        <w:t xml:space="preserve"> not have otherwise disclosed their stock ownership.</w:t>
      </w:r>
    </w:p>
    <w:p w:rsidR="006C412A" w:rsidRPr="000F3CBF" w:rsidRDefault="00CD281D" w:rsidP="00E817C9">
      <w:pPr>
        <w:pStyle w:val="BodyTextIndent"/>
        <w:rPr>
          <w:sz w:val="20"/>
          <w:szCs w:val="20"/>
        </w:rPr>
      </w:pPr>
      <w:r w:rsidRPr="000F3CBF">
        <w:rPr>
          <w:sz w:val="20"/>
          <w:szCs w:val="20"/>
        </w:rPr>
        <w:t>Figure 1 depicts the time</w:t>
      </w:r>
      <w:r w:rsidR="006C412A" w:rsidRPr="000F3CBF">
        <w:rPr>
          <w:sz w:val="20"/>
          <w:szCs w:val="20"/>
        </w:rPr>
        <w:t>line of critical events: the purchase and sale of restricted stock, the company IPO, and the required holding and Form 144 filing periods for a non-insider.  The figure also shows the sample period which encompasses any report issued a</w:t>
      </w:r>
      <w:r w:rsidR="005E78D8" w:rsidRPr="000F3CBF">
        <w:rPr>
          <w:sz w:val="20"/>
          <w:szCs w:val="20"/>
        </w:rPr>
        <w:t>fter the IPO through to</w:t>
      </w:r>
      <w:r w:rsidR="006C412A" w:rsidRPr="000F3CBF">
        <w:rPr>
          <w:sz w:val="20"/>
          <w:szCs w:val="20"/>
        </w:rPr>
        <w:t xml:space="preserve"> the date of the </w:t>
      </w:r>
      <w:r w:rsidR="005E78D8" w:rsidRPr="000F3CBF">
        <w:rPr>
          <w:sz w:val="20"/>
          <w:szCs w:val="20"/>
        </w:rPr>
        <w:t>owning-</w:t>
      </w:r>
      <w:r w:rsidR="006C412A" w:rsidRPr="000F3CBF">
        <w:rPr>
          <w:sz w:val="20"/>
          <w:szCs w:val="20"/>
        </w:rPr>
        <w:t>analyst</w:t>
      </w:r>
      <w:r w:rsidR="00E817C9" w:rsidRPr="000F3CBF">
        <w:rPr>
          <w:sz w:val="20"/>
          <w:szCs w:val="20"/>
        </w:rPr>
        <w:t>’s final disclosed stock sale.</w:t>
      </w:r>
    </w:p>
    <w:p w:rsidR="006C412A" w:rsidRPr="000F3CBF" w:rsidRDefault="006C412A" w:rsidP="009364E2">
      <w:pPr>
        <w:pStyle w:val="BodyTextIndent"/>
        <w:rPr>
          <w:sz w:val="20"/>
          <w:szCs w:val="20"/>
        </w:rPr>
      </w:pPr>
      <w:r w:rsidRPr="000F3CBF">
        <w:rPr>
          <w:sz w:val="20"/>
          <w:szCs w:val="20"/>
        </w:rPr>
        <w:t xml:space="preserve">I obtain a complete database of </w:t>
      </w:r>
      <w:r w:rsidR="008532E4" w:rsidRPr="000F3CBF">
        <w:rPr>
          <w:sz w:val="20"/>
          <w:szCs w:val="20"/>
        </w:rPr>
        <w:t>Form 144 filings from Thom</w:t>
      </w:r>
      <w:r w:rsidRPr="000F3CBF">
        <w:rPr>
          <w:sz w:val="20"/>
          <w:szCs w:val="20"/>
        </w:rPr>
        <w:t>so</w:t>
      </w:r>
      <w:r w:rsidR="008532E4" w:rsidRPr="000F3CBF">
        <w:rPr>
          <w:sz w:val="20"/>
          <w:szCs w:val="20"/>
        </w:rPr>
        <w:t>n Financial.  Based on the</w:t>
      </w:r>
      <w:r w:rsidRPr="000F3CBF">
        <w:rPr>
          <w:sz w:val="20"/>
          <w:szCs w:val="20"/>
        </w:rPr>
        <w:t xml:space="preserve"> Form 144 filings for the </w:t>
      </w:r>
      <w:r w:rsidR="008532E4" w:rsidRPr="000F3CBF">
        <w:rPr>
          <w:sz w:val="20"/>
          <w:szCs w:val="20"/>
        </w:rPr>
        <w:t xml:space="preserve">period 1987 to 2001, </w:t>
      </w:r>
      <w:r w:rsidRPr="000F3CBF">
        <w:rPr>
          <w:sz w:val="20"/>
          <w:szCs w:val="20"/>
        </w:rPr>
        <w:t>51 instances in which an analyst owns restrict</w:t>
      </w:r>
      <w:r w:rsidR="00014F59" w:rsidRPr="000F3CBF">
        <w:rPr>
          <w:sz w:val="20"/>
          <w:szCs w:val="20"/>
        </w:rPr>
        <w:t>ed stock and appears</w:t>
      </w:r>
      <w:r w:rsidRPr="000F3CBF">
        <w:rPr>
          <w:sz w:val="20"/>
          <w:szCs w:val="20"/>
        </w:rPr>
        <w:t xml:space="preserve"> in the IBES database as an analyst for that company</w:t>
      </w:r>
      <w:r w:rsidR="008532E4" w:rsidRPr="000F3CBF">
        <w:rPr>
          <w:sz w:val="20"/>
          <w:szCs w:val="20"/>
        </w:rPr>
        <w:t xml:space="preserve"> arise</w:t>
      </w:r>
      <w:r w:rsidRPr="000F3CBF">
        <w:rPr>
          <w:sz w:val="20"/>
          <w:szCs w:val="20"/>
        </w:rPr>
        <w:t>.  This sample represents 49 different companies and 43 analysts from 30 brokerage firms.</w:t>
      </w:r>
    </w:p>
    <w:p w:rsidR="006C412A" w:rsidRPr="000F3CBF" w:rsidRDefault="006C412A" w:rsidP="009364E2">
      <w:pPr>
        <w:pStyle w:val="BodyTextIndent"/>
        <w:rPr>
          <w:sz w:val="20"/>
          <w:szCs w:val="20"/>
        </w:rPr>
      </w:pPr>
      <w:r w:rsidRPr="000F3CBF">
        <w:rPr>
          <w:sz w:val="20"/>
          <w:szCs w:val="20"/>
        </w:rPr>
        <w:t>The median (mean) declared market value of the restricted stock sold is $65,000 ($388,000).</w:t>
      </w:r>
      <w:r w:rsidR="004D7CD5" w:rsidRPr="000F3CBF">
        <w:rPr>
          <w:sz w:val="20"/>
          <w:szCs w:val="20"/>
        </w:rPr>
        <w:t xml:space="preserve">  The total investment</w:t>
      </w:r>
      <w:r w:rsidR="000E74E0" w:rsidRPr="000F3CBF">
        <w:rPr>
          <w:sz w:val="20"/>
          <w:szCs w:val="20"/>
        </w:rPr>
        <w:t xml:space="preserve"> may be great</w:t>
      </w:r>
      <w:r w:rsidR="007D34DD" w:rsidRPr="000F3CBF">
        <w:rPr>
          <w:sz w:val="20"/>
          <w:szCs w:val="20"/>
        </w:rPr>
        <w:t xml:space="preserve">er, as the shares sold may </w:t>
      </w:r>
      <w:r w:rsidR="000E74E0" w:rsidRPr="000F3CBF">
        <w:rPr>
          <w:sz w:val="20"/>
          <w:szCs w:val="20"/>
        </w:rPr>
        <w:t>represent</w:t>
      </w:r>
      <w:r w:rsidR="007D34DD" w:rsidRPr="000F3CBF">
        <w:rPr>
          <w:sz w:val="20"/>
          <w:szCs w:val="20"/>
        </w:rPr>
        <w:t xml:space="preserve"> only</w:t>
      </w:r>
      <w:r w:rsidR="004D7CD5" w:rsidRPr="000F3CBF">
        <w:rPr>
          <w:sz w:val="20"/>
          <w:szCs w:val="20"/>
        </w:rPr>
        <w:t xml:space="preserve"> a fraction of the analyst’s</w:t>
      </w:r>
      <w:r w:rsidR="000E74E0" w:rsidRPr="000F3CBF">
        <w:rPr>
          <w:sz w:val="20"/>
          <w:szCs w:val="20"/>
        </w:rPr>
        <w:t xml:space="preserve"> holdings.</w:t>
      </w:r>
      <w:r w:rsidRPr="000F3CBF">
        <w:rPr>
          <w:sz w:val="20"/>
          <w:szCs w:val="20"/>
        </w:rPr>
        <w:t xml:space="preserve">  Given that pre-IPO shares are generally purchased at prices well below the IPO price, analysts’ profits could be a substantial percentage of the proceeds.  Moreover, these amounts are significant relative to the average analyst’s compensation, which in 2002 was estimated to be $189,250 per year.</w:t>
      </w:r>
      <w:r w:rsidRPr="000F3CBF">
        <w:rPr>
          <w:rStyle w:val="FootnoteReference"/>
          <w:sz w:val="20"/>
          <w:szCs w:val="20"/>
        </w:rPr>
        <w:footnoteReference w:id="6"/>
      </w:r>
    </w:p>
    <w:p w:rsidR="006C412A" w:rsidRPr="000F3CBF" w:rsidRDefault="006C412A" w:rsidP="009364E2">
      <w:pPr>
        <w:spacing w:line="480" w:lineRule="auto"/>
        <w:ind w:firstLine="360"/>
        <w:rPr>
          <w:sz w:val="20"/>
          <w:szCs w:val="20"/>
        </w:rPr>
      </w:pPr>
      <w:r w:rsidRPr="000F3CBF">
        <w:rPr>
          <w:sz w:val="20"/>
          <w:szCs w:val="20"/>
        </w:rPr>
        <w:t>Since a Form 144 filing can only be observed if a sale occurs in the first year aft</w:t>
      </w:r>
      <w:r w:rsidR="00014F59" w:rsidRPr="000F3CBF">
        <w:rPr>
          <w:sz w:val="20"/>
          <w:szCs w:val="20"/>
        </w:rPr>
        <w:t xml:space="preserve">er the mandatory holding period and </w:t>
      </w:r>
      <w:r w:rsidRPr="000F3CBF">
        <w:rPr>
          <w:sz w:val="20"/>
          <w:szCs w:val="20"/>
        </w:rPr>
        <w:t>meets the other reporting requirements, it is possible that analyst</w:t>
      </w:r>
      <w:r w:rsidRPr="000F3CBF">
        <w:rPr>
          <w:b/>
          <w:sz w:val="20"/>
          <w:szCs w:val="20"/>
        </w:rPr>
        <w:t xml:space="preserve"> </w:t>
      </w:r>
      <w:r w:rsidRPr="000F3CBF">
        <w:rPr>
          <w:sz w:val="20"/>
          <w:szCs w:val="20"/>
        </w:rPr>
        <w:t xml:space="preserve">restricted stock ownership is not fully </w:t>
      </w:r>
      <w:r w:rsidRPr="000F3CBF">
        <w:rPr>
          <w:sz w:val="20"/>
          <w:szCs w:val="20"/>
        </w:rPr>
        <w:lastRenderedPageBreak/>
        <w:t>identified.  Because there might be a misclassification between treatment and control groups, this possibility could weaken any cross-sectional tests that rely on comparisons to other analysts.  However, given that mo</w:t>
      </w:r>
      <w:r w:rsidR="00E93252">
        <w:rPr>
          <w:sz w:val="20"/>
          <w:szCs w:val="20"/>
        </w:rPr>
        <w:t>st stocks are covered by multiple</w:t>
      </w:r>
      <w:r w:rsidRPr="000F3CBF">
        <w:rPr>
          <w:sz w:val="20"/>
          <w:szCs w:val="20"/>
        </w:rPr>
        <w:t xml:space="preserve"> analysts, it is highly improbable that all, or even many, control analysts will also be stock owners, </w:t>
      </w:r>
      <w:r w:rsidR="00CD281D" w:rsidRPr="000F3CBF">
        <w:rPr>
          <w:sz w:val="20"/>
          <w:szCs w:val="20"/>
        </w:rPr>
        <w:t xml:space="preserve">albeit undisclosed.  </w:t>
      </w:r>
    </w:p>
    <w:p w:rsidR="006C412A" w:rsidRPr="000F3CBF" w:rsidRDefault="003D1485" w:rsidP="009364E2">
      <w:pPr>
        <w:spacing w:line="480" w:lineRule="auto"/>
        <w:rPr>
          <w:i/>
          <w:sz w:val="20"/>
          <w:szCs w:val="20"/>
        </w:rPr>
      </w:pPr>
      <w:r w:rsidRPr="000F3CBF">
        <w:rPr>
          <w:i/>
          <w:sz w:val="20"/>
          <w:szCs w:val="20"/>
        </w:rPr>
        <w:t>3.1</w:t>
      </w:r>
      <w:r w:rsidR="006C412A" w:rsidRPr="000F3CBF">
        <w:rPr>
          <w:i/>
          <w:sz w:val="20"/>
          <w:szCs w:val="20"/>
        </w:rPr>
        <w:t>.2. Disclosing Sample</w:t>
      </w:r>
    </w:p>
    <w:p w:rsidR="006C412A" w:rsidRPr="000F3CBF" w:rsidRDefault="006C412A" w:rsidP="006A476B">
      <w:pPr>
        <w:pStyle w:val="BodyTextIndent"/>
        <w:rPr>
          <w:sz w:val="20"/>
          <w:szCs w:val="20"/>
        </w:rPr>
      </w:pPr>
      <w:r w:rsidRPr="000F3CBF">
        <w:rPr>
          <w:sz w:val="20"/>
          <w:szCs w:val="20"/>
        </w:rPr>
        <w:t>I collect the second sample (the disclosing sample) from ownership disclosures in analyst reports.  Prior to recent regulatory changes, and in contrast to much of the industry practice at the time, one of the larger brokerage firms required explic</w:t>
      </w:r>
      <w:r w:rsidR="00E92A4C" w:rsidRPr="000F3CBF">
        <w:rPr>
          <w:sz w:val="20"/>
          <w:szCs w:val="20"/>
        </w:rPr>
        <w:t>it ownership disclosure</w:t>
      </w:r>
      <w:r w:rsidRPr="000F3CBF">
        <w:rPr>
          <w:sz w:val="20"/>
          <w:szCs w:val="20"/>
        </w:rPr>
        <w:t>.</w:t>
      </w:r>
      <w:r w:rsidRPr="000F3CBF">
        <w:rPr>
          <w:rStyle w:val="FootnoteReference"/>
          <w:sz w:val="20"/>
          <w:szCs w:val="20"/>
        </w:rPr>
        <w:footnoteReference w:id="7"/>
      </w:r>
      <w:r w:rsidRPr="000F3CBF">
        <w:rPr>
          <w:sz w:val="20"/>
          <w:szCs w:val="20"/>
        </w:rPr>
        <w:t xml:space="preserve"> IBES does not allow the </w:t>
      </w:r>
      <w:r w:rsidR="00F84EF2" w:rsidRPr="000F3CBF">
        <w:rPr>
          <w:sz w:val="20"/>
          <w:szCs w:val="20"/>
        </w:rPr>
        <w:t>revelation</w:t>
      </w:r>
      <w:r w:rsidRPr="000F3CBF">
        <w:rPr>
          <w:sz w:val="20"/>
          <w:szCs w:val="20"/>
        </w:rPr>
        <w:t xml:space="preserve"> of the</w:t>
      </w:r>
      <w:r w:rsidR="00E92A4C" w:rsidRPr="000F3CBF">
        <w:rPr>
          <w:sz w:val="20"/>
          <w:szCs w:val="20"/>
        </w:rPr>
        <w:t xml:space="preserve"> disclosing</w:t>
      </w:r>
      <w:r w:rsidRPr="000F3CBF">
        <w:rPr>
          <w:sz w:val="20"/>
          <w:szCs w:val="20"/>
        </w:rPr>
        <w:t xml:space="preserve"> brokerage firm’s name.  I identify the 41 equity analysts in the employ of this disclosing firm during 1998 as those who issue earnings forecasts during the year, as reported on IBES.</w:t>
      </w:r>
    </w:p>
    <w:p w:rsidR="00FC0F0A" w:rsidRDefault="006C412A" w:rsidP="00F77AE5">
      <w:pPr>
        <w:pStyle w:val="BodyTextIndent"/>
        <w:rPr>
          <w:sz w:val="20"/>
          <w:szCs w:val="20"/>
        </w:rPr>
      </w:pPr>
      <w:r w:rsidRPr="000F3CBF">
        <w:rPr>
          <w:sz w:val="20"/>
          <w:szCs w:val="20"/>
        </w:rPr>
        <w:t xml:space="preserve">I review all </w:t>
      </w:r>
      <w:r w:rsidR="001E50D2" w:rsidRPr="000F3CBF">
        <w:rPr>
          <w:sz w:val="20"/>
          <w:szCs w:val="20"/>
        </w:rPr>
        <w:t>the written</w:t>
      </w:r>
      <w:r w:rsidRPr="000F3CBF">
        <w:rPr>
          <w:sz w:val="20"/>
          <w:szCs w:val="20"/>
        </w:rPr>
        <w:t xml:space="preserve"> reports of these analysts to identify instances and the period of ownership by the disclosing analyst.  </w:t>
      </w:r>
      <w:proofErr w:type="spellStart"/>
      <w:r w:rsidRPr="000F3CBF">
        <w:rPr>
          <w:sz w:val="20"/>
          <w:szCs w:val="20"/>
        </w:rPr>
        <w:t>Investext</w:t>
      </w:r>
      <w:proofErr w:type="spellEnd"/>
      <w:r w:rsidRPr="000F3CBF">
        <w:rPr>
          <w:sz w:val="20"/>
          <w:szCs w:val="20"/>
        </w:rPr>
        <w:t xml:space="preserve"> is the source of analyst reports.  The review covers approximately 8,000 reports spanning 1993 through 2001.  There are 103 companies for which an analyst discloses ownership</w:t>
      </w:r>
      <w:r w:rsidR="000E74E0" w:rsidRPr="000F3CBF">
        <w:rPr>
          <w:sz w:val="20"/>
          <w:szCs w:val="20"/>
        </w:rPr>
        <w:t xml:space="preserve"> or a long </w:t>
      </w:r>
      <w:r w:rsidR="001524A1" w:rsidRPr="000F3CBF">
        <w:rPr>
          <w:sz w:val="20"/>
          <w:szCs w:val="20"/>
        </w:rPr>
        <w:t>position</w:t>
      </w:r>
      <w:r w:rsidRPr="000F3CBF">
        <w:rPr>
          <w:sz w:val="20"/>
          <w:szCs w:val="20"/>
        </w:rPr>
        <w:t>.  These 103 analyst/company pairs comprise the</w:t>
      </w:r>
      <w:r w:rsidR="001E50D2" w:rsidRPr="000F3CBF">
        <w:rPr>
          <w:sz w:val="20"/>
          <w:szCs w:val="20"/>
        </w:rPr>
        <w:t xml:space="preserve"> disclosing</w:t>
      </w:r>
      <w:r w:rsidRPr="000F3CBF">
        <w:rPr>
          <w:sz w:val="20"/>
          <w:szCs w:val="20"/>
        </w:rPr>
        <w:t xml:space="preserve"> sample.  The 103 companies represent approximately 15% of the stocks that the analysts cover.  Almost all of the analysts at the disclosing firm own at least one of the stocks that they cover.</w:t>
      </w:r>
      <w:r w:rsidR="00E93252">
        <w:rPr>
          <w:sz w:val="20"/>
          <w:szCs w:val="20"/>
        </w:rPr>
        <w:t xml:space="preserve">  Although</w:t>
      </w:r>
      <w:r w:rsidR="00F77AE5">
        <w:rPr>
          <w:sz w:val="20"/>
          <w:szCs w:val="20"/>
        </w:rPr>
        <w:t xml:space="preserve"> the ownership period</w:t>
      </w:r>
      <w:r w:rsidR="00E93252">
        <w:rPr>
          <w:sz w:val="20"/>
          <w:szCs w:val="20"/>
        </w:rPr>
        <w:t xml:space="preserve"> is identified</w:t>
      </w:r>
      <w:r w:rsidR="00F77AE5">
        <w:rPr>
          <w:sz w:val="20"/>
          <w:szCs w:val="20"/>
        </w:rPr>
        <w:t xml:space="preserve"> through</w:t>
      </w:r>
      <w:r w:rsidR="00E93252">
        <w:rPr>
          <w:sz w:val="20"/>
          <w:szCs w:val="20"/>
        </w:rPr>
        <w:t xml:space="preserve"> the</w:t>
      </w:r>
      <w:r w:rsidR="00F77AE5">
        <w:rPr>
          <w:sz w:val="20"/>
          <w:szCs w:val="20"/>
        </w:rPr>
        <w:t xml:space="preserve"> </w:t>
      </w:r>
      <w:proofErr w:type="spellStart"/>
      <w:r w:rsidR="00F77AE5">
        <w:rPr>
          <w:sz w:val="20"/>
          <w:szCs w:val="20"/>
        </w:rPr>
        <w:t>Investext</w:t>
      </w:r>
      <w:proofErr w:type="spellEnd"/>
      <w:r w:rsidR="00E93252">
        <w:rPr>
          <w:sz w:val="20"/>
          <w:szCs w:val="20"/>
        </w:rPr>
        <w:t xml:space="preserve"> reports</w:t>
      </w:r>
      <w:r w:rsidR="00F77AE5">
        <w:rPr>
          <w:sz w:val="20"/>
          <w:szCs w:val="20"/>
        </w:rPr>
        <w:t>, a</w:t>
      </w:r>
      <w:r w:rsidRPr="000F3CBF">
        <w:rPr>
          <w:sz w:val="20"/>
          <w:szCs w:val="20"/>
        </w:rPr>
        <w:t>ll earnings forecasts and recommendations for the sample</w:t>
      </w:r>
      <w:r w:rsidR="00D75438" w:rsidRPr="000F3CBF">
        <w:rPr>
          <w:sz w:val="20"/>
          <w:szCs w:val="20"/>
        </w:rPr>
        <w:t xml:space="preserve"> come</w:t>
      </w:r>
      <w:r w:rsidRPr="000F3CBF">
        <w:rPr>
          <w:sz w:val="20"/>
          <w:szCs w:val="20"/>
        </w:rPr>
        <w:t xml:space="preserve"> from IBES</w:t>
      </w:r>
      <w:r w:rsidR="009C075F">
        <w:rPr>
          <w:sz w:val="20"/>
          <w:szCs w:val="20"/>
        </w:rPr>
        <w:t>.</w:t>
      </w:r>
    </w:p>
    <w:p w:rsidR="006C412A" w:rsidRPr="000F3CBF" w:rsidRDefault="00B07B5D" w:rsidP="00FC0F0A">
      <w:pPr>
        <w:pStyle w:val="BodyTextIndent"/>
        <w:numPr>
          <w:ilvl w:val="1"/>
          <w:numId w:val="20"/>
        </w:numPr>
        <w:rPr>
          <w:i/>
          <w:sz w:val="20"/>
          <w:szCs w:val="20"/>
        </w:rPr>
      </w:pPr>
      <w:r w:rsidRPr="000F3CBF">
        <w:rPr>
          <w:i/>
          <w:sz w:val="20"/>
          <w:szCs w:val="20"/>
        </w:rPr>
        <w:t xml:space="preserve"> </w:t>
      </w:r>
      <w:r w:rsidR="006C412A" w:rsidRPr="000F3CBF">
        <w:rPr>
          <w:i/>
          <w:sz w:val="20"/>
          <w:szCs w:val="20"/>
        </w:rPr>
        <w:t>Descriptive Statistics</w:t>
      </w:r>
    </w:p>
    <w:p w:rsidR="006C412A" w:rsidRPr="000F3CBF" w:rsidRDefault="00E817C9" w:rsidP="00F64F5E">
      <w:pPr>
        <w:pStyle w:val="BodyTextIndent"/>
        <w:rPr>
          <w:sz w:val="20"/>
          <w:szCs w:val="20"/>
        </w:rPr>
      </w:pPr>
      <w:r w:rsidRPr="000F3CBF">
        <w:rPr>
          <w:sz w:val="20"/>
          <w:szCs w:val="20"/>
        </w:rPr>
        <w:t>Table 1</w:t>
      </w:r>
      <w:r w:rsidR="00A337E8">
        <w:rPr>
          <w:sz w:val="20"/>
          <w:szCs w:val="20"/>
        </w:rPr>
        <w:t xml:space="preserve"> </w:t>
      </w:r>
      <w:r w:rsidR="006C412A" w:rsidRPr="000F3CBF">
        <w:rPr>
          <w:sz w:val="20"/>
          <w:szCs w:val="20"/>
        </w:rPr>
        <w:t xml:space="preserve">PANEL A compares the market value of equity of the 49 companies in the Form 144 sample to the Schrand and </w:t>
      </w:r>
      <w:proofErr w:type="spellStart"/>
      <w:r w:rsidR="006C412A" w:rsidRPr="000F3CBF">
        <w:rPr>
          <w:sz w:val="20"/>
          <w:szCs w:val="20"/>
        </w:rPr>
        <w:t>Verrecchia</w:t>
      </w:r>
      <w:proofErr w:type="spellEnd"/>
      <w:r w:rsidR="006C412A" w:rsidRPr="000F3CBF">
        <w:rPr>
          <w:sz w:val="20"/>
          <w:szCs w:val="20"/>
        </w:rPr>
        <w:t xml:space="preserve"> (2002) IPO sample.</w:t>
      </w:r>
      <w:r w:rsidR="00A337E8">
        <w:rPr>
          <w:rStyle w:val="FootnoteReference"/>
          <w:sz w:val="20"/>
          <w:szCs w:val="20"/>
        </w:rPr>
        <w:footnoteReference w:id="8"/>
      </w:r>
      <w:r w:rsidR="006C412A" w:rsidRPr="000F3CBF">
        <w:rPr>
          <w:sz w:val="20"/>
          <w:szCs w:val="20"/>
        </w:rPr>
        <w:t xml:space="preserve">  The stock-owning analyst sample </w:t>
      </w:r>
      <w:r w:rsidR="000D05E2" w:rsidRPr="000F3CBF">
        <w:rPr>
          <w:sz w:val="20"/>
          <w:szCs w:val="20"/>
        </w:rPr>
        <w:t>companies are bigger</w:t>
      </w:r>
      <w:r w:rsidR="00FC0F0A">
        <w:rPr>
          <w:sz w:val="20"/>
          <w:szCs w:val="20"/>
        </w:rPr>
        <w:t>,</w:t>
      </w:r>
      <w:r w:rsidR="000D05E2" w:rsidRPr="000F3CBF">
        <w:rPr>
          <w:sz w:val="20"/>
          <w:szCs w:val="20"/>
        </w:rPr>
        <w:t xml:space="preserve"> on average</w:t>
      </w:r>
      <w:r w:rsidR="00FC0F0A">
        <w:rPr>
          <w:sz w:val="20"/>
          <w:szCs w:val="20"/>
        </w:rPr>
        <w:t>,</w:t>
      </w:r>
      <w:r w:rsidR="00E93252">
        <w:rPr>
          <w:sz w:val="20"/>
          <w:szCs w:val="20"/>
        </w:rPr>
        <w:t xml:space="preserve"> than</w:t>
      </w:r>
      <w:r w:rsidR="00CD281D" w:rsidRPr="000F3CBF">
        <w:rPr>
          <w:sz w:val="20"/>
          <w:szCs w:val="20"/>
        </w:rPr>
        <w:t xml:space="preserve"> typical IPO companies</w:t>
      </w:r>
      <w:r w:rsidR="006C412A" w:rsidRPr="000F3CBF">
        <w:rPr>
          <w:sz w:val="20"/>
          <w:szCs w:val="20"/>
        </w:rPr>
        <w:t xml:space="preserve">.  In </w:t>
      </w:r>
      <w:proofErr w:type="spellStart"/>
      <w:r w:rsidR="006C412A" w:rsidRPr="000F3CBF">
        <w:rPr>
          <w:sz w:val="20"/>
          <w:szCs w:val="20"/>
        </w:rPr>
        <w:t>untabulated</w:t>
      </w:r>
      <w:proofErr w:type="spellEnd"/>
      <w:r w:rsidR="006C412A" w:rsidRPr="000F3CBF">
        <w:rPr>
          <w:sz w:val="20"/>
          <w:szCs w:val="20"/>
        </w:rPr>
        <w:t xml:space="preserve"> results I </w:t>
      </w:r>
      <w:r w:rsidR="00016989" w:rsidRPr="000F3CBF">
        <w:rPr>
          <w:sz w:val="20"/>
          <w:szCs w:val="20"/>
        </w:rPr>
        <w:t xml:space="preserve">also </w:t>
      </w:r>
      <w:r w:rsidR="00A337E8">
        <w:rPr>
          <w:sz w:val="20"/>
          <w:szCs w:val="20"/>
        </w:rPr>
        <w:t>perform a similar comparison of</w:t>
      </w:r>
      <w:r w:rsidR="006C412A" w:rsidRPr="000F3CBF">
        <w:rPr>
          <w:sz w:val="20"/>
          <w:szCs w:val="20"/>
        </w:rPr>
        <w:t xml:space="preserve"> excess returns in the first</w:t>
      </w:r>
      <w:r w:rsidR="00E93252">
        <w:rPr>
          <w:sz w:val="20"/>
          <w:szCs w:val="20"/>
        </w:rPr>
        <w:t xml:space="preserve"> </w:t>
      </w:r>
      <w:r w:rsidR="006C412A" w:rsidRPr="000F3CBF">
        <w:rPr>
          <w:sz w:val="20"/>
          <w:szCs w:val="20"/>
        </w:rPr>
        <w:lastRenderedPageBreak/>
        <w:t>year after goi</w:t>
      </w:r>
      <w:r w:rsidR="00A337E8">
        <w:rPr>
          <w:sz w:val="20"/>
          <w:szCs w:val="20"/>
        </w:rPr>
        <w:t>ng public</w:t>
      </w:r>
      <w:r w:rsidR="00A337E8">
        <w:rPr>
          <w:rStyle w:val="FootnoteReference"/>
          <w:sz w:val="20"/>
          <w:szCs w:val="20"/>
        </w:rPr>
        <w:footnoteReference w:id="9"/>
      </w:r>
      <w:r w:rsidR="006C412A" w:rsidRPr="000F3CBF">
        <w:rPr>
          <w:sz w:val="20"/>
          <w:szCs w:val="20"/>
        </w:rPr>
        <w:t xml:space="preserve">. </w:t>
      </w:r>
      <w:r w:rsidR="00016989" w:rsidRPr="000F3CBF">
        <w:rPr>
          <w:sz w:val="20"/>
          <w:szCs w:val="20"/>
        </w:rPr>
        <w:t xml:space="preserve"> </w:t>
      </w:r>
      <w:r w:rsidR="006C412A" w:rsidRPr="000F3CBF">
        <w:rPr>
          <w:sz w:val="20"/>
          <w:szCs w:val="20"/>
        </w:rPr>
        <w:t xml:space="preserve">On average, the </w:t>
      </w:r>
      <w:r w:rsidR="00E93252">
        <w:rPr>
          <w:sz w:val="20"/>
          <w:szCs w:val="20"/>
        </w:rPr>
        <w:t xml:space="preserve">owning sample </w:t>
      </w:r>
      <w:r w:rsidR="006C412A" w:rsidRPr="000F3CBF">
        <w:rPr>
          <w:sz w:val="20"/>
          <w:szCs w:val="20"/>
        </w:rPr>
        <w:t>excess returns are relatively high (0.56), but the range is quite large.  The mean and median excess returns of the sample companies (0.56 and 0.245</w:t>
      </w:r>
      <w:r w:rsidR="009C075F">
        <w:rPr>
          <w:sz w:val="20"/>
          <w:szCs w:val="20"/>
        </w:rPr>
        <w:t>,</w:t>
      </w:r>
      <w:r w:rsidR="006C412A" w:rsidRPr="000F3CBF">
        <w:rPr>
          <w:sz w:val="20"/>
          <w:szCs w:val="20"/>
        </w:rPr>
        <w:t xml:space="preserve"> respectively</w:t>
      </w:r>
      <w:r w:rsidR="009C075F">
        <w:rPr>
          <w:sz w:val="20"/>
          <w:szCs w:val="20"/>
        </w:rPr>
        <w:t>,</w:t>
      </w:r>
      <w:r w:rsidR="006C412A" w:rsidRPr="000F3CBF">
        <w:rPr>
          <w:sz w:val="20"/>
          <w:szCs w:val="20"/>
        </w:rPr>
        <w:t xml:space="preserve"> relative to CRSP value weighted) are greater than the </w:t>
      </w:r>
      <w:r w:rsidR="00014F59" w:rsidRPr="000F3CBF">
        <w:rPr>
          <w:sz w:val="20"/>
          <w:szCs w:val="20"/>
        </w:rPr>
        <w:t xml:space="preserve">comparable </w:t>
      </w:r>
      <w:r w:rsidR="006C412A" w:rsidRPr="000F3CBF">
        <w:rPr>
          <w:sz w:val="20"/>
          <w:szCs w:val="20"/>
        </w:rPr>
        <w:t xml:space="preserve">returns for the </w:t>
      </w:r>
      <w:r w:rsidR="000E74E0" w:rsidRPr="000F3CBF">
        <w:rPr>
          <w:sz w:val="20"/>
          <w:szCs w:val="20"/>
        </w:rPr>
        <w:t>more comprehensive</w:t>
      </w:r>
      <w:r w:rsidR="006C412A" w:rsidRPr="000F3CBF">
        <w:rPr>
          <w:sz w:val="20"/>
          <w:szCs w:val="20"/>
        </w:rPr>
        <w:t xml:space="preserve"> IPO </w:t>
      </w:r>
      <w:r w:rsidR="00014F59" w:rsidRPr="000F3CBF">
        <w:rPr>
          <w:sz w:val="20"/>
          <w:szCs w:val="20"/>
        </w:rPr>
        <w:t>sample</w:t>
      </w:r>
      <w:r w:rsidR="00FC0F0A">
        <w:rPr>
          <w:sz w:val="20"/>
          <w:szCs w:val="20"/>
        </w:rPr>
        <w:t xml:space="preserve"> (</w:t>
      </w:r>
      <w:r w:rsidR="006C412A" w:rsidRPr="000F3CBF">
        <w:rPr>
          <w:sz w:val="20"/>
          <w:szCs w:val="20"/>
        </w:rPr>
        <w:t>0.144 and -0.062, respectively</w:t>
      </w:r>
      <w:r w:rsidR="00FC0F0A">
        <w:rPr>
          <w:sz w:val="20"/>
          <w:szCs w:val="20"/>
        </w:rPr>
        <w:t>)</w:t>
      </w:r>
      <w:r w:rsidR="006C412A" w:rsidRPr="000F3CBF">
        <w:rPr>
          <w:sz w:val="20"/>
          <w:szCs w:val="20"/>
        </w:rPr>
        <w:t>.</w:t>
      </w:r>
      <w:r w:rsidR="000E74E0" w:rsidRPr="000F3CBF">
        <w:rPr>
          <w:sz w:val="20"/>
          <w:szCs w:val="20"/>
        </w:rPr>
        <w:t xml:space="preserve">  At face value, the returns diff</w:t>
      </w:r>
      <w:r w:rsidR="009C075F">
        <w:rPr>
          <w:sz w:val="20"/>
          <w:szCs w:val="20"/>
        </w:rPr>
        <w:t>erence suggests that the owning-</w:t>
      </w:r>
      <w:r w:rsidR="000E74E0" w:rsidRPr="000F3CBF">
        <w:rPr>
          <w:sz w:val="20"/>
          <w:szCs w:val="20"/>
        </w:rPr>
        <w:t>analysts have significant stock picking ability.</w:t>
      </w:r>
    </w:p>
    <w:p w:rsidR="006C412A" w:rsidRPr="000F3CBF" w:rsidRDefault="006C412A" w:rsidP="009364E2">
      <w:pPr>
        <w:pStyle w:val="BodyTextIndent"/>
        <w:rPr>
          <w:sz w:val="20"/>
          <w:szCs w:val="20"/>
        </w:rPr>
      </w:pPr>
      <w:r w:rsidRPr="000F3CBF">
        <w:rPr>
          <w:sz w:val="20"/>
          <w:szCs w:val="20"/>
        </w:rPr>
        <w:t xml:space="preserve">Although the IPOs of the sample companies are spread over many years, 55% of the companies went public in the years 1999 and 2000.  </w:t>
      </w:r>
      <w:r w:rsidR="00655B00" w:rsidRPr="000F3CBF">
        <w:rPr>
          <w:sz w:val="20"/>
          <w:szCs w:val="20"/>
        </w:rPr>
        <w:t>In addition, t</w:t>
      </w:r>
      <w:r w:rsidRPr="000F3CBF">
        <w:rPr>
          <w:sz w:val="20"/>
          <w:szCs w:val="20"/>
        </w:rPr>
        <w:t>he 49 companies represent 21 different four-digit SIC industry codes but are primarily concentrated in technology, Internet, or telecommunication companies.</w:t>
      </w:r>
      <w:r w:rsidRPr="000F3CBF">
        <w:rPr>
          <w:rStyle w:val="FootnoteReference"/>
          <w:sz w:val="20"/>
          <w:szCs w:val="20"/>
        </w:rPr>
        <w:footnoteReference w:id="10"/>
      </w:r>
    </w:p>
    <w:p w:rsidR="006C412A" w:rsidRPr="000F3CBF" w:rsidRDefault="001E50D2" w:rsidP="00446A4C">
      <w:pPr>
        <w:pStyle w:val="BodyTextIndent"/>
        <w:rPr>
          <w:b/>
          <w:sz w:val="20"/>
          <w:szCs w:val="20"/>
        </w:rPr>
      </w:pPr>
      <w:r w:rsidRPr="000F3CBF">
        <w:rPr>
          <w:sz w:val="20"/>
          <w:szCs w:val="20"/>
        </w:rPr>
        <w:t>Table 1</w:t>
      </w:r>
      <w:r w:rsidRPr="000F3CBF">
        <w:rPr>
          <w:i/>
          <w:sz w:val="20"/>
          <w:szCs w:val="20"/>
        </w:rPr>
        <w:t xml:space="preserve"> </w:t>
      </w:r>
      <w:r w:rsidR="006C412A" w:rsidRPr="000F3CBF">
        <w:rPr>
          <w:sz w:val="20"/>
          <w:szCs w:val="20"/>
        </w:rPr>
        <w:t xml:space="preserve">PANEL B compares the yearly market value of equity of the disclosing sample companies to the entire </w:t>
      </w:r>
      <w:proofErr w:type="spellStart"/>
      <w:r w:rsidR="006C412A" w:rsidRPr="000F3CBF">
        <w:rPr>
          <w:sz w:val="20"/>
          <w:szCs w:val="20"/>
        </w:rPr>
        <w:t>Compustat</w:t>
      </w:r>
      <w:proofErr w:type="spellEnd"/>
      <w:r w:rsidR="006C412A" w:rsidRPr="000F3CBF">
        <w:rPr>
          <w:sz w:val="20"/>
          <w:szCs w:val="20"/>
        </w:rPr>
        <w:t xml:space="preserve"> database.  In general, based on the medians and means of both groups, it is clear that the stock-owning analyst sample companies are larger than the average </w:t>
      </w:r>
      <w:proofErr w:type="spellStart"/>
      <w:r w:rsidR="006C412A" w:rsidRPr="000F3CBF">
        <w:rPr>
          <w:sz w:val="20"/>
          <w:szCs w:val="20"/>
        </w:rPr>
        <w:t>Compustat</w:t>
      </w:r>
      <w:proofErr w:type="spellEnd"/>
      <w:r w:rsidR="006C412A" w:rsidRPr="000F3CBF">
        <w:rPr>
          <w:sz w:val="20"/>
          <w:szCs w:val="20"/>
        </w:rPr>
        <w:t xml:space="preserve"> </w:t>
      </w:r>
      <w:proofErr w:type="gramStart"/>
      <w:r w:rsidR="006C412A" w:rsidRPr="000F3CBF">
        <w:rPr>
          <w:sz w:val="20"/>
          <w:szCs w:val="20"/>
        </w:rPr>
        <w:t>company</w:t>
      </w:r>
      <w:proofErr w:type="gramEnd"/>
      <w:r w:rsidR="006C412A" w:rsidRPr="000F3CBF">
        <w:rPr>
          <w:sz w:val="20"/>
          <w:szCs w:val="20"/>
        </w:rPr>
        <w:t>.  However, the size difference may not be unusual, in that previous research has shown that analyst coverage is generally concentrated in larger firms.</w:t>
      </w:r>
    </w:p>
    <w:p w:rsidR="00E33F50" w:rsidRPr="000F3CBF" w:rsidRDefault="006C412A" w:rsidP="00E93252">
      <w:pPr>
        <w:pStyle w:val="BodyTextIndent"/>
        <w:rPr>
          <w:sz w:val="20"/>
          <w:szCs w:val="20"/>
        </w:rPr>
      </w:pPr>
      <w:r w:rsidRPr="000F3CBF">
        <w:rPr>
          <w:sz w:val="20"/>
          <w:szCs w:val="20"/>
        </w:rPr>
        <w:t xml:space="preserve">Eighty of the 103 companies undertake an IPO during the sample period, suggesting that analyst ownership is </w:t>
      </w:r>
      <w:r w:rsidR="007D34DD" w:rsidRPr="000F3CBF">
        <w:rPr>
          <w:sz w:val="20"/>
          <w:szCs w:val="20"/>
        </w:rPr>
        <w:t xml:space="preserve">frequently </w:t>
      </w:r>
      <w:r w:rsidRPr="000F3CBF">
        <w:rPr>
          <w:sz w:val="20"/>
          <w:szCs w:val="20"/>
        </w:rPr>
        <w:t>associated with IPOs.  The sample companies are also quite active in the SEO market; so controlling for SEO underwriting incentives is appropriate. Most industry groups, based on one-digit SIC code, are present in the sample.  However, approximately 40% of the sample is computer programming or software firms.</w:t>
      </w:r>
      <w:r w:rsidRPr="000F3CBF">
        <w:rPr>
          <w:rStyle w:val="FootnoteReference"/>
          <w:sz w:val="20"/>
          <w:szCs w:val="20"/>
        </w:rPr>
        <w:footnoteReference w:id="11"/>
      </w:r>
      <w:r w:rsidR="00E93252">
        <w:rPr>
          <w:sz w:val="20"/>
          <w:szCs w:val="20"/>
        </w:rPr>
        <w:t xml:space="preserve">  </w:t>
      </w:r>
      <w:r w:rsidRPr="000F3CBF">
        <w:rPr>
          <w:sz w:val="20"/>
          <w:szCs w:val="20"/>
        </w:rPr>
        <w:t>Sample analyst characteristics are discussed in th</w:t>
      </w:r>
      <w:r w:rsidR="00F84EF2" w:rsidRPr="000F3CBF">
        <w:rPr>
          <w:sz w:val="20"/>
          <w:szCs w:val="20"/>
        </w:rPr>
        <w:t>e results section (Section 4.2</w:t>
      </w:r>
      <w:r w:rsidRPr="000F3CBF">
        <w:rPr>
          <w:sz w:val="20"/>
          <w:szCs w:val="20"/>
        </w:rPr>
        <w:t xml:space="preserve"> and </w:t>
      </w:r>
      <w:r w:rsidR="00E817C9" w:rsidRPr="000F3CBF">
        <w:rPr>
          <w:sz w:val="20"/>
          <w:szCs w:val="20"/>
        </w:rPr>
        <w:t>Table 3</w:t>
      </w:r>
      <w:r w:rsidRPr="000F3CBF">
        <w:rPr>
          <w:sz w:val="20"/>
          <w:szCs w:val="20"/>
        </w:rPr>
        <w:t>).</w:t>
      </w:r>
    </w:p>
    <w:p w:rsidR="006C412A" w:rsidRPr="000F3CBF" w:rsidRDefault="003D1485" w:rsidP="009364E2">
      <w:pPr>
        <w:pStyle w:val="BodyTextIndent"/>
        <w:ind w:firstLine="0"/>
        <w:rPr>
          <w:i/>
          <w:sz w:val="20"/>
          <w:szCs w:val="20"/>
        </w:rPr>
      </w:pPr>
      <w:r w:rsidRPr="000F3CBF">
        <w:rPr>
          <w:i/>
          <w:sz w:val="20"/>
          <w:szCs w:val="20"/>
        </w:rPr>
        <w:t>3.3</w:t>
      </w:r>
      <w:r w:rsidR="006C412A" w:rsidRPr="000F3CBF">
        <w:rPr>
          <w:i/>
          <w:sz w:val="20"/>
          <w:szCs w:val="20"/>
        </w:rPr>
        <w:t>. Research design</w:t>
      </w:r>
    </w:p>
    <w:p w:rsidR="006C412A" w:rsidRPr="000F3CBF" w:rsidRDefault="006C412A" w:rsidP="009364E2">
      <w:pPr>
        <w:pStyle w:val="BodyTextIndent"/>
        <w:rPr>
          <w:sz w:val="20"/>
          <w:szCs w:val="20"/>
        </w:rPr>
      </w:pPr>
      <w:r w:rsidRPr="000F3CBF">
        <w:rPr>
          <w:sz w:val="20"/>
          <w:szCs w:val="20"/>
        </w:rPr>
        <w:t>I test for the presence of bias in stock-owning analyst reporting by comparing their primary report outputs to those of non-stock-owning analysts</w:t>
      </w:r>
      <w:r w:rsidR="00B6133E" w:rsidRPr="000F3CBF">
        <w:rPr>
          <w:sz w:val="20"/>
          <w:szCs w:val="20"/>
        </w:rPr>
        <w:t xml:space="preserve"> employed by other investment or research firms</w:t>
      </w:r>
      <w:r w:rsidRPr="000F3CBF">
        <w:rPr>
          <w:sz w:val="20"/>
          <w:szCs w:val="20"/>
        </w:rPr>
        <w:t xml:space="preserve"> who cover the same company.  These comparisons eliminate any idiosyncratic reporting differences across industries and companies, but fail to control for analyst characteristics.  I use control variables to address possible reporting differences across analysts.</w:t>
      </w:r>
      <w:r w:rsidR="00B6535C" w:rsidRPr="000F3CBF">
        <w:rPr>
          <w:sz w:val="20"/>
          <w:szCs w:val="20"/>
        </w:rPr>
        <w:t xml:space="preserve">  </w:t>
      </w:r>
    </w:p>
    <w:p w:rsidR="00E33F50" w:rsidRPr="000F3CBF" w:rsidRDefault="006C412A" w:rsidP="00F77AE5">
      <w:pPr>
        <w:pStyle w:val="BodyTextIndent"/>
        <w:rPr>
          <w:sz w:val="20"/>
          <w:szCs w:val="20"/>
        </w:rPr>
      </w:pPr>
      <w:r w:rsidRPr="000F3CBF">
        <w:rPr>
          <w:sz w:val="20"/>
          <w:szCs w:val="20"/>
        </w:rPr>
        <w:lastRenderedPageBreak/>
        <w:t>An alternative research design is to compare within-analyst.  A within-an</w:t>
      </w:r>
      <w:r w:rsidR="00CD281D" w:rsidRPr="000F3CBF">
        <w:rPr>
          <w:sz w:val="20"/>
          <w:szCs w:val="20"/>
        </w:rPr>
        <w:t>alyst approach uses only owning-</w:t>
      </w:r>
      <w:r w:rsidRPr="000F3CBF">
        <w:rPr>
          <w:sz w:val="20"/>
          <w:szCs w:val="20"/>
        </w:rPr>
        <w:t>analyst</w:t>
      </w:r>
      <w:r w:rsidR="00FC0F0A">
        <w:rPr>
          <w:sz w:val="20"/>
          <w:szCs w:val="20"/>
        </w:rPr>
        <w:t xml:space="preserve"> reports </w:t>
      </w:r>
      <w:r w:rsidRPr="000F3CBF">
        <w:rPr>
          <w:sz w:val="20"/>
          <w:szCs w:val="20"/>
        </w:rPr>
        <w:t xml:space="preserve">and compares the outputs </w:t>
      </w:r>
      <w:r w:rsidR="00E93252">
        <w:rPr>
          <w:sz w:val="20"/>
          <w:szCs w:val="20"/>
        </w:rPr>
        <w:t>across</w:t>
      </w:r>
      <w:r w:rsidRPr="000F3CBF">
        <w:rPr>
          <w:sz w:val="20"/>
          <w:szCs w:val="20"/>
        </w:rPr>
        <w:t xml:space="preserve"> two groups</w:t>
      </w:r>
      <w:r w:rsidR="00E93252">
        <w:rPr>
          <w:sz w:val="20"/>
          <w:szCs w:val="20"/>
        </w:rPr>
        <w:t xml:space="preserve">, </w:t>
      </w:r>
      <w:r w:rsidR="00FC0F0A">
        <w:rPr>
          <w:sz w:val="20"/>
          <w:szCs w:val="20"/>
        </w:rPr>
        <w:t>those she owns versus</w:t>
      </w:r>
      <w:r w:rsidR="00E93252">
        <w:rPr>
          <w:sz w:val="20"/>
          <w:szCs w:val="20"/>
        </w:rPr>
        <w:t xml:space="preserve"> those that she does not own</w:t>
      </w:r>
      <w:r w:rsidRPr="000F3CBF">
        <w:rPr>
          <w:sz w:val="20"/>
          <w:szCs w:val="20"/>
        </w:rPr>
        <w:t>.  Comparing within-analyst controls for individual analyst characteristics but ignores reporting differences across industry or company.</w:t>
      </w:r>
      <w:r w:rsidR="00FC0F0A">
        <w:rPr>
          <w:sz w:val="20"/>
          <w:szCs w:val="20"/>
        </w:rPr>
        <w:t xml:space="preserve">  Since a</w:t>
      </w:r>
      <w:r w:rsidRPr="000F3CBF">
        <w:rPr>
          <w:sz w:val="20"/>
          <w:szCs w:val="20"/>
        </w:rPr>
        <w:t>nalyst forecast bias, either optimistic or pessimist</w:t>
      </w:r>
      <w:r w:rsidR="00FC0F0A">
        <w:rPr>
          <w:sz w:val="20"/>
          <w:szCs w:val="20"/>
        </w:rPr>
        <w:t xml:space="preserve">ic, varies widely across stocks </w:t>
      </w:r>
      <w:proofErr w:type="gramStart"/>
      <w:r w:rsidR="00FC0F0A">
        <w:rPr>
          <w:sz w:val="20"/>
          <w:szCs w:val="20"/>
        </w:rPr>
        <w:t>and</w:t>
      </w:r>
      <w:r w:rsidRPr="000F3CBF">
        <w:rPr>
          <w:sz w:val="20"/>
          <w:szCs w:val="20"/>
        </w:rPr>
        <w:t xml:space="preserve"> </w:t>
      </w:r>
      <w:r w:rsidR="00FC0F0A">
        <w:rPr>
          <w:sz w:val="20"/>
          <w:szCs w:val="20"/>
        </w:rPr>
        <w:t xml:space="preserve"> g</w:t>
      </w:r>
      <w:r w:rsidRPr="000F3CBF">
        <w:rPr>
          <w:sz w:val="20"/>
          <w:szCs w:val="20"/>
        </w:rPr>
        <w:t>iven</w:t>
      </w:r>
      <w:proofErr w:type="gramEnd"/>
      <w:r w:rsidRPr="000F3CBF">
        <w:rPr>
          <w:sz w:val="20"/>
          <w:szCs w:val="20"/>
        </w:rPr>
        <w:t xml:space="preserve"> that there is little research to explain this cross-sectional variation, identifying appropriate control variables for a within-analyst approach is problematic.  Subject to that caveat, I use the within-analyst approach for robustness testing in the disclosing sample because</w:t>
      </w:r>
      <w:r w:rsidR="00E93252">
        <w:rPr>
          <w:sz w:val="20"/>
          <w:szCs w:val="20"/>
        </w:rPr>
        <w:t xml:space="preserve"> all</w:t>
      </w:r>
      <w:r w:rsidRPr="000F3CBF">
        <w:rPr>
          <w:sz w:val="20"/>
          <w:szCs w:val="20"/>
        </w:rPr>
        <w:t xml:space="preserve"> the disclosing analysts</w:t>
      </w:r>
      <w:r w:rsidR="00E93252">
        <w:rPr>
          <w:sz w:val="20"/>
          <w:szCs w:val="20"/>
        </w:rPr>
        <w:t xml:space="preserve">’ ownership interests are </w:t>
      </w:r>
      <w:r w:rsidRPr="000F3CBF">
        <w:rPr>
          <w:sz w:val="20"/>
          <w:szCs w:val="20"/>
        </w:rPr>
        <w:t>identified.</w:t>
      </w:r>
    </w:p>
    <w:p w:rsidR="006C412A" w:rsidRPr="000F3CBF" w:rsidRDefault="003D1485" w:rsidP="00490632">
      <w:pPr>
        <w:pStyle w:val="BodyTextIndent"/>
        <w:ind w:firstLine="0"/>
        <w:rPr>
          <w:i/>
          <w:sz w:val="20"/>
          <w:szCs w:val="20"/>
        </w:rPr>
      </w:pPr>
      <w:r w:rsidRPr="000F3CBF">
        <w:rPr>
          <w:i/>
          <w:sz w:val="20"/>
          <w:szCs w:val="20"/>
        </w:rPr>
        <w:t>3.3</w:t>
      </w:r>
      <w:r w:rsidR="006C412A" w:rsidRPr="000F3CBF">
        <w:rPr>
          <w:i/>
          <w:sz w:val="20"/>
          <w:szCs w:val="20"/>
        </w:rPr>
        <w:t>.1. Variables</w:t>
      </w:r>
    </w:p>
    <w:p w:rsidR="006C412A" w:rsidRPr="000F3CBF" w:rsidRDefault="00655B00" w:rsidP="009364E2">
      <w:pPr>
        <w:pStyle w:val="BodyTextIndent"/>
        <w:rPr>
          <w:sz w:val="20"/>
          <w:szCs w:val="20"/>
        </w:rPr>
      </w:pPr>
      <w:r w:rsidRPr="000F3CBF">
        <w:rPr>
          <w:sz w:val="20"/>
          <w:szCs w:val="20"/>
        </w:rPr>
        <w:t>Since the</w:t>
      </w:r>
      <w:r w:rsidR="006C412A" w:rsidRPr="000F3CBF">
        <w:rPr>
          <w:sz w:val="20"/>
          <w:szCs w:val="20"/>
        </w:rPr>
        <w:t xml:space="preserve"> objective is to test for the existence and significance of bias in stock-owning analyst reports,</w:t>
      </w:r>
      <w:r w:rsidRPr="000F3CBF">
        <w:rPr>
          <w:sz w:val="20"/>
          <w:szCs w:val="20"/>
        </w:rPr>
        <w:t xml:space="preserve"> the tests</w:t>
      </w:r>
      <w:r w:rsidR="006C412A" w:rsidRPr="000F3CBF">
        <w:rPr>
          <w:sz w:val="20"/>
          <w:szCs w:val="20"/>
        </w:rPr>
        <w:t xml:space="preserve"> focus on earnings forecasts and recommendations, the primary outputs of a research report.</w:t>
      </w:r>
      <w:r w:rsidR="006C412A" w:rsidRPr="000F3CBF">
        <w:rPr>
          <w:rStyle w:val="FootnoteReference"/>
          <w:sz w:val="20"/>
          <w:szCs w:val="20"/>
        </w:rPr>
        <w:footnoteReference w:id="12"/>
      </w:r>
      <w:r w:rsidR="006C412A" w:rsidRPr="000F3CBF">
        <w:rPr>
          <w:sz w:val="20"/>
          <w:szCs w:val="20"/>
        </w:rPr>
        <w:t xml:space="preserve">  The two dependent variables are forecast errors and the recommendation level.</w:t>
      </w:r>
    </w:p>
    <w:p w:rsidR="006C412A" w:rsidRPr="000F3CBF" w:rsidRDefault="006C412A" w:rsidP="009364E2">
      <w:pPr>
        <w:pStyle w:val="BodyTextIndent"/>
        <w:rPr>
          <w:sz w:val="20"/>
          <w:szCs w:val="20"/>
        </w:rPr>
      </w:pPr>
      <w:r w:rsidRPr="000F3CBF">
        <w:rPr>
          <w:sz w:val="20"/>
          <w:szCs w:val="20"/>
        </w:rPr>
        <w:t xml:space="preserve">Forecast errors (FE) are company actual quarterly earnings less individual analyst earnings forecasts.  Since analysts forecast the results from continuing operations before extraordinary items, actual earnings often require adjustment to be comparable to analyst forecasts.  I obtain actual earnings from IBES, because IBES performs the earnings adjustment.  To reduce </w:t>
      </w:r>
      <w:proofErr w:type="spellStart"/>
      <w:r w:rsidRPr="000F3CBF">
        <w:rPr>
          <w:sz w:val="20"/>
          <w:szCs w:val="20"/>
        </w:rPr>
        <w:t>heteroskedasticity</w:t>
      </w:r>
      <w:proofErr w:type="spellEnd"/>
      <w:r w:rsidRPr="000F3CBF">
        <w:rPr>
          <w:sz w:val="20"/>
          <w:szCs w:val="20"/>
        </w:rPr>
        <w:t xml:space="preserve">, I deflate forecast errors by the stock price one year prior to the forecast period ending date.  </w:t>
      </w:r>
      <w:r w:rsidR="005E78D8" w:rsidRPr="000F3CBF">
        <w:rPr>
          <w:sz w:val="20"/>
          <w:szCs w:val="20"/>
        </w:rPr>
        <w:t>For the first year of forecasts after an IPO</w:t>
      </w:r>
      <w:r w:rsidRPr="000F3CBF">
        <w:rPr>
          <w:sz w:val="20"/>
          <w:szCs w:val="20"/>
        </w:rPr>
        <w:t xml:space="preserve"> I deflate the forecasts by the first price quoted on CRSP.  To avoid FE measurement problems that could arise from small deflators, consistent with prior research, I de</w:t>
      </w:r>
      <w:r w:rsidR="001E50D2" w:rsidRPr="000F3CBF">
        <w:rPr>
          <w:sz w:val="20"/>
          <w:szCs w:val="20"/>
        </w:rPr>
        <w:t>lete the observations</w:t>
      </w:r>
      <w:r w:rsidRPr="000F3CBF">
        <w:rPr>
          <w:sz w:val="20"/>
          <w:szCs w:val="20"/>
        </w:rPr>
        <w:t xml:space="preserve"> with price deflators that are less than $5.  To reduce the effect of outliers, I </w:t>
      </w:r>
      <w:proofErr w:type="spellStart"/>
      <w:r w:rsidRPr="000F3CBF">
        <w:rPr>
          <w:sz w:val="20"/>
          <w:szCs w:val="20"/>
        </w:rPr>
        <w:t>winsorize</w:t>
      </w:r>
      <w:proofErr w:type="spellEnd"/>
      <w:r w:rsidRPr="000F3CBF">
        <w:rPr>
          <w:sz w:val="20"/>
          <w:szCs w:val="20"/>
        </w:rPr>
        <w:t xml:space="preserve"> the top and bottom percentile of forecast errors.</w:t>
      </w:r>
    </w:p>
    <w:p w:rsidR="006C412A" w:rsidRPr="000F3CBF" w:rsidRDefault="006C412A" w:rsidP="009364E2">
      <w:pPr>
        <w:pStyle w:val="BodyTextIndent"/>
        <w:rPr>
          <w:i/>
          <w:sz w:val="20"/>
          <w:szCs w:val="20"/>
        </w:rPr>
      </w:pPr>
      <w:r w:rsidRPr="000F3CBF">
        <w:rPr>
          <w:sz w:val="20"/>
          <w:szCs w:val="20"/>
        </w:rPr>
        <w:t xml:space="preserve">IBES converts analyst recommendations into </w:t>
      </w:r>
      <w:r w:rsidR="00490A31" w:rsidRPr="000F3CBF">
        <w:rPr>
          <w:sz w:val="20"/>
          <w:szCs w:val="20"/>
        </w:rPr>
        <w:t>an ordinal variable</w:t>
      </w:r>
      <w:r w:rsidR="00CD281D" w:rsidRPr="000F3CBF">
        <w:rPr>
          <w:sz w:val="20"/>
          <w:szCs w:val="20"/>
        </w:rPr>
        <w:t>,</w:t>
      </w:r>
      <w:r w:rsidRPr="000F3CBF">
        <w:rPr>
          <w:sz w:val="20"/>
          <w:szCs w:val="20"/>
        </w:rPr>
        <w:t xml:space="preserve"> one through five.  A strong buy recommendation appears as a one in the databas</w:t>
      </w:r>
      <w:r w:rsidR="00490A31" w:rsidRPr="000F3CBF">
        <w:rPr>
          <w:sz w:val="20"/>
          <w:szCs w:val="20"/>
        </w:rPr>
        <w:t>e, a two is a buy</w:t>
      </w:r>
      <w:r w:rsidRPr="000F3CBF">
        <w:rPr>
          <w:sz w:val="20"/>
          <w:szCs w:val="20"/>
        </w:rPr>
        <w:t>, a three is a hold, a four is a sell, and a five is a strong sell.  To enhance recommendation comparability, I match each stock-owning analyst report with all non-stock-owning analyst recommendations issued in the 60 days before and after the stock-owning analyst report.</w:t>
      </w:r>
    </w:p>
    <w:p w:rsidR="006C412A" w:rsidRPr="000F3CBF" w:rsidRDefault="006C412A" w:rsidP="009364E2">
      <w:pPr>
        <w:pStyle w:val="BodyTextIndent"/>
        <w:rPr>
          <w:sz w:val="20"/>
          <w:szCs w:val="20"/>
        </w:rPr>
      </w:pPr>
      <w:r w:rsidRPr="000F3CBF">
        <w:rPr>
          <w:sz w:val="20"/>
          <w:szCs w:val="20"/>
        </w:rPr>
        <w:lastRenderedPageBreak/>
        <w:t>To test for stock ownership bias, I include an ownership dummy variable</w:t>
      </w:r>
      <w:r w:rsidR="00014F59" w:rsidRPr="000F3CBF">
        <w:rPr>
          <w:sz w:val="20"/>
          <w:szCs w:val="20"/>
        </w:rPr>
        <w:t xml:space="preserve"> (OWN)</w:t>
      </w:r>
      <w:r w:rsidRPr="000F3CBF">
        <w:rPr>
          <w:sz w:val="20"/>
          <w:szCs w:val="20"/>
        </w:rPr>
        <w:t xml:space="preserve"> in all test specifications.  </w:t>
      </w:r>
      <w:r w:rsidR="000D05E2" w:rsidRPr="000F3CBF">
        <w:rPr>
          <w:sz w:val="20"/>
          <w:szCs w:val="20"/>
        </w:rPr>
        <w:t xml:space="preserve">Ideally, the economic significance of the stock relative to an analyst’s wealth would be the incentive measure.  However, given that personal financial data is unavailable, </w:t>
      </w:r>
      <w:r w:rsidR="00D75438" w:rsidRPr="000F3CBF">
        <w:rPr>
          <w:sz w:val="20"/>
          <w:szCs w:val="20"/>
        </w:rPr>
        <w:t>the incentive proxy is</w:t>
      </w:r>
      <w:r w:rsidR="000D05E2" w:rsidRPr="000F3CBF">
        <w:rPr>
          <w:sz w:val="20"/>
          <w:szCs w:val="20"/>
        </w:rPr>
        <w:t xml:space="preserve"> the existence of o</w:t>
      </w:r>
      <w:r w:rsidR="00D75438" w:rsidRPr="000F3CBF">
        <w:rPr>
          <w:sz w:val="20"/>
          <w:szCs w:val="20"/>
        </w:rPr>
        <w:t>wnership</w:t>
      </w:r>
      <w:r w:rsidR="001016CB" w:rsidRPr="000F3CBF">
        <w:rPr>
          <w:sz w:val="20"/>
          <w:szCs w:val="20"/>
        </w:rPr>
        <w:t>.</w:t>
      </w:r>
      <w:r w:rsidRPr="000F3CBF">
        <w:rPr>
          <w:sz w:val="20"/>
          <w:szCs w:val="20"/>
        </w:rPr>
        <w:t xml:space="preserve">  Negative forecast errors indicate optimism.  For the recommendation specification, </w:t>
      </w:r>
      <w:r w:rsidR="001016CB" w:rsidRPr="000F3CBF">
        <w:rPr>
          <w:sz w:val="20"/>
          <w:szCs w:val="20"/>
        </w:rPr>
        <w:t xml:space="preserve">optimism also results in </w:t>
      </w:r>
      <w:r w:rsidRPr="000F3CBF">
        <w:rPr>
          <w:sz w:val="20"/>
          <w:szCs w:val="20"/>
        </w:rPr>
        <w:t>a negative co</w:t>
      </w:r>
      <w:r w:rsidR="001016CB" w:rsidRPr="000F3CBF">
        <w:rPr>
          <w:sz w:val="20"/>
          <w:szCs w:val="20"/>
        </w:rPr>
        <w:t xml:space="preserve">efficient </w:t>
      </w:r>
      <w:r w:rsidRPr="000F3CBF">
        <w:rPr>
          <w:sz w:val="20"/>
          <w:szCs w:val="20"/>
        </w:rPr>
        <w:t>because IBES assigns a</w:t>
      </w:r>
      <w:r w:rsidR="00E93252">
        <w:rPr>
          <w:sz w:val="20"/>
          <w:szCs w:val="20"/>
        </w:rPr>
        <w:t xml:space="preserve"> lower number to more favorable</w:t>
      </w:r>
      <w:r w:rsidRPr="000F3CBF">
        <w:rPr>
          <w:sz w:val="20"/>
          <w:szCs w:val="20"/>
        </w:rPr>
        <w:t xml:space="preserve"> recommendations. </w:t>
      </w:r>
      <w:r w:rsidR="00912D2B" w:rsidRPr="000F3CBF">
        <w:rPr>
          <w:sz w:val="20"/>
          <w:szCs w:val="20"/>
        </w:rPr>
        <w:t xml:space="preserve"> Section 3.3.3 discusses how the research design</w:t>
      </w:r>
      <w:r w:rsidR="000D05E2" w:rsidRPr="000F3CBF">
        <w:rPr>
          <w:sz w:val="20"/>
          <w:szCs w:val="20"/>
        </w:rPr>
        <w:t xml:space="preserve"> address</w:t>
      </w:r>
      <w:r w:rsidR="00912D2B" w:rsidRPr="000F3CBF">
        <w:rPr>
          <w:sz w:val="20"/>
          <w:szCs w:val="20"/>
        </w:rPr>
        <w:t>es</w:t>
      </w:r>
      <w:r w:rsidR="000D05E2" w:rsidRPr="000F3CBF">
        <w:rPr>
          <w:sz w:val="20"/>
          <w:szCs w:val="20"/>
        </w:rPr>
        <w:t xml:space="preserve"> the fact that ownership is a choice variable.</w:t>
      </w:r>
    </w:p>
    <w:p w:rsidR="006C412A" w:rsidRPr="000F3CBF" w:rsidRDefault="00912D2B" w:rsidP="009364E2">
      <w:pPr>
        <w:pStyle w:val="BodyTextIndent"/>
        <w:rPr>
          <w:sz w:val="20"/>
          <w:szCs w:val="20"/>
        </w:rPr>
      </w:pPr>
      <w:r w:rsidRPr="000F3CBF">
        <w:rPr>
          <w:sz w:val="20"/>
          <w:szCs w:val="20"/>
        </w:rPr>
        <w:t>C</w:t>
      </w:r>
      <w:r w:rsidR="006C412A" w:rsidRPr="000F3CBF">
        <w:rPr>
          <w:sz w:val="20"/>
          <w:szCs w:val="20"/>
        </w:rPr>
        <w:t>ontrol var</w:t>
      </w:r>
      <w:r w:rsidRPr="000F3CBF">
        <w:rPr>
          <w:sz w:val="20"/>
          <w:szCs w:val="20"/>
        </w:rPr>
        <w:t>iables</w:t>
      </w:r>
      <w:r w:rsidR="006C412A" w:rsidRPr="000F3CBF">
        <w:rPr>
          <w:sz w:val="20"/>
          <w:szCs w:val="20"/>
        </w:rPr>
        <w:t xml:space="preserve"> address known determinants of bias or error.  These factors are: other incentives that could affect analyst reporting; analyst and company characteristics that previous research has </w:t>
      </w:r>
      <w:r w:rsidR="005E78D8" w:rsidRPr="000F3CBF">
        <w:rPr>
          <w:sz w:val="20"/>
          <w:szCs w:val="20"/>
        </w:rPr>
        <w:t>shown to affect forecast errors</w:t>
      </w:r>
      <w:r w:rsidR="006C412A" w:rsidRPr="000F3CBF">
        <w:rPr>
          <w:sz w:val="20"/>
          <w:szCs w:val="20"/>
        </w:rPr>
        <w:t xml:space="preserve"> and which may affect analyst reporting in general; and forecast age.  Because information arrives over time, forecast error should decline as the actual earnings announcement approaches.</w:t>
      </w:r>
    </w:p>
    <w:p w:rsidR="006C412A" w:rsidRPr="000F3CBF" w:rsidRDefault="00D27426" w:rsidP="009364E2">
      <w:pPr>
        <w:pStyle w:val="BodyTextIndent"/>
        <w:rPr>
          <w:sz w:val="20"/>
          <w:szCs w:val="20"/>
        </w:rPr>
      </w:pPr>
      <w:r w:rsidRPr="000F3CBF">
        <w:rPr>
          <w:sz w:val="20"/>
          <w:szCs w:val="20"/>
        </w:rPr>
        <w:t>I specify</w:t>
      </w:r>
      <w:r w:rsidR="006C412A" w:rsidRPr="000F3CBF">
        <w:rPr>
          <w:sz w:val="20"/>
          <w:szCs w:val="20"/>
        </w:rPr>
        <w:t xml:space="preserve"> underwriting dummy variables to differentiate an underwriting incentive from a </w:t>
      </w:r>
      <w:r w:rsidR="007D34DD" w:rsidRPr="000F3CBF">
        <w:rPr>
          <w:sz w:val="20"/>
          <w:szCs w:val="20"/>
        </w:rPr>
        <w:t>stock ownership effect</w:t>
      </w:r>
      <w:r w:rsidR="006C412A" w:rsidRPr="000F3CBF">
        <w:rPr>
          <w:sz w:val="20"/>
          <w:szCs w:val="20"/>
        </w:rPr>
        <w:t xml:space="preserve"> (see </w:t>
      </w:r>
      <w:proofErr w:type="spellStart"/>
      <w:r w:rsidR="006C412A" w:rsidRPr="000F3CBF">
        <w:rPr>
          <w:sz w:val="20"/>
          <w:szCs w:val="20"/>
        </w:rPr>
        <w:t>Michaely</w:t>
      </w:r>
      <w:proofErr w:type="spellEnd"/>
      <w:r w:rsidR="006C412A" w:rsidRPr="000F3CBF">
        <w:rPr>
          <w:sz w:val="20"/>
          <w:szCs w:val="20"/>
        </w:rPr>
        <w:t xml:space="preserve"> and Womack, 1999; and Lin and </w:t>
      </w:r>
      <w:proofErr w:type="spellStart"/>
      <w:r w:rsidR="006C412A" w:rsidRPr="000F3CBF">
        <w:rPr>
          <w:sz w:val="20"/>
          <w:szCs w:val="20"/>
        </w:rPr>
        <w:t>McNichols</w:t>
      </w:r>
      <w:proofErr w:type="spellEnd"/>
      <w:r w:rsidR="006C412A" w:rsidRPr="000F3CBF">
        <w:rPr>
          <w:sz w:val="20"/>
          <w:szCs w:val="20"/>
        </w:rPr>
        <w:t>, 1998)</w:t>
      </w:r>
      <w:r w:rsidRPr="000F3CBF">
        <w:rPr>
          <w:sz w:val="20"/>
          <w:szCs w:val="20"/>
        </w:rPr>
        <w:t xml:space="preserve">. </w:t>
      </w:r>
      <w:r w:rsidR="006C412A" w:rsidRPr="000F3CBF">
        <w:rPr>
          <w:sz w:val="20"/>
          <w:szCs w:val="20"/>
        </w:rPr>
        <w:t xml:space="preserve"> </w:t>
      </w:r>
      <w:r w:rsidRPr="000F3CBF">
        <w:rPr>
          <w:sz w:val="20"/>
          <w:szCs w:val="20"/>
        </w:rPr>
        <w:t xml:space="preserve">The lead underwriter </w:t>
      </w:r>
      <w:r w:rsidR="007D34DD" w:rsidRPr="000F3CBF">
        <w:rPr>
          <w:sz w:val="20"/>
          <w:szCs w:val="20"/>
        </w:rPr>
        <w:t xml:space="preserve">dummy </w:t>
      </w:r>
      <w:r w:rsidRPr="000F3CBF">
        <w:rPr>
          <w:sz w:val="20"/>
          <w:szCs w:val="20"/>
        </w:rPr>
        <w:t xml:space="preserve">variable </w:t>
      </w:r>
      <w:r w:rsidR="007D34DD" w:rsidRPr="000F3CBF">
        <w:rPr>
          <w:sz w:val="20"/>
          <w:szCs w:val="20"/>
        </w:rPr>
        <w:t>represents</w:t>
      </w:r>
      <w:r w:rsidR="006C412A" w:rsidRPr="000F3CBF">
        <w:rPr>
          <w:sz w:val="20"/>
          <w:szCs w:val="20"/>
        </w:rPr>
        <w:t xml:space="preserve"> lead and co-lead underwriting firms</w:t>
      </w:r>
      <w:r w:rsidRPr="000F3CBF">
        <w:rPr>
          <w:sz w:val="20"/>
          <w:szCs w:val="20"/>
        </w:rPr>
        <w:t xml:space="preserve"> and</w:t>
      </w:r>
      <w:r w:rsidR="005E78D8" w:rsidRPr="000F3CBF">
        <w:rPr>
          <w:sz w:val="20"/>
          <w:szCs w:val="20"/>
        </w:rPr>
        <w:t>,</w:t>
      </w:r>
      <w:r w:rsidRPr="000F3CBF">
        <w:rPr>
          <w:sz w:val="20"/>
          <w:szCs w:val="20"/>
        </w:rPr>
        <w:t xml:space="preserve"> f</w:t>
      </w:r>
      <w:r w:rsidR="006C412A" w:rsidRPr="000F3CBF">
        <w:rPr>
          <w:sz w:val="20"/>
          <w:szCs w:val="20"/>
        </w:rPr>
        <w:t>ollowing Bradley, Jordan, and Ritter</w:t>
      </w:r>
      <w:r w:rsidRPr="000F3CBF">
        <w:rPr>
          <w:sz w:val="20"/>
          <w:szCs w:val="20"/>
        </w:rPr>
        <w:t xml:space="preserve"> (2003)</w:t>
      </w:r>
      <w:proofErr w:type="gramStart"/>
      <w:r w:rsidRPr="000F3CBF">
        <w:rPr>
          <w:sz w:val="20"/>
          <w:szCs w:val="20"/>
        </w:rPr>
        <w:t>,</w:t>
      </w:r>
      <w:proofErr w:type="gramEnd"/>
      <w:r w:rsidRPr="000F3CBF">
        <w:rPr>
          <w:sz w:val="20"/>
          <w:szCs w:val="20"/>
        </w:rPr>
        <w:t xml:space="preserve"> an additional variable is added for co-managers</w:t>
      </w:r>
      <w:r w:rsidR="006C412A" w:rsidRPr="000F3CBF">
        <w:rPr>
          <w:sz w:val="20"/>
          <w:szCs w:val="20"/>
        </w:rPr>
        <w:t xml:space="preserve"> as well.  To control for </w:t>
      </w:r>
      <w:r w:rsidR="00655B00" w:rsidRPr="000F3CBF">
        <w:rPr>
          <w:sz w:val="20"/>
          <w:szCs w:val="20"/>
        </w:rPr>
        <w:t>lower average</w:t>
      </w:r>
      <w:r w:rsidR="006C412A" w:rsidRPr="000F3CBF">
        <w:rPr>
          <w:sz w:val="20"/>
          <w:szCs w:val="20"/>
        </w:rPr>
        <w:t xml:space="preserve"> forecast error in companies with greater analyst coverage, </w:t>
      </w:r>
      <w:r w:rsidRPr="000F3CBF">
        <w:rPr>
          <w:sz w:val="20"/>
          <w:szCs w:val="20"/>
        </w:rPr>
        <w:t>the regressions contain</w:t>
      </w:r>
      <w:r w:rsidR="006C412A" w:rsidRPr="000F3CBF">
        <w:rPr>
          <w:sz w:val="20"/>
          <w:szCs w:val="20"/>
        </w:rPr>
        <w:t xml:space="preserve"> the analyst following var</w:t>
      </w:r>
      <w:r w:rsidRPr="000F3CBF">
        <w:rPr>
          <w:sz w:val="20"/>
          <w:szCs w:val="20"/>
        </w:rPr>
        <w:t>iable (Follow), which i</w:t>
      </w:r>
      <w:r w:rsidR="006C412A" w:rsidRPr="000F3CBF">
        <w:rPr>
          <w:sz w:val="20"/>
          <w:szCs w:val="20"/>
        </w:rPr>
        <w:t xml:space="preserve">s the number of analysts who provide forecasts on a company during the </w:t>
      </w:r>
      <w:r w:rsidR="00014F59" w:rsidRPr="000F3CBF">
        <w:rPr>
          <w:sz w:val="20"/>
          <w:szCs w:val="20"/>
        </w:rPr>
        <w:t>quarter</w:t>
      </w:r>
      <w:r w:rsidR="00D53736" w:rsidRPr="000F3CBF">
        <w:rPr>
          <w:sz w:val="20"/>
          <w:szCs w:val="20"/>
        </w:rPr>
        <w:t xml:space="preserve"> (See Lys and </w:t>
      </w:r>
      <w:proofErr w:type="spellStart"/>
      <w:r w:rsidR="00D53736" w:rsidRPr="000F3CBF">
        <w:rPr>
          <w:sz w:val="20"/>
          <w:szCs w:val="20"/>
        </w:rPr>
        <w:t>Soo</w:t>
      </w:r>
      <w:proofErr w:type="spellEnd"/>
      <w:r w:rsidR="00D53736" w:rsidRPr="000F3CBF">
        <w:rPr>
          <w:sz w:val="20"/>
          <w:szCs w:val="20"/>
        </w:rPr>
        <w:t>, 1995</w:t>
      </w:r>
      <w:r w:rsidR="006C412A" w:rsidRPr="000F3CBF">
        <w:rPr>
          <w:sz w:val="20"/>
          <w:szCs w:val="20"/>
        </w:rPr>
        <w:t>)</w:t>
      </w:r>
      <w:r w:rsidR="00014F59" w:rsidRPr="000F3CBF">
        <w:rPr>
          <w:sz w:val="20"/>
          <w:szCs w:val="20"/>
        </w:rPr>
        <w:t>.</w:t>
      </w:r>
    </w:p>
    <w:p w:rsidR="006C412A" w:rsidRPr="000F3CBF" w:rsidRDefault="006C412A" w:rsidP="009364E2">
      <w:pPr>
        <w:pStyle w:val="BodyTextIndent"/>
        <w:rPr>
          <w:sz w:val="20"/>
          <w:szCs w:val="20"/>
        </w:rPr>
      </w:pPr>
      <w:r w:rsidRPr="000F3CBF">
        <w:rPr>
          <w:sz w:val="20"/>
          <w:szCs w:val="20"/>
        </w:rPr>
        <w:t xml:space="preserve">Specific </w:t>
      </w:r>
      <w:r w:rsidR="00D27426" w:rsidRPr="000F3CBF">
        <w:rPr>
          <w:sz w:val="20"/>
          <w:szCs w:val="20"/>
        </w:rPr>
        <w:t>to the Form 144 sample I add</w:t>
      </w:r>
      <w:r w:rsidRPr="000F3CBF">
        <w:rPr>
          <w:sz w:val="20"/>
          <w:szCs w:val="20"/>
        </w:rPr>
        <w:t xml:space="preserve"> the Disclose variable, because some stock-owning analysts in this sample clearly and explicitly disclose their ownership in their report.  This disclosure could limit opportunistic behavior of a disclosing-owner analyst relative to those that do not disclose.  Since only owning analysts disclose, the Disclose variable captures the interactive effect of disclosure and ownership.</w:t>
      </w:r>
    </w:p>
    <w:p w:rsidR="006C412A" w:rsidRPr="000F3CBF" w:rsidRDefault="006C412A" w:rsidP="009364E2">
      <w:pPr>
        <w:pStyle w:val="BodyTextIndent"/>
        <w:rPr>
          <w:sz w:val="20"/>
          <w:szCs w:val="20"/>
        </w:rPr>
      </w:pPr>
      <w:r w:rsidRPr="000F3CBF">
        <w:rPr>
          <w:sz w:val="20"/>
          <w:szCs w:val="20"/>
        </w:rPr>
        <w:t>T</w:t>
      </w:r>
      <w:r w:rsidR="009C075F">
        <w:rPr>
          <w:sz w:val="20"/>
          <w:szCs w:val="20"/>
        </w:rPr>
        <w:t>hree variables -</w:t>
      </w:r>
      <w:r w:rsidR="00D27426" w:rsidRPr="000F3CBF">
        <w:rPr>
          <w:sz w:val="20"/>
          <w:szCs w:val="20"/>
        </w:rPr>
        <w:t xml:space="preserve"> experience, broker </w:t>
      </w:r>
      <w:proofErr w:type="spellStart"/>
      <w:r w:rsidR="00D27426" w:rsidRPr="000F3CBF">
        <w:rPr>
          <w:sz w:val="20"/>
          <w:szCs w:val="20"/>
        </w:rPr>
        <w:t>decile</w:t>
      </w:r>
      <w:proofErr w:type="spellEnd"/>
      <w:r w:rsidR="00D27426" w:rsidRPr="000F3CBF">
        <w:rPr>
          <w:sz w:val="20"/>
          <w:szCs w:val="20"/>
        </w:rPr>
        <w:t>, and complexity</w:t>
      </w:r>
      <w:r w:rsidR="009C075F">
        <w:rPr>
          <w:sz w:val="20"/>
          <w:szCs w:val="20"/>
        </w:rPr>
        <w:t xml:space="preserve"> -</w:t>
      </w:r>
      <w:r w:rsidRPr="000F3CBF">
        <w:rPr>
          <w:sz w:val="20"/>
          <w:szCs w:val="20"/>
        </w:rPr>
        <w:t xml:space="preserve"> control for the effect of individual analyst characteris</w:t>
      </w:r>
      <w:r w:rsidR="005E78D8" w:rsidRPr="000F3CBF">
        <w:rPr>
          <w:sz w:val="20"/>
          <w:szCs w:val="20"/>
        </w:rPr>
        <w:t>tics on their reports</w:t>
      </w:r>
      <w:r w:rsidRPr="000F3CBF">
        <w:rPr>
          <w:sz w:val="20"/>
          <w:szCs w:val="20"/>
        </w:rPr>
        <w:t xml:space="preserve"> (Clement, 1999; Lim, 2001).  Experience measures the analyst’s tenure as a sell-side analyst</w:t>
      </w:r>
      <w:r w:rsidR="005E78D8" w:rsidRPr="000F3CBF">
        <w:rPr>
          <w:sz w:val="20"/>
          <w:szCs w:val="20"/>
        </w:rPr>
        <w:t>,</w:t>
      </w:r>
      <w:r w:rsidRPr="000F3CBF">
        <w:rPr>
          <w:sz w:val="20"/>
          <w:szCs w:val="20"/>
        </w:rPr>
        <w:t xml:space="preserve"> in years; a proxy for which is the number of years they appear in the IBES database.  A learning hypothesis would imply that analyst performance improves with experience.  Further, greater experience could indicate a be</w:t>
      </w:r>
      <w:r w:rsidR="00CD281D" w:rsidRPr="000F3CBF">
        <w:rPr>
          <w:sz w:val="20"/>
          <w:szCs w:val="20"/>
        </w:rPr>
        <w:t>tter quality analyst, since she has retained he</w:t>
      </w:r>
      <w:r w:rsidRPr="000F3CBF">
        <w:rPr>
          <w:sz w:val="20"/>
          <w:szCs w:val="20"/>
        </w:rPr>
        <w:t>r job longer in a competitive field.  Both theories predict that forecast errors will decline with experience</w:t>
      </w:r>
      <w:r w:rsidRPr="000F3CBF">
        <w:rPr>
          <w:b/>
          <w:sz w:val="20"/>
          <w:szCs w:val="20"/>
        </w:rPr>
        <w:t xml:space="preserve"> </w:t>
      </w:r>
      <w:r w:rsidRPr="000F3CBF">
        <w:rPr>
          <w:sz w:val="20"/>
          <w:szCs w:val="20"/>
        </w:rPr>
        <w:t xml:space="preserve">(Mikhail, Walther, and Willis, 1997; Jacob and Lys, 1999).  </w:t>
      </w:r>
      <w:r w:rsidR="00D27426" w:rsidRPr="000F3CBF">
        <w:rPr>
          <w:sz w:val="20"/>
          <w:szCs w:val="20"/>
        </w:rPr>
        <w:t xml:space="preserve">Broker </w:t>
      </w:r>
      <w:proofErr w:type="spellStart"/>
      <w:r w:rsidR="00D27426" w:rsidRPr="000F3CBF">
        <w:rPr>
          <w:sz w:val="20"/>
          <w:szCs w:val="20"/>
        </w:rPr>
        <w:t>decile</w:t>
      </w:r>
      <w:proofErr w:type="spellEnd"/>
      <w:r w:rsidRPr="000F3CBF">
        <w:rPr>
          <w:sz w:val="20"/>
          <w:szCs w:val="20"/>
        </w:rPr>
        <w:t xml:space="preserve"> differentiate</w:t>
      </w:r>
      <w:r w:rsidR="00D27426" w:rsidRPr="000F3CBF">
        <w:rPr>
          <w:sz w:val="20"/>
          <w:szCs w:val="20"/>
        </w:rPr>
        <w:t>s</w:t>
      </w:r>
      <w:r w:rsidRPr="000F3CBF">
        <w:rPr>
          <w:sz w:val="20"/>
          <w:szCs w:val="20"/>
        </w:rPr>
        <w:t xml:space="preserve"> </w:t>
      </w:r>
      <w:r w:rsidRPr="000F3CBF">
        <w:rPr>
          <w:sz w:val="20"/>
          <w:szCs w:val="20"/>
        </w:rPr>
        <w:lastRenderedPageBreak/>
        <w:t>brokerage firms</w:t>
      </w:r>
      <w:r w:rsidR="00D27426" w:rsidRPr="000F3CBF">
        <w:rPr>
          <w:sz w:val="20"/>
          <w:szCs w:val="20"/>
        </w:rPr>
        <w:t xml:space="preserve"> based on size</w:t>
      </w:r>
      <w:r w:rsidRPr="000F3CBF">
        <w:rPr>
          <w:sz w:val="20"/>
          <w:szCs w:val="20"/>
        </w:rPr>
        <w:t>.  Analysts at larger brokerage firms may have greater resources available to assist with their duties, resulting in better outputs.  I assign all brokerage firms to deciles each year, based on the number of analysts at each firm.  Complexity represents the number of companies an analyst covers.  As an analyst covers more companies, I expect a decline in relative performance, due to work demands.</w:t>
      </w:r>
    </w:p>
    <w:p w:rsidR="006C412A" w:rsidRPr="000F3CBF" w:rsidRDefault="006C412A" w:rsidP="009364E2">
      <w:pPr>
        <w:pStyle w:val="BodyTextIndent"/>
        <w:rPr>
          <w:i/>
          <w:sz w:val="20"/>
          <w:szCs w:val="20"/>
        </w:rPr>
      </w:pPr>
      <w:r w:rsidRPr="000F3CBF">
        <w:rPr>
          <w:sz w:val="20"/>
          <w:szCs w:val="20"/>
        </w:rPr>
        <w:t xml:space="preserve">Another consideration for control variables is company-specific variables.  In both samples, most companies are recent IPO companies.  Therefore, earnings predictability is likely to be comparable.  However, in the disclosing sample there is a mix of new and seasoned companies, so I include the volatility variable as my proxy for forecast difficulty (Das, Levine, and </w:t>
      </w:r>
      <w:proofErr w:type="spellStart"/>
      <w:r w:rsidRPr="000F3CBF">
        <w:rPr>
          <w:sz w:val="20"/>
          <w:szCs w:val="20"/>
        </w:rPr>
        <w:t>Sivaramakrishnan</w:t>
      </w:r>
      <w:proofErr w:type="spellEnd"/>
      <w:r w:rsidRPr="000F3CBF">
        <w:rPr>
          <w:sz w:val="20"/>
          <w:szCs w:val="20"/>
        </w:rPr>
        <w:t xml:space="preserve">, 1998).  Volatility is the standard deviation of the previous year’s daily stock returns.  </w:t>
      </w:r>
      <w:r w:rsidR="00A7280E" w:rsidRPr="000F3CBF">
        <w:rPr>
          <w:sz w:val="20"/>
          <w:szCs w:val="20"/>
        </w:rPr>
        <w:t>Brown (1999)</w:t>
      </w:r>
      <w:r w:rsidRPr="000F3CBF">
        <w:rPr>
          <w:sz w:val="20"/>
          <w:szCs w:val="20"/>
        </w:rPr>
        <w:t xml:space="preserve"> finds that forecast errors differ between loss and profit c</w:t>
      </w:r>
      <w:r w:rsidR="00A7280E" w:rsidRPr="000F3CBF">
        <w:rPr>
          <w:sz w:val="20"/>
          <w:szCs w:val="20"/>
        </w:rPr>
        <w:t xml:space="preserve">ompanies, </w:t>
      </w:r>
      <w:r w:rsidR="005E78D8" w:rsidRPr="000F3CBF">
        <w:rPr>
          <w:sz w:val="20"/>
          <w:szCs w:val="20"/>
        </w:rPr>
        <w:t xml:space="preserve">therefore </w:t>
      </w:r>
      <w:r w:rsidR="00A7280E" w:rsidRPr="000F3CBF">
        <w:rPr>
          <w:sz w:val="20"/>
          <w:szCs w:val="20"/>
        </w:rPr>
        <w:t>a dummy variable, Loss,</w:t>
      </w:r>
      <w:r w:rsidRPr="000F3CBF">
        <w:rPr>
          <w:sz w:val="20"/>
          <w:szCs w:val="20"/>
        </w:rPr>
        <w:t xml:space="preserve"> control</w:t>
      </w:r>
      <w:r w:rsidR="00D27426" w:rsidRPr="000F3CBF">
        <w:rPr>
          <w:sz w:val="20"/>
          <w:szCs w:val="20"/>
        </w:rPr>
        <w:t>s</w:t>
      </w:r>
      <w:r w:rsidRPr="000F3CBF">
        <w:rPr>
          <w:sz w:val="20"/>
          <w:szCs w:val="20"/>
        </w:rPr>
        <w:t xml:space="preserve"> for forecast differences between profitable and non-profitable quarters.</w:t>
      </w:r>
    </w:p>
    <w:p w:rsidR="006C412A" w:rsidRPr="000F3CBF" w:rsidRDefault="000B5265" w:rsidP="009364E2">
      <w:pPr>
        <w:pStyle w:val="BodyTextIndent"/>
        <w:rPr>
          <w:sz w:val="20"/>
          <w:szCs w:val="20"/>
        </w:rPr>
      </w:pPr>
      <w:r w:rsidRPr="000F3CBF">
        <w:rPr>
          <w:sz w:val="20"/>
          <w:szCs w:val="20"/>
        </w:rPr>
        <w:t>Forecast age i</w:t>
      </w:r>
      <w:r w:rsidR="006C412A" w:rsidRPr="000F3CBF">
        <w:rPr>
          <w:sz w:val="20"/>
          <w:szCs w:val="20"/>
        </w:rPr>
        <w:t>s the difference in days from the analyst forecast date to the company’s earnings announcement date (O’Brien, 1988).</w:t>
      </w:r>
    </w:p>
    <w:p w:rsidR="006C412A" w:rsidRPr="000F3CBF" w:rsidRDefault="006C412A" w:rsidP="0045384E">
      <w:pPr>
        <w:pStyle w:val="BodyTextIndent"/>
        <w:rPr>
          <w:sz w:val="20"/>
          <w:szCs w:val="20"/>
        </w:rPr>
      </w:pPr>
      <w:r w:rsidRPr="000F3CBF">
        <w:rPr>
          <w:sz w:val="20"/>
          <w:szCs w:val="20"/>
        </w:rPr>
        <w:t>To the extent that cross-sectional variation in analyst bias by company is relat</w:t>
      </w:r>
      <w:r w:rsidR="000B5265" w:rsidRPr="000F3CBF">
        <w:rPr>
          <w:sz w:val="20"/>
          <w:szCs w:val="20"/>
        </w:rPr>
        <w:t>ed to the firm’s industry, industry dummy variables</w:t>
      </w:r>
      <w:r w:rsidRPr="000F3CBF">
        <w:rPr>
          <w:sz w:val="20"/>
          <w:szCs w:val="20"/>
        </w:rPr>
        <w:t xml:space="preserve"> control for the average effect.  Although the Form 144 sample companies represent 21 different four-digit SIC code industry groups, many are technology or Internet-related companies and the sample is small.  Therefore, using </w:t>
      </w:r>
      <w:proofErr w:type="spellStart"/>
      <w:r w:rsidRPr="000F3CBF">
        <w:rPr>
          <w:sz w:val="20"/>
          <w:szCs w:val="20"/>
        </w:rPr>
        <w:t>Loughran</w:t>
      </w:r>
      <w:proofErr w:type="spellEnd"/>
      <w:r w:rsidRPr="000F3CBF">
        <w:rPr>
          <w:sz w:val="20"/>
          <w:szCs w:val="20"/>
        </w:rPr>
        <w:t xml:space="preserve"> and Ritter’s (2002) definition of Technology Stocks, I use one industry control variable, labeled Internet.  Thirty-four sample companies fall into this Internet category.  For the somewhat larger disclosing sample, I define an industry ba</w:t>
      </w:r>
      <w:r w:rsidR="005E78D8" w:rsidRPr="000F3CBF">
        <w:rPr>
          <w:sz w:val="20"/>
          <w:szCs w:val="20"/>
        </w:rPr>
        <w:t>sed on one-</w:t>
      </w:r>
      <w:r w:rsidRPr="000F3CBF">
        <w:rPr>
          <w:sz w:val="20"/>
          <w:szCs w:val="20"/>
        </w:rPr>
        <w:t>digit SIC codes.</w:t>
      </w:r>
    </w:p>
    <w:p w:rsidR="006C412A" w:rsidRPr="000F3CBF" w:rsidRDefault="006C412A" w:rsidP="0045384E">
      <w:pPr>
        <w:pStyle w:val="BodyTextIndent"/>
        <w:rPr>
          <w:sz w:val="20"/>
          <w:szCs w:val="20"/>
        </w:rPr>
      </w:pPr>
      <w:r w:rsidRPr="000F3CBF">
        <w:rPr>
          <w:sz w:val="20"/>
          <w:szCs w:val="20"/>
        </w:rPr>
        <w:t xml:space="preserve">I would like </w:t>
      </w:r>
      <w:r w:rsidR="001E50D2" w:rsidRPr="000F3CBF">
        <w:rPr>
          <w:sz w:val="20"/>
          <w:szCs w:val="20"/>
        </w:rPr>
        <w:t xml:space="preserve">to include </w:t>
      </w:r>
      <w:r w:rsidRPr="000F3CBF">
        <w:rPr>
          <w:sz w:val="20"/>
          <w:szCs w:val="20"/>
        </w:rPr>
        <w:t>a proxy for analyst reputation</w:t>
      </w:r>
      <w:r w:rsidR="001E50D2" w:rsidRPr="000F3CBF">
        <w:rPr>
          <w:sz w:val="20"/>
          <w:szCs w:val="20"/>
        </w:rPr>
        <w:t xml:space="preserve"> in the regression testing</w:t>
      </w:r>
      <w:r w:rsidRPr="000F3CBF">
        <w:rPr>
          <w:sz w:val="20"/>
          <w:szCs w:val="20"/>
        </w:rPr>
        <w:t xml:space="preserve">.  </w:t>
      </w:r>
      <w:r w:rsidR="001E50D2" w:rsidRPr="000F3CBF">
        <w:rPr>
          <w:sz w:val="20"/>
          <w:szCs w:val="20"/>
        </w:rPr>
        <w:t>However, i</w:t>
      </w:r>
      <w:r w:rsidRPr="000F3CBF">
        <w:rPr>
          <w:sz w:val="20"/>
          <w:szCs w:val="20"/>
        </w:rPr>
        <w:t>n the Form 144 sample only 5 of</w:t>
      </w:r>
      <w:r w:rsidR="00014F59" w:rsidRPr="000F3CBF">
        <w:rPr>
          <w:sz w:val="20"/>
          <w:szCs w:val="20"/>
        </w:rPr>
        <w:t xml:space="preserve"> the 43 analysts are ranked by Institutional I</w:t>
      </w:r>
      <w:r w:rsidRPr="000F3CBF">
        <w:rPr>
          <w:sz w:val="20"/>
          <w:szCs w:val="20"/>
        </w:rPr>
        <w:t>nvestor.  Including a dummy variable for being ranked does not alter the results.  Of the 41 analysts in the disclosin</w:t>
      </w:r>
      <w:r w:rsidR="00014F59" w:rsidRPr="000F3CBF">
        <w:rPr>
          <w:sz w:val="20"/>
          <w:szCs w:val="20"/>
        </w:rPr>
        <w:t>g sample, only 3 are ranked by Institutional I</w:t>
      </w:r>
      <w:r w:rsidRPr="000F3CBF">
        <w:rPr>
          <w:sz w:val="20"/>
          <w:szCs w:val="20"/>
        </w:rPr>
        <w:t>nvestor.</w:t>
      </w:r>
    </w:p>
    <w:p w:rsidR="006C412A" w:rsidRPr="000F3CBF" w:rsidRDefault="003D1485" w:rsidP="00490632">
      <w:pPr>
        <w:pStyle w:val="BodyTextIndent"/>
        <w:ind w:left="360" w:hanging="360"/>
        <w:rPr>
          <w:i/>
          <w:sz w:val="20"/>
          <w:szCs w:val="20"/>
        </w:rPr>
      </w:pPr>
      <w:r w:rsidRPr="000F3CBF">
        <w:rPr>
          <w:i/>
          <w:sz w:val="20"/>
          <w:szCs w:val="20"/>
        </w:rPr>
        <w:t>3.3</w:t>
      </w:r>
      <w:r w:rsidR="006C412A" w:rsidRPr="000F3CBF">
        <w:rPr>
          <w:i/>
          <w:sz w:val="20"/>
          <w:szCs w:val="20"/>
        </w:rPr>
        <w:t>.2. Exploiting the institutional setting – Form 144 Sample</w:t>
      </w:r>
    </w:p>
    <w:p w:rsidR="006C412A" w:rsidRPr="000F3CBF" w:rsidRDefault="006C412A" w:rsidP="009364E2">
      <w:pPr>
        <w:spacing w:line="480" w:lineRule="auto"/>
        <w:ind w:firstLine="360"/>
        <w:rPr>
          <w:sz w:val="20"/>
          <w:szCs w:val="20"/>
        </w:rPr>
      </w:pPr>
      <w:r w:rsidRPr="000F3CBF">
        <w:rPr>
          <w:sz w:val="20"/>
          <w:szCs w:val="20"/>
        </w:rPr>
        <w:t>The cross-sectional testing assumes that the stock-owning analyst’s incentive is to be optimistic throughout her entire period of ownership.  A stock-owning analyst’s reporting may only be affected by her stock ownership during the period(s) when any effect on stock price is beneficial to the analyst, i.e., prior to the sale of her stock.</w:t>
      </w:r>
    </w:p>
    <w:p w:rsidR="00556C25" w:rsidRPr="000F3CBF" w:rsidRDefault="00E93252" w:rsidP="00E33F50">
      <w:pPr>
        <w:spacing w:line="480" w:lineRule="auto"/>
        <w:ind w:firstLine="360"/>
        <w:rPr>
          <w:sz w:val="20"/>
          <w:szCs w:val="20"/>
        </w:rPr>
      </w:pPr>
      <w:r>
        <w:rPr>
          <w:sz w:val="20"/>
          <w:szCs w:val="20"/>
        </w:rPr>
        <w:lastRenderedPageBreak/>
        <w:t xml:space="preserve">Since </w:t>
      </w:r>
      <w:r w:rsidR="006C412A" w:rsidRPr="000F3CBF">
        <w:rPr>
          <w:sz w:val="20"/>
          <w:szCs w:val="20"/>
        </w:rPr>
        <w:t xml:space="preserve">Rule 144 requires a </w:t>
      </w:r>
      <w:r>
        <w:rPr>
          <w:sz w:val="20"/>
          <w:szCs w:val="20"/>
        </w:rPr>
        <w:t>holding period (See Figure 1)</w:t>
      </w:r>
      <w:r w:rsidR="00E33F50" w:rsidRPr="000F3CBF">
        <w:rPr>
          <w:sz w:val="20"/>
          <w:szCs w:val="20"/>
        </w:rPr>
        <w:t>, I employ an alternative approach</w:t>
      </w:r>
      <w:r w:rsidR="006C412A" w:rsidRPr="000F3CBF">
        <w:rPr>
          <w:sz w:val="20"/>
          <w:szCs w:val="20"/>
        </w:rPr>
        <w:t xml:space="preserve"> to investigate the effect of stock ownership on analyst reporting</w:t>
      </w:r>
      <w:r w:rsidR="00CD281D" w:rsidRPr="000F3CBF">
        <w:rPr>
          <w:sz w:val="20"/>
          <w:szCs w:val="20"/>
        </w:rPr>
        <w:t>,</w:t>
      </w:r>
      <w:r w:rsidR="006C412A" w:rsidRPr="000F3CBF">
        <w:rPr>
          <w:sz w:val="20"/>
          <w:szCs w:val="20"/>
        </w:rPr>
        <w:t xml:space="preserve"> and perhaps increase the power of the test with the Form 144 sample</w:t>
      </w:r>
      <w:r>
        <w:rPr>
          <w:sz w:val="20"/>
          <w:szCs w:val="20"/>
        </w:rPr>
        <w:t xml:space="preserve">. The test </w:t>
      </w:r>
      <w:r w:rsidR="006C412A" w:rsidRPr="000F3CBF">
        <w:rPr>
          <w:sz w:val="20"/>
          <w:szCs w:val="20"/>
        </w:rPr>
        <w:t>compar</w:t>
      </w:r>
      <w:r>
        <w:rPr>
          <w:sz w:val="20"/>
          <w:szCs w:val="20"/>
        </w:rPr>
        <w:t>es</w:t>
      </w:r>
      <w:r w:rsidR="006C412A" w:rsidRPr="000F3CBF">
        <w:rPr>
          <w:sz w:val="20"/>
          <w:szCs w:val="20"/>
        </w:rPr>
        <w:t xml:space="preserve"> stock-owner analyst reporting during the required holding period</w:t>
      </w:r>
      <w:r>
        <w:rPr>
          <w:sz w:val="20"/>
          <w:szCs w:val="20"/>
        </w:rPr>
        <w:t>, a period in which the analyst may not be able to extract a personal financial benefit,</w:t>
      </w:r>
      <w:r w:rsidR="00E33F50" w:rsidRPr="000F3CBF">
        <w:rPr>
          <w:sz w:val="20"/>
          <w:szCs w:val="20"/>
        </w:rPr>
        <w:t xml:space="preserve"> relative</w:t>
      </w:r>
      <w:r w:rsidR="006C412A" w:rsidRPr="000F3CBF">
        <w:rPr>
          <w:sz w:val="20"/>
          <w:szCs w:val="20"/>
        </w:rPr>
        <w:t xml:space="preserve"> </w:t>
      </w:r>
      <w:r w:rsidR="00E33F50" w:rsidRPr="000F3CBF">
        <w:rPr>
          <w:sz w:val="20"/>
          <w:szCs w:val="20"/>
        </w:rPr>
        <w:t xml:space="preserve">to </w:t>
      </w:r>
      <w:r w:rsidR="006C412A" w:rsidRPr="000F3CBF">
        <w:rPr>
          <w:sz w:val="20"/>
          <w:szCs w:val="20"/>
        </w:rPr>
        <w:t>the eligible sale period</w:t>
      </w:r>
      <w:r w:rsidR="00E33F50" w:rsidRPr="000F3CBF">
        <w:rPr>
          <w:sz w:val="20"/>
          <w:szCs w:val="20"/>
        </w:rPr>
        <w:t xml:space="preserve"> reporting</w:t>
      </w:r>
      <w:r w:rsidR="006C412A" w:rsidRPr="000F3CBF">
        <w:rPr>
          <w:sz w:val="20"/>
          <w:szCs w:val="20"/>
        </w:rPr>
        <w:t>.  Moreover, by comparing a c</w:t>
      </w:r>
      <w:r w:rsidR="00E33F50" w:rsidRPr="000F3CBF">
        <w:rPr>
          <w:sz w:val="20"/>
          <w:szCs w:val="20"/>
        </w:rPr>
        <w:t xml:space="preserve">hange in reporting over time </w:t>
      </w:r>
      <w:r w:rsidR="006C412A" w:rsidRPr="000F3CBF">
        <w:rPr>
          <w:sz w:val="20"/>
          <w:szCs w:val="20"/>
        </w:rPr>
        <w:t>many of the self-selection issues of the cross-sectional testing</w:t>
      </w:r>
      <w:r w:rsidR="00E33F50" w:rsidRPr="000F3CBF">
        <w:rPr>
          <w:sz w:val="20"/>
          <w:szCs w:val="20"/>
        </w:rPr>
        <w:t xml:space="preserve"> are eliminated</w:t>
      </w:r>
      <w:r w:rsidR="006C412A" w:rsidRPr="000F3CBF">
        <w:rPr>
          <w:sz w:val="20"/>
          <w:szCs w:val="20"/>
        </w:rPr>
        <w:t>.</w:t>
      </w:r>
    </w:p>
    <w:p w:rsidR="006C412A" w:rsidRPr="000F3CBF" w:rsidRDefault="003D1485" w:rsidP="00490632">
      <w:pPr>
        <w:pStyle w:val="BodyTextIndent"/>
        <w:ind w:firstLine="0"/>
        <w:rPr>
          <w:i/>
          <w:sz w:val="20"/>
          <w:szCs w:val="20"/>
        </w:rPr>
      </w:pPr>
      <w:r w:rsidRPr="000F3CBF">
        <w:rPr>
          <w:i/>
          <w:sz w:val="20"/>
          <w:szCs w:val="20"/>
        </w:rPr>
        <w:t>3.3</w:t>
      </w:r>
      <w:r w:rsidR="006C412A" w:rsidRPr="000F3CBF">
        <w:rPr>
          <w:i/>
          <w:sz w:val="20"/>
          <w:szCs w:val="20"/>
        </w:rPr>
        <w:t xml:space="preserve">.3. </w:t>
      </w:r>
      <w:r w:rsidR="000A16BE" w:rsidRPr="000F3CBF">
        <w:rPr>
          <w:i/>
          <w:sz w:val="20"/>
          <w:szCs w:val="20"/>
        </w:rPr>
        <w:t>Self-s</w:t>
      </w:r>
      <w:r w:rsidR="006C412A" w:rsidRPr="000F3CBF">
        <w:rPr>
          <w:i/>
          <w:sz w:val="20"/>
          <w:szCs w:val="20"/>
        </w:rPr>
        <w:t xml:space="preserve">election bias </w:t>
      </w:r>
    </w:p>
    <w:p w:rsidR="006C412A" w:rsidRPr="000F3CBF" w:rsidRDefault="006C412A" w:rsidP="009364E2">
      <w:pPr>
        <w:pStyle w:val="BodyTextIndent"/>
        <w:rPr>
          <w:sz w:val="20"/>
          <w:szCs w:val="20"/>
        </w:rPr>
      </w:pPr>
      <w:r w:rsidRPr="000F3CBF">
        <w:rPr>
          <w:sz w:val="20"/>
          <w:szCs w:val="20"/>
        </w:rPr>
        <w:t>Both samples are of analysts that choose to own stock.  Therefore, where possible, I incorporate a selection model and differences-in-differences in the testing.  My selection model is one in which I explicitly model the choice to own stock in one or more equations.  The final equation uses the outcome of the prior equations’ estimation to instrument for the fact that the variable of interest, ownership, is a choice variable.</w:t>
      </w:r>
    </w:p>
    <w:p w:rsidR="002E44FA" w:rsidRDefault="006C412A" w:rsidP="002103BC">
      <w:pPr>
        <w:pStyle w:val="BodyTextIndent"/>
        <w:rPr>
          <w:sz w:val="20"/>
          <w:szCs w:val="20"/>
        </w:rPr>
      </w:pPr>
      <w:r w:rsidRPr="000F3CBF">
        <w:rPr>
          <w:sz w:val="20"/>
          <w:szCs w:val="20"/>
        </w:rPr>
        <w:t>Tests of differences-in-differences exploit time series data pre- and post-treatment of both a sample and a control group.  This design compares subject outputs to their previous outputs, thus eliminating many sources of non-comparability between the sample and the control group.</w:t>
      </w:r>
    </w:p>
    <w:p w:rsidR="00B32966" w:rsidRPr="000F3CBF" w:rsidRDefault="00B32966" w:rsidP="002103BC">
      <w:pPr>
        <w:pStyle w:val="BodyTextIndent"/>
        <w:rPr>
          <w:sz w:val="20"/>
          <w:szCs w:val="20"/>
        </w:rPr>
      </w:pPr>
    </w:p>
    <w:p w:rsidR="006C412A" w:rsidRPr="000F3CBF" w:rsidRDefault="003D1485" w:rsidP="003D1485">
      <w:pPr>
        <w:pStyle w:val="BodyTextIndent"/>
        <w:ind w:firstLine="0"/>
        <w:rPr>
          <w:b/>
          <w:sz w:val="20"/>
          <w:szCs w:val="20"/>
        </w:rPr>
      </w:pPr>
      <w:r w:rsidRPr="000F3CBF">
        <w:rPr>
          <w:b/>
          <w:sz w:val="20"/>
          <w:szCs w:val="20"/>
        </w:rPr>
        <w:t>4</w:t>
      </w:r>
      <w:r w:rsidR="006C412A" w:rsidRPr="000F3CBF">
        <w:rPr>
          <w:b/>
          <w:sz w:val="20"/>
          <w:szCs w:val="20"/>
        </w:rPr>
        <w:t>.  Results</w:t>
      </w:r>
    </w:p>
    <w:p w:rsidR="006C412A" w:rsidRPr="000F3CBF" w:rsidRDefault="006C412A" w:rsidP="00332654">
      <w:pPr>
        <w:pStyle w:val="BodyTextIndent"/>
        <w:rPr>
          <w:sz w:val="20"/>
          <w:szCs w:val="20"/>
        </w:rPr>
      </w:pPr>
      <w:r w:rsidRPr="000F3CBF">
        <w:rPr>
          <w:sz w:val="20"/>
          <w:szCs w:val="20"/>
        </w:rPr>
        <w:t>I ob</w:t>
      </w:r>
      <w:r w:rsidR="000B5265" w:rsidRPr="000F3CBF">
        <w:rPr>
          <w:sz w:val="20"/>
          <w:szCs w:val="20"/>
        </w:rPr>
        <w:t>tain Form 144 filings from Thom</w:t>
      </w:r>
      <w:r w:rsidRPr="000F3CBF">
        <w:rPr>
          <w:sz w:val="20"/>
          <w:szCs w:val="20"/>
        </w:rPr>
        <w:t xml:space="preserve">son Financial; analyst forecasts and recommendations from IBES; stock prices from CRSP; IPO and SEO information from SDC; and analyst reports from </w:t>
      </w:r>
      <w:proofErr w:type="spellStart"/>
      <w:r w:rsidRPr="000F3CBF">
        <w:rPr>
          <w:sz w:val="20"/>
          <w:szCs w:val="20"/>
        </w:rPr>
        <w:t>Investext</w:t>
      </w:r>
      <w:proofErr w:type="spellEnd"/>
      <w:r w:rsidRPr="000F3CBF">
        <w:rPr>
          <w:sz w:val="20"/>
          <w:szCs w:val="20"/>
        </w:rPr>
        <w:t xml:space="preserve">, </w:t>
      </w:r>
      <w:proofErr w:type="spellStart"/>
      <w:r w:rsidRPr="000F3CBF">
        <w:rPr>
          <w:sz w:val="20"/>
          <w:szCs w:val="20"/>
        </w:rPr>
        <w:t>Multex</w:t>
      </w:r>
      <w:proofErr w:type="spellEnd"/>
      <w:r w:rsidRPr="000F3CBF">
        <w:rPr>
          <w:sz w:val="20"/>
          <w:szCs w:val="20"/>
        </w:rPr>
        <w:t>, and First Call.</w:t>
      </w:r>
    </w:p>
    <w:p w:rsidR="006C412A" w:rsidRPr="000F3CBF" w:rsidRDefault="00B07B5D" w:rsidP="00B07B5D">
      <w:pPr>
        <w:pStyle w:val="BodyTextIndent"/>
        <w:numPr>
          <w:ilvl w:val="1"/>
          <w:numId w:val="21"/>
        </w:numPr>
        <w:rPr>
          <w:i/>
          <w:sz w:val="20"/>
          <w:szCs w:val="20"/>
        </w:rPr>
      </w:pPr>
      <w:r w:rsidRPr="000F3CBF">
        <w:rPr>
          <w:i/>
          <w:sz w:val="20"/>
          <w:szCs w:val="20"/>
        </w:rPr>
        <w:t xml:space="preserve"> </w:t>
      </w:r>
      <w:r w:rsidR="006C412A" w:rsidRPr="000F3CBF">
        <w:rPr>
          <w:i/>
          <w:sz w:val="20"/>
          <w:szCs w:val="20"/>
        </w:rPr>
        <w:t>Analyst recommendations</w:t>
      </w:r>
    </w:p>
    <w:p w:rsidR="006C412A" w:rsidRPr="000F3CBF" w:rsidRDefault="00E817C9" w:rsidP="00E817C9">
      <w:pPr>
        <w:pStyle w:val="BodyTextIndent"/>
        <w:rPr>
          <w:sz w:val="20"/>
          <w:szCs w:val="20"/>
        </w:rPr>
      </w:pPr>
      <w:r w:rsidRPr="000F3CBF">
        <w:rPr>
          <w:sz w:val="20"/>
          <w:szCs w:val="20"/>
        </w:rPr>
        <w:t>Table 2</w:t>
      </w:r>
      <w:r w:rsidR="005F34D2">
        <w:rPr>
          <w:sz w:val="20"/>
          <w:szCs w:val="20"/>
        </w:rPr>
        <w:t xml:space="preserve"> presents the </w:t>
      </w:r>
      <w:proofErr w:type="spellStart"/>
      <w:r w:rsidR="006C412A" w:rsidRPr="000F3CBF">
        <w:rPr>
          <w:sz w:val="20"/>
          <w:szCs w:val="20"/>
        </w:rPr>
        <w:t>univariate</w:t>
      </w:r>
      <w:proofErr w:type="spellEnd"/>
      <w:r w:rsidR="006C412A" w:rsidRPr="000F3CBF">
        <w:rPr>
          <w:sz w:val="20"/>
          <w:szCs w:val="20"/>
        </w:rPr>
        <w:t xml:space="preserve"> and ordered </w:t>
      </w:r>
      <w:proofErr w:type="spellStart"/>
      <w:r w:rsidR="006C412A" w:rsidRPr="000F3CBF">
        <w:rPr>
          <w:sz w:val="20"/>
          <w:szCs w:val="20"/>
        </w:rPr>
        <w:t>probit</w:t>
      </w:r>
      <w:proofErr w:type="spellEnd"/>
      <w:r w:rsidR="006C412A" w:rsidRPr="000F3CBF">
        <w:rPr>
          <w:sz w:val="20"/>
          <w:szCs w:val="20"/>
        </w:rPr>
        <w:t xml:space="preserve"> analyses of the owning and control analyst recommendations.  I reduce the sample by eliminating instances in which there are no recommendations issued by control analysts in the 120-day period centered on the date of the owning analyst’s recommendation.</w:t>
      </w:r>
    </w:p>
    <w:p w:rsidR="006C412A" w:rsidRPr="000F3CBF" w:rsidRDefault="006C412A" w:rsidP="0080619C">
      <w:pPr>
        <w:pStyle w:val="BodyTextIndent"/>
        <w:rPr>
          <w:sz w:val="20"/>
          <w:szCs w:val="20"/>
        </w:rPr>
      </w:pPr>
      <w:r w:rsidRPr="000F3CBF">
        <w:rPr>
          <w:sz w:val="20"/>
          <w:szCs w:val="20"/>
        </w:rPr>
        <w:t xml:space="preserve">The </w:t>
      </w:r>
      <w:proofErr w:type="spellStart"/>
      <w:r w:rsidRPr="000F3CBF">
        <w:rPr>
          <w:sz w:val="20"/>
          <w:szCs w:val="20"/>
        </w:rPr>
        <w:t>univariate</w:t>
      </w:r>
      <w:proofErr w:type="spellEnd"/>
      <w:r w:rsidRPr="000F3CBF">
        <w:rPr>
          <w:sz w:val="20"/>
          <w:szCs w:val="20"/>
        </w:rPr>
        <w:t xml:space="preserve"> results of PANEL A show that</w:t>
      </w:r>
      <w:r w:rsidR="005E78D8" w:rsidRPr="000F3CBF">
        <w:rPr>
          <w:sz w:val="20"/>
          <w:szCs w:val="20"/>
        </w:rPr>
        <w:t>,</w:t>
      </w:r>
      <w:r w:rsidRPr="000F3CBF">
        <w:rPr>
          <w:sz w:val="20"/>
          <w:szCs w:val="20"/>
        </w:rPr>
        <w:t xml:space="preserve"> on average, both stock-owning and non-stock-owning control analysts issue “Buy” recommendations </w:t>
      </w:r>
      <w:r w:rsidR="00490A31" w:rsidRPr="000F3CBF">
        <w:rPr>
          <w:sz w:val="20"/>
          <w:szCs w:val="20"/>
        </w:rPr>
        <w:t xml:space="preserve">( 2=Buy) </w:t>
      </w:r>
      <w:r w:rsidRPr="000F3CBF">
        <w:rPr>
          <w:sz w:val="20"/>
          <w:szCs w:val="20"/>
        </w:rPr>
        <w:t>during the sample period.</w:t>
      </w:r>
      <w:r w:rsidR="0080619C">
        <w:rPr>
          <w:sz w:val="20"/>
          <w:szCs w:val="20"/>
        </w:rPr>
        <w:t xml:space="preserve">  </w:t>
      </w:r>
      <w:r w:rsidRPr="000F3CBF">
        <w:rPr>
          <w:sz w:val="20"/>
          <w:szCs w:val="20"/>
        </w:rPr>
        <w:t>In the Form 144 sample, owning analysts have a mean recommendation of 1.87.  The control sample mean recommendation is 1.62 and is statistically different from the stock-owning sample mean.  The higher average recommendation level among stock-owning</w:t>
      </w:r>
      <w:r w:rsidR="005F34D2">
        <w:rPr>
          <w:sz w:val="20"/>
          <w:szCs w:val="20"/>
        </w:rPr>
        <w:t xml:space="preserve"> </w:t>
      </w:r>
      <w:r w:rsidR="005F34D2">
        <w:rPr>
          <w:sz w:val="20"/>
          <w:szCs w:val="20"/>
        </w:rPr>
        <w:lastRenderedPageBreak/>
        <w:t>analysts suggests less favorable recommendations</w:t>
      </w:r>
      <w:r w:rsidRPr="000F3CBF">
        <w:rPr>
          <w:sz w:val="20"/>
          <w:szCs w:val="20"/>
        </w:rPr>
        <w:t>.  The d</w:t>
      </w:r>
      <w:r w:rsidR="00490A31" w:rsidRPr="000F3CBF">
        <w:rPr>
          <w:sz w:val="20"/>
          <w:szCs w:val="20"/>
        </w:rPr>
        <w:t>isclosing stock-owning analyst sample</w:t>
      </w:r>
      <w:r w:rsidRPr="000F3CBF">
        <w:rPr>
          <w:sz w:val="20"/>
          <w:szCs w:val="20"/>
        </w:rPr>
        <w:t xml:space="preserve"> has a mean recommendation of 2.24 compared to the control sampl</w:t>
      </w:r>
      <w:r w:rsidR="005F34D2">
        <w:rPr>
          <w:sz w:val="20"/>
          <w:szCs w:val="20"/>
        </w:rPr>
        <w:t>e mean of 2.14 but they are</w:t>
      </w:r>
      <w:r w:rsidRPr="000F3CBF">
        <w:rPr>
          <w:sz w:val="20"/>
          <w:szCs w:val="20"/>
        </w:rPr>
        <w:t xml:space="preserve"> not statistically different at the conventional level.  </w:t>
      </w:r>
      <w:r w:rsidR="00F0064B" w:rsidRPr="000F3CBF">
        <w:rPr>
          <w:sz w:val="20"/>
          <w:szCs w:val="20"/>
        </w:rPr>
        <w:t xml:space="preserve">Fisher’s exact test, however, rejects that the two samples have the same distribution.  </w:t>
      </w:r>
      <w:r w:rsidRPr="000F3CBF">
        <w:rPr>
          <w:sz w:val="20"/>
          <w:szCs w:val="20"/>
        </w:rPr>
        <w:t>The stock-owning analysts do not issue a sell or strong sell recommendation in either sample, nor do the control analysts in the Form 144 sample.</w:t>
      </w:r>
      <w:r w:rsidR="005F34D2">
        <w:rPr>
          <w:sz w:val="20"/>
          <w:szCs w:val="20"/>
        </w:rPr>
        <w:t xml:space="preserve">  During the sample periods, sell and strong sell recommendati</w:t>
      </w:r>
      <w:r w:rsidR="00F37C15">
        <w:rPr>
          <w:sz w:val="20"/>
          <w:szCs w:val="20"/>
        </w:rPr>
        <w:t>ons were rare in general and a b</w:t>
      </w:r>
      <w:r w:rsidR="005F34D2">
        <w:rPr>
          <w:sz w:val="20"/>
          <w:szCs w:val="20"/>
        </w:rPr>
        <w:t>uy recommendation was common for many stocks.</w:t>
      </w:r>
    </w:p>
    <w:p w:rsidR="006C412A" w:rsidRPr="000F3CBF" w:rsidRDefault="006C412A" w:rsidP="00BF5F7E">
      <w:pPr>
        <w:pStyle w:val="BodyTextIndent"/>
        <w:rPr>
          <w:sz w:val="20"/>
          <w:szCs w:val="20"/>
        </w:rPr>
      </w:pPr>
      <w:r w:rsidRPr="000F3CBF">
        <w:rPr>
          <w:sz w:val="20"/>
          <w:szCs w:val="20"/>
        </w:rPr>
        <w:t>PANEL</w:t>
      </w:r>
      <w:r w:rsidRPr="000F3CBF">
        <w:rPr>
          <w:b/>
          <w:sz w:val="20"/>
          <w:szCs w:val="20"/>
        </w:rPr>
        <w:t xml:space="preserve"> </w:t>
      </w:r>
      <w:r w:rsidRPr="000F3CBF">
        <w:rPr>
          <w:sz w:val="20"/>
          <w:szCs w:val="20"/>
        </w:rPr>
        <w:t>B</w:t>
      </w:r>
      <w:r w:rsidRPr="000F3CBF">
        <w:rPr>
          <w:b/>
          <w:sz w:val="20"/>
          <w:szCs w:val="20"/>
        </w:rPr>
        <w:t xml:space="preserve"> </w:t>
      </w:r>
      <w:r w:rsidRPr="000F3CBF">
        <w:rPr>
          <w:sz w:val="20"/>
          <w:szCs w:val="20"/>
        </w:rPr>
        <w:t xml:space="preserve">of </w:t>
      </w:r>
      <w:r w:rsidR="00E817C9" w:rsidRPr="000F3CBF">
        <w:rPr>
          <w:sz w:val="20"/>
          <w:szCs w:val="20"/>
        </w:rPr>
        <w:t>Table 2</w:t>
      </w:r>
      <w:r w:rsidRPr="000F3CBF">
        <w:rPr>
          <w:sz w:val="20"/>
          <w:szCs w:val="20"/>
        </w:rPr>
        <w:t xml:space="preserve"> presents the multivariate analyses of the samples’ recommendations.</w:t>
      </w:r>
      <w:bookmarkStart w:id="0" w:name="OLE_LINK1"/>
      <w:r w:rsidRPr="000F3CBF">
        <w:rPr>
          <w:sz w:val="20"/>
          <w:szCs w:val="20"/>
        </w:rPr>
        <w:t xml:space="preserve">  Analyst recommendations are a </w:t>
      </w:r>
      <w:proofErr w:type="spellStart"/>
      <w:r w:rsidRPr="000F3CBF">
        <w:rPr>
          <w:sz w:val="20"/>
          <w:szCs w:val="20"/>
        </w:rPr>
        <w:t>polychotomous</w:t>
      </w:r>
      <w:proofErr w:type="spellEnd"/>
      <w:r w:rsidRPr="000F3CBF">
        <w:rPr>
          <w:sz w:val="20"/>
          <w:szCs w:val="20"/>
        </w:rPr>
        <w:t xml:space="preserve"> variable that has a natural order</w:t>
      </w:r>
      <w:bookmarkEnd w:id="0"/>
      <w:r w:rsidRPr="000F3CBF">
        <w:rPr>
          <w:sz w:val="20"/>
          <w:szCs w:val="20"/>
        </w:rPr>
        <w:t xml:space="preserve">.  Therefore, I use an ordered </w:t>
      </w:r>
      <w:proofErr w:type="spellStart"/>
      <w:r w:rsidRPr="000F3CBF">
        <w:rPr>
          <w:sz w:val="20"/>
          <w:szCs w:val="20"/>
        </w:rPr>
        <w:t>probit</w:t>
      </w:r>
      <w:proofErr w:type="spellEnd"/>
      <w:r w:rsidRPr="000F3CBF">
        <w:rPr>
          <w:sz w:val="20"/>
          <w:szCs w:val="20"/>
        </w:rPr>
        <w:t xml:space="preserve"> to perform the analyses.  A z-statistic indicates the significance of the </w:t>
      </w:r>
      <w:proofErr w:type="spellStart"/>
      <w:r w:rsidRPr="000F3CBF">
        <w:rPr>
          <w:sz w:val="20"/>
          <w:szCs w:val="20"/>
        </w:rPr>
        <w:t>probit</w:t>
      </w:r>
      <w:proofErr w:type="spellEnd"/>
      <w:r w:rsidRPr="000F3CBF">
        <w:rPr>
          <w:sz w:val="20"/>
          <w:szCs w:val="20"/>
        </w:rPr>
        <w:t xml:space="preserve"> coefficients.  The Form 144 sample ownership variable (OWN) is positive and weakly significant at the 10% level.  In the </w:t>
      </w:r>
      <w:r w:rsidR="00B667AD" w:rsidRPr="000F3CBF">
        <w:rPr>
          <w:sz w:val="20"/>
          <w:szCs w:val="20"/>
        </w:rPr>
        <w:t xml:space="preserve">larger </w:t>
      </w:r>
      <w:r w:rsidRPr="000F3CBF">
        <w:rPr>
          <w:sz w:val="20"/>
          <w:szCs w:val="20"/>
        </w:rPr>
        <w:t>disclosing sample, the coefficient on the ownership variable is 0.32 and significant.  These positive coefficients provide evidence that a stock-owning analyst has a greater probabil</w:t>
      </w:r>
      <w:r w:rsidR="005F34D2">
        <w:rPr>
          <w:sz w:val="20"/>
          <w:szCs w:val="20"/>
        </w:rPr>
        <w:t>ity of issuing a less favorable</w:t>
      </w:r>
      <w:r w:rsidRPr="000F3CBF">
        <w:rPr>
          <w:sz w:val="20"/>
          <w:szCs w:val="20"/>
        </w:rPr>
        <w:t xml:space="preserve"> recommendation than does a non</w:t>
      </w:r>
      <w:r w:rsidR="00F80C5A" w:rsidRPr="000F3CBF">
        <w:rPr>
          <w:sz w:val="20"/>
          <w:szCs w:val="20"/>
        </w:rPr>
        <w:t>-stock-owning control analyst.</w:t>
      </w:r>
    </w:p>
    <w:p w:rsidR="006C412A" w:rsidRPr="000F3CBF" w:rsidRDefault="006C412A" w:rsidP="009364E2">
      <w:pPr>
        <w:pStyle w:val="BodyTextIndent"/>
        <w:rPr>
          <w:sz w:val="20"/>
          <w:szCs w:val="20"/>
        </w:rPr>
      </w:pPr>
      <w:r w:rsidRPr="000F3CBF">
        <w:rPr>
          <w:sz w:val="20"/>
          <w:szCs w:val="20"/>
        </w:rPr>
        <w:t xml:space="preserve">However, </w:t>
      </w:r>
      <w:r w:rsidR="00572C93" w:rsidRPr="000F3CBF">
        <w:rPr>
          <w:sz w:val="20"/>
          <w:szCs w:val="20"/>
        </w:rPr>
        <w:t xml:space="preserve">for the ordered </w:t>
      </w:r>
      <w:proofErr w:type="spellStart"/>
      <w:r w:rsidR="00572C93" w:rsidRPr="000F3CBF">
        <w:rPr>
          <w:sz w:val="20"/>
          <w:szCs w:val="20"/>
        </w:rPr>
        <w:t>probit</w:t>
      </w:r>
      <w:proofErr w:type="spellEnd"/>
      <w:r w:rsidR="00572C93" w:rsidRPr="000F3CBF">
        <w:rPr>
          <w:sz w:val="20"/>
          <w:szCs w:val="20"/>
        </w:rPr>
        <w:t xml:space="preserve">, </w:t>
      </w:r>
      <w:r w:rsidRPr="000F3CBF">
        <w:rPr>
          <w:sz w:val="20"/>
          <w:szCs w:val="20"/>
        </w:rPr>
        <w:t xml:space="preserve">the marginal effects of the </w:t>
      </w:r>
      <w:proofErr w:type="spellStart"/>
      <w:r w:rsidRPr="000F3CBF">
        <w:rPr>
          <w:sz w:val="20"/>
          <w:szCs w:val="20"/>
        </w:rPr>
        <w:t>regressors</w:t>
      </w:r>
      <w:proofErr w:type="spellEnd"/>
      <w:r w:rsidRPr="000F3CBF">
        <w:rPr>
          <w:sz w:val="20"/>
          <w:szCs w:val="20"/>
        </w:rPr>
        <w:t xml:space="preserve"> on the probabilities of each recommendation level are not equal to the coefficients.  Only the signs of the changes in the two extreme outcomes are unambiguous; the effect on the middle cells is ambiguous (See Greene, 2000).  In PANEL C, </w:t>
      </w:r>
      <w:r w:rsidR="00E817C9" w:rsidRPr="000F3CBF">
        <w:rPr>
          <w:sz w:val="20"/>
          <w:szCs w:val="20"/>
        </w:rPr>
        <w:t>Table 2</w:t>
      </w:r>
      <w:r w:rsidRPr="000F3CBF">
        <w:rPr>
          <w:sz w:val="20"/>
          <w:szCs w:val="20"/>
        </w:rPr>
        <w:t xml:space="preserve">, I present the marginal effects of the ownership dummy variables on the probabilities of each recommendation.  The magnitude of the marginal effects differs across samples, perhaps due to sample size differences.  However, the result is the same, a </w:t>
      </w:r>
      <w:r w:rsidR="00572C93" w:rsidRPr="000F3CBF">
        <w:rPr>
          <w:sz w:val="20"/>
          <w:szCs w:val="20"/>
        </w:rPr>
        <w:t xml:space="preserve">rightward </w:t>
      </w:r>
      <w:r w:rsidRPr="000F3CBF">
        <w:rPr>
          <w:sz w:val="20"/>
          <w:szCs w:val="20"/>
        </w:rPr>
        <w:t xml:space="preserve">shift in the distribution toward </w:t>
      </w:r>
      <w:r w:rsidR="005F34D2">
        <w:rPr>
          <w:sz w:val="20"/>
          <w:szCs w:val="20"/>
        </w:rPr>
        <w:t>less favorable</w:t>
      </w:r>
      <w:r w:rsidR="00572C93" w:rsidRPr="000F3CBF">
        <w:rPr>
          <w:sz w:val="20"/>
          <w:szCs w:val="20"/>
        </w:rPr>
        <w:t xml:space="preserve"> recommendations. </w:t>
      </w:r>
      <w:r w:rsidR="00F017B1" w:rsidRPr="000F3CBF">
        <w:rPr>
          <w:sz w:val="20"/>
          <w:szCs w:val="20"/>
        </w:rPr>
        <w:t>Note, in the</w:t>
      </w:r>
      <w:r w:rsidR="00F37C15">
        <w:rPr>
          <w:sz w:val="20"/>
          <w:szCs w:val="20"/>
        </w:rPr>
        <w:t xml:space="preserve"> larger </w:t>
      </w:r>
      <w:r w:rsidR="00F017B1" w:rsidRPr="000F3CBF">
        <w:rPr>
          <w:sz w:val="20"/>
          <w:szCs w:val="20"/>
        </w:rPr>
        <w:t>disclosing sample</w:t>
      </w:r>
      <w:r w:rsidR="0080619C">
        <w:rPr>
          <w:sz w:val="20"/>
          <w:szCs w:val="20"/>
        </w:rPr>
        <w:t>,</w:t>
      </w:r>
      <w:r w:rsidR="00F017B1" w:rsidRPr="000F3CBF">
        <w:rPr>
          <w:sz w:val="20"/>
          <w:szCs w:val="20"/>
        </w:rPr>
        <w:t xml:space="preserve"> the marginal effect is relatively small.</w:t>
      </w:r>
    </w:p>
    <w:p w:rsidR="006C412A" w:rsidRPr="000F3CBF" w:rsidRDefault="002103BC" w:rsidP="009364E2">
      <w:pPr>
        <w:pStyle w:val="BodyTextIndent"/>
        <w:rPr>
          <w:sz w:val="20"/>
          <w:szCs w:val="20"/>
        </w:rPr>
      </w:pPr>
      <w:r w:rsidRPr="000F3CBF">
        <w:rPr>
          <w:sz w:val="20"/>
          <w:szCs w:val="20"/>
        </w:rPr>
        <w:t>These results provide preliminary</w:t>
      </w:r>
      <w:r w:rsidR="006C412A" w:rsidRPr="000F3CBF">
        <w:rPr>
          <w:sz w:val="20"/>
          <w:szCs w:val="20"/>
        </w:rPr>
        <w:t xml:space="preserve"> evidence that an analyst’s reputati</w:t>
      </w:r>
      <w:r w:rsidRPr="000F3CBF">
        <w:rPr>
          <w:sz w:val="20"/>
          <w:szCs w:val="20"/>
        </w:rPr>
        <w:t>on concerns may provide an effective check on the</w:t>
      </w:r>
      <w:r w:rsidR="006C412A" w:rsidRPr="000F3CBF">
        <w:rPr>
          <w:sz w:val="20"/>
          <w:szCs w:val="20"/>
        </w:rPr>
        <w:t xml:space="preserve"> incentive effect of stock ownership.</w:t>
      </w:r>
      <w:r w:rsidR="00B50318" w:rsidRPr="000F3CBF">
        <w:rPr>
          <w:sz w:val="20"/>
          <w:szCs w:val="20"/>
        </w:rPr>
        <w:t xml:space="preserve">  The results also suggest there is little evidence to support an inside view effect.</w:t>
      </w:r>
      <w:r w:rsidR="006C412A" w:rsidRPr="000F3CBF">
        <w:rPr>
          <w:sz w:val="20"/>
          <w:szCs w:val="20"/>
        </w:rPr>
        <w:t xml:space="preserve">  This evidence of cautious reporting by stock-owning analysts also reduces concerns of a self-selection bias inducing a finding of greater optimism.</w:t>
      </w:r>
      <w:r w:rsidR="00EF19DE" w:rsidRPr="000F3CBF">
        <w:rPr>
          <w:sz w:val="20"/>
          <w:szCs w:val="20"/>
        </w:rPr>
        <w:t xml:space="preserve">  Final conclusions are subject to the forecast error testing.  </w:t>
      </w:r>
    </w:p>
    <w:p w:rsidR="006C412A" w:rsidRPr="000F3CBF" w:rsidRDefault="006C412A" w:rsidP="009364E2">
      <w:pPr>
        <w:pStyle w:val="BodyTextIndent"/>
        <w:rPr>
          <w:sz w:val="20"/>
          <w:szCs w:val="20"/>
        </w:rPr>
      </w:pPr>
      <w:r w:rsidRPr="000F3CBF">
        <w:rPr>
          <w:sz w:val="20"/>
          <w:szCs w:val="20"/>
        </w:rPr>
        <w:t xml:space="preserve">Although the main result is consistent across samples, the sign and significance of the control variables differs by sample.  The IPO underwriter variable is positive and significant in the Form 144 sample, but not in the </w:t>
      </w:r>
      <w:r w:rsidRPr="000F3CBF">
        <w:rPr>
          <w:sz w:val="20"/>
          <w:szCs w:val="20"/>
        </w:rPr>
        <w:lastRenderedPageBreak/>
        <w:t>disclosing sample.  This finding contradicts the existing literature, but it is based on a small sample of IPO firms.  The disclosing sample results show that three of the four underwriting coefficients are negative, including the IPO co-manager variable, which is also the only one of the four that is statistically significant.  This finding is consistent with an underwriting incentive</w:t>
      </w:r>
      <w:r w:rsidR="00CD281D" w:rsidRPr="000F3CBF">
        <w:rPr>
          <w:sz w:val="20"/>
          <w:szCs w:val="20"/>
        </w:rPr>
        <w:t>,</w:t>
      </w:r>
      <w:r w:rsidRPr="000F3CBF">
        <w:rPr>
          <w:sz w:val="20"/>
          <w:szCs w:val="20"/>
        </w:rPr>
        <w:t xml:space="preserve"> as in </w:t>
      </w:r>
      <w:proofErr w:type="spellStart"/>
      <w:r w:rsidRPr="000F3CBF">
        <w:rPr>
          <w:sz w:val="20"/>
          <w:szCs w:val="20"/>
        </w:rPr>
        <w:t>Michaely</w:t>
      </w:r>
      <w:proofErr w:type="spellEnd"/>
      <w:r w:rsidRPr="000F3CBF">
        <w:rPr>
          <w:sz w:val="20"/>
          <w:szCs w:val="20"/>
        </w:rPr>
        <w:t xml:space="preserve"> and Womack (1999), but it suggests that the co-managers, not the lead underwriters, of IPOs provide optimistic recommendations.  The lack of significance of the SEO underwriting variables is inconsistent with Lin and </w:t>
      </w:r>
      <w:proofErr w:type="spellStart"/>
      <w:r w:rsidRPr="000F3CBF">
        <w:rPr>
          <w:sz w:val="20"/>
          <w:szCs w:val="20"/>
        </w:rPr>
        <w:t>McNichols</w:t>
      </w:r>
      <w:proofErr w:type="spellEnd"/>
      <w:r w:rsidRPr="000F3CBF">
        <w:rPr>
          <w:sz w:val="20"/>
          <w:szCs w:val="20"/>
        </w:rPr>
        <w:t xml:space="preserve"> (1998).  However, Lin and </w:t>
      </w:r>
      <w:proofErr w:type="spellStart"/>
      <w:r w:rsidRPr="000F3CBF">
        <w:rPr>
          <w:sz w:val="20"/>
          <w:szCs w:val="20"/>
        </w:rPr>
        <w:t>McNichols</w:t>
      </w:r>
      <w:proofErr w:type="spellEnd"/>
      <w:r w:rsidRPr="000F3CBF">
        <w:rPr>
          <w:sz w:val="20"/>
          <w:szCs w:val="20"/>
        </w:rPr>
        <w:t xml:space="preserve"> explore a much larger sample of SEOs, which could explain the different results.</w:t>
      </w:r>
    </w:p>
    <w:p w:rsidR="006C412A" w:rsidRPr="000F3CBF" w:rsidRDefault="006C412A" w:rsidP="00BF5F7E">
      <w:pPr>
        <w:pStyle w:val="BodyTextIndent"/>
        <w:rPr>
          <w:sz w:val="20"/>
          <w:szCs w:val="20"/>
        </w:rPr>
      </w:pPr>
      <w:r w:rsidRPr="000F3CBF">
        <w:rPr>
          <w:sz w:val="20"/>
          <w:szCs w:val="20"/>
        </w:rPr>
        <w:t xml:space="preserve">For the Form 144 sample, the internet and broker </w:t>
      </w:r>
      <w:proofErr w:type="spellStart"/>
      <w:r w:rsidRPr="000F3CBF">
        <w:rPr>
          <w:sz w:val="20"/>
          <w:szCs w:val="20"/>
        </w:rPr>
        <w:t>decile</w:t>
      </w:r>
      <w:proofErr w:type="spellEnd"/>
      <w:r w:rsidRPr="000F3CBF">
        <w:rPr>
          <w:sz w:val="20"/>
          <w:szCs w:val="20"/>
        </w:rPr>
        <w:t xml:space="preserve"> variables are the only other statistically significant control variables.  The coefficient on the Internet variable is positive, but the broker </w:t>
      </w:r>
      <w:proofErr w:type="spellStart"/>
      <w:r w:rsidRPr="000F3CBF">
        <w:rPr>
          <w:sz w:val="20"/>
          <w:szCs w:val="20"/>
        </w:rPr>
        <w:t>decile</w:t>
      </w:r>
      <w:proofErr w:type="spellEnd"/>
      <w:r w:rsidRPr="000F3CBF">
        <w:rPr>
          <w:sz w:val="20"/>
          <w:szCs w:val="20"/>
        </w:rPr>
        <w:t xml:space="preserve"> variable coefficient is negative.  I do not calculate the marginal effects for the control variables, since they are not the focus of the paper.  However, the general implications are that recommendations for Internet companies are less optimistic and recommendations issued by larger brokerage firms have a higher probability of being a strong buy.</w:t>
      </w:r>
    </w:p>
    <w:p w:rsidR="00655B00" w:rsidRDefault="006C412A" w:rsidP="00A7280E">
      <w:pPr>
        <w:pStyle w:val="BodyTextIndent"/>
        <w:rPr>
          <w:sz w:val="20"/>
          <w:szCs w:val="20"/>
        </w:rPr>
      </w:pPr>
      <w:r w:rsidRPr="000F3CBF">
        <w:rPr>
          <w:sz w:val="20"/>
          <w:szCs w:val="20"/>
        </w:rPr>
        <w:t>The analyst following variable is the only other statistically significant control variable in the disclosing sample.  The coefficient is positiv</w:t>
      </w:r>
      <w:r w:rsidR="00411A67" w:rsidRPr="000F3CBF">
        <w:rPr>
          <w:sz w:val="20"/>
          <w:szCs w:val="20"/>
        </w:rPr>
        <w:t>e, sugg</w:t>
      </w:r>
      <w:r w:rsidR="00655B00" w:rsidRPr="000F3CBF">
        <w:rPr>
          <w:sz w:val="20"/>
          <w:szCs w:val="20"/>
        </w:rPr>
        <w:t>esting that greater</w:t>
      </w:r>
      <w:r w:rsidR="00411A67" w:rsidRPr="000F3CBF">
        <w:rPr>
          <w:sz w:val="20"/>
          <w:szCs w:val="20"/>
        </w:rPr>
        <w:t xml:space="preserve"> competition</w:t>
      </w:r>
      <w:r w:rsidRPr="000F3CBF">
        <w:rPr>
          <w:sz w:val="20"/>
          <w:szCs w:val="20"/>
        </w:rPr>
        <w:t xml:space="preserve"> limits analyst optimism.</w:t>
      </w:r>
    </w:p>
    <w:p w:rsidR="00B32966" w:rsidRPr="000F3CBF" w:rsidRDefault="00B32966" w:rsidP="00B32966">
      <w:pPr>
        <w:pStyle w:val="BodyTextIndent"/>
        <w:ind w:firstLine="0"/>
        <w:rPr>
          <w:i/>
          <w:sz w:val="20"/>
          <w:szCs w:val="20"/>
        </w:rPr>
      </w:pPr>
      <w:bookmarkStart w:id="1" w:name="OLE_LINK6"/>
      <w:bookmarkStart w:id="2" w:name="OLE_LINK7"/>
      <w:r w:rsidRPr="000F3CBF">
        <w:rPr>
          <w:i/>
          <w:sz w:val="20"/>
          <w:szCs w:val="20"/>
        </w:rPr>
        <w:t>4.</w:t>
      </w:r>
      <w:r>
        <w:rPr>
          <w:i/>
          <w:sz w:val="20"/>
          <w:szCs w:val="20"/>
        </w:rPr>
        <w:t>2</w:t>
      </w:r>
      <w:r w:rsidRPr="000F3CBF">
        <w:rPr>
          <w:i/>
          <w:sz w:val="20"/>
          <w:szCs w:val="20"/>
        </w:rPr>
        <w:t>. Recommendation Announcement Returns</w:t>
      </w:r>
    </w:p>
    <w:p w:rsidR="00B32966" w:rsidRPr="000F3CBF" w:rsidRDefault="00B32966" w:rsidP="0029078E">
      <w:pPr>
        <w:pStyle w:val="BodyTextIndent"/>
        <w:rPr>
          <w:sz w:val="20"/>
          <w:szCs w:val="20"/>
        </w:rPr>
      </w:pPr>
      <w:r>
        <w:rPr>
          <w:sz w:val="20"/>
          <w:szCs w:val="20"/>
        </w:rPr>
        <w:t xml:space="preserve">To capture the </w:t>
      </w:r>
      <w:r w:rsidR="005F34D2">
        <w:rPr>
          <w:sz w:val="20"/>
          <w:szCs w:val="20"/>
        </w:rPr>
        <w:t xml:space="preserve">market’s assessment of </w:t>
      </w:r>
      <w:r>
        <w:rPr>
          <w:sz w:val="20"/>
          <w:szCs w:val="20"/>
        </w:rPr>
        <w:t>owning analyst recommendations,</w:t>
      </w:r>
      <w:r w:rsidRPr="000F3CBF">
        <w:rPr>
          <w:sz w:val="20"/>
          <w:szCs w:val="20"/>
        </w:rPr>
        <w:t xml:space="preserve"> I analyze 3-day cumulative abnormal returns (CAR) around the disclosing sample recommendations (results not tabulated).</w:t>
      </w:r>
      <w:r w:rsidRPr="000F3CBF">
        <w:rPr>
          <w:rStyle w:val="FootnoteReference"/>
          <w:sz w:val="20"/>
          <w:szCs w:val="20"/>
        </w:rPr>
        <w:footnoteReference w:id="13"/>
      </w:r>
      <w:r w:rsidRPr="000F3CBF">
        <w:rPr>
          <w:sz w:val="20"/>
          <w:szCs w:val="20"/>
        </w:rPr>
        <w:t xml:space="preserve">  Following Lin and </w:t>
      </w:r>
      <w:proofErr w:type="spellStart"/>
      <w:r w:rsidRPr="000F3CBF">
        <w:rPr>
          <w:sz w:val="20"/>
          <w:szCs w:val="20"/>
        </w:rPr>
        <w:t>McNichols</w:t>
      </w:r>
      <w:proofErr w:type="spellEnd"/>
      <w:r w:rsidRPr="000F3CBF">
        <w:rPr>
          <w:sz w:val="20"/>
          <w:szCs w:val="20"/>
        </w:rPr>
        <w:t xml:space="preserve"> (1998), I estimate the following regression without an intercept:</w:t>
      </w:r>
      <w:r w:rsidRPr="000F3CBF">
        <w:rPr>
          <w:rStyle w:val="FootnoteReference"/>
          <w:sz w:val="20"/>
          <w:szCs w:val="20"/>
        </w:rPr>
        <w:footnoteReference w:id="14"/>
      </w:r>
    </w:p>
    <w:p w:rsidR="0029078E" w:rsidRDefault="00B32966" w:rsidP="0029078E">
      <w:pPr>
        <w:pStyle w:val="BodyTextIndent"/>
        <w:rPr>
          <w:b/>
          <w:sz w:val="20"/>
          <w:szCs w:val="20"/>
        </w:rPr>
      </w:pPr>
      <w:r w:rsidRPr="000F3CBF">
        <w:rPr>
          <w:b/>
          <w:sz w:val="20"/>
          <w:szCs w:val="20"/>
        </w:rPr>
        <w:t xml:space="preserve">CAR = </w:t>
      </w:r>
      <w:r w:rsidRPr="000F3CBF">
        <w:rPr>
          <w:b/>
          <w:sz w:val="20"/>
          <w:szCs w:val="20"/>
        </w:rPr>
        <w:sym w:font="Symbol" w:char="F061"/>
      </w:r>
      <w:r w:rsidRPr="000F3CBF">
        <w:rPr>
          <w:b/>
          <w:sz w:val="20"/>
          <w:szCs w:val="20"/>
          <w:vertAlign w:val="subscript"/>
        </w:rPr>
        <w:t>1</w:t>
      </w:r>
      <w:r w:rsidRPr="000F3CBF">
        <w:rPr>
          <w:b/>
          <w:sz w:val="20"/>
          <w:szCs w:val="20"/>
        </w:rPr>
        <w:t xml:space="preserve"> Owner Strong Buy + </w:t>
      </w:r>
      <w:r w:rsidRPr="000F3CBF">
        <w:rPr>
          <w:b/>
          <w:sz w:val="20"/>
          <w:szCs w:val="20"/>
        </w:rPr>
        <w:sym w:font="Symbol" w:char="F061"/>
      </w:r>
      <w:r w:rsidRPr="000F3CBF">
        <w:rPr>
          <w:b/>
          <w:sz w:val="20"/>
          <w:szCs w:val="20"/>
          <w:vertAlign w:val="subscript"/>
        </w:rPr>
        <w:t>2</w:t>
      </w:r>
      <w:r w:rsidRPr="000F3CBF">
        <w:rPr>
          <w:b/>
          <w:sz w:val="20"/>
          <w:szCs w:val="20"/>
        </w:rPr>
        <w:t xml:space="preserve"> Owner Buy + </w:t>
      </w:r>
      <w:r w:rsidRPr="000F3CBF">
        <w:rPr>
          <w:b/>
          <w:sz w:val="20"/>
          <w:szCs w:val="20"/>
        </w:rPr>
        <w:sym w:font="Symbol" w:char="F061"/>
      </w:r>
      <w:r w:rsidRPr="000F3CBF">
        <w:rPr>
          <w:b/>
          <w:sz w:val="20"/>
          <w:szCs w:val="20"/>
          <w:vertAlign w:val="subscript"/>
        </w:rPr>
        <w:t>3</w:t>
      </w:r>
      <w:r w:rsidRPr="000F3CBF">
        <w:rPr>
          <w:b/>
          <w:sz w:val="20"/>
          <w:szCs w:val="20"/>
        </w:rPr>
        <w:t xml:space="preserve"> Owner Hold + </w:t>
      </w:r>
      <w:r w:rsidRPr="000F3CBF">
        <w:rPr>
          <w:b/>
          <w:sz w:val="20"/>
          <w:szCs w:val="20"/>
        </w:rPr>
        <w:sym w:font="Symbol" w:char="F061"/>
      </w:r>
      <w:r w:rsidRPr="000F3CBF">
        <w:rPr>
          <w:b/>
          <w:sz w:val="20"/>
          <w:szCs w:val="20"/>
          <w:vertAlign w:val="subscript"/>
        </w:rPr>
        <w:t>4</w:t>
      </w:r>
      <w:r w:rsidRPr="000F3CBF">
        <w:rPr>
          <w:b/>
          <w:sz w:val="20"/>
          <w:szCs w:val="20"/>
        </w:rPr>
        <w:t xml:space="preserve"> Strong Buy + </w:t>
      </w:r>
      <w:r w:rsidRPr="000F3CBF">
        <w:rPr>
          <w:b/>
          <w:sz w:val="20"/>
          <w:szCs w:val="20"/>
        </w:rPr>
        <w:sym w:font="Symbol" w:char="F061"/>
      </w:r>
      <w:r w:rsidRPr="000F3CBF">
        <w:rPr>
          <w:b/>
          <w:sz w:val="20"/>
          <w:szCs w:val="20"/>
          <w:vertAlign w:val="subscript"/>
        </w:rPr>
        <w:t>5</w:t>
      </w:r>
      <w:r w:rsidRPr="000F3CBF">
        <w:rPr>
          <w:b/>
          <w:sz w:val="20"/>
          <w:szCs w:val="20"/>
        </w:rPr>
        <w:t xml:space="preserve"> Buy + </w:t>
      </w:r>
    </w:p>
    <w:p w:rsidR="00B32966" w:rsidRPr="000F3CBF" w:rsidRDefault="00B32966" w:rsidP="0029078E">
      <w:pPr>
        <w:pStyle w:val="BodyTextIndent"/>
        <w:rPr>
          <w:b/>
          <w:sz w:val="20"/>
          <w:szCs w:val="20"/>
        </w:rPr>
      </w:pPr>
      <w:r w:rsidRPr="000F3CBF">
        <w:rPr>
          <w:b/>
          <w:sz w:val="20"/>
          <w:szCs w:val="20"/>
        </w:rPr>
        <w:sym w:font="Symbol" w:char="F061"/>
      </w:r>
      <w:r w:rsidRPr="000F3CBF">
        <w:rPr>
          <w:b/>
          <w:sz w:val="20"/>
          <w:szCs w:val="20"/>
          <w:vertAlign w:val="subscript"/>
        </w:rPr>
        <w:t>6</w:t>
      </w:r>
      <w:r w:rsidRPr="000F3CBF">
        <w:rPr>
          <w:b/>
          <w:sz w:val="20"/>
          <w:szCs w:val="20"/>
        </w:rPr>
        <w:t xml:space="preserve"> Hold + </w:t>
      </w:r>
      <w:r w:rsidRPr="000F3CBF">
        <w:rPr>
          <w:b/>
          <w:sz w:val="20"/>
          <w:szCs w:val="20"/>
        </w:rPr>
        <w:sym w:font="Symbol" w:char="F061"/>
      </w:r>
      <w:r w:rsidRPr="000F3CBF">
        <w:rPr>
          <w:b/>
          <w:sz w:val="20"/>
          <w:szCs w:val="20"/>
          <w:vertAlign w:val="subscript"/>
        </w:rPr>
        <w:t>7</w:t>
      </w:r>
      <w:r w:rsidRPr="000F3CBF">
        <w:rPr>
          <w:b/>
          <w:sz w:val="20"/>
          <w:szCs w:val="20"/>
        </w:rPr>
        <w:t xml:space="preserve"> Sell + </w:t>
      </w:r>
      <w:r w:rsidRPr="000F3CBF">
        <w:rPr>
          <w:b/>
          <w:sz w:val="20"/>
          <w:szCs w:val="20"/>
        </w:rPr>
        <w:sym w:font="Symbol" w:char="F061"/>
      </w:r>
      <w:r w:rsidRPr="000F3CBF">
        <w:rPr>
          <w:b/>
          <w:sz w:val="20"/>
          <w:szCs w:val="20"/>
          <w:vertAlign w:val="subscript"/>
        </w:rPr>
        <w:t>8</w:t>
      </w:r>
      <w:r w:rsidRPr="000F3CBF">
        <w:rPr>
          <w:b/>
          <w:sz w:val="20"/>
          <w:szCs w:val="20"/>
        </w:rPr>
        <w:t xml:space="preserve"> Strong Sell + </w:t>
      </w:r>
      <w:r w:rsidRPr="000F3CBF">
        <w:rPr>
          <w:b/>
          <w:sz w:val="20"/>
          <w:szCs w:val="20"/>
        </w:rPr>
        <w:sym w:font="Symbol" w:char="F061"/>
      </w:r>
      <w:r w:rsidRPr="000F3CBF">
        <w:rPr>
          <w:b/>
          <w:sz w:val="20"/>
          <w:szCs w:val="20"/>
          <w:vertAlign w:val="subscript"/>
        </w:rPr>
        <w:t>9</w:t>
      </w:r>
      <w:r w:rsidRPr="000F3CBF">
        <w:rPr>
          <w:b/>
          <w:sz w:val="20"/>
          <w:szCs w:val="20"/>
        </w:rPr>
        <w:t xml:space="preserve"> UW Strong Buy + </w:t>
      </w:r>
      <w:r w:rsidRPr="000F3CBF">
        <w:rPr>
          <w:b/>
          <w:sz w:val="20"/>
          <w:szCs w:val="20"/>
        </w:rPr>
        <w:sym w:font="Symbol" w:char="F061"/>
      </w:r>
      <w:r w:rsidRPr="000F3CBF">
        <w:rPr>
          <w:b/>
          <w:sz w:val="20"/>
          <w:szCs w:val="20"/>
          <w:vertAlign w:val="subscript"/>
        </w:rPr>
        <w:t>10</w:t>
      </w:r>
      <w:r w:rsidRPr="000F3CBF">
        <w:rPr>
          <w:b/>
          <w:sz w:val="20"/>
          <w:szCs w:val="20"/>
        </w:rPr>
        <w:t xml:space="preserve"> UW Buy + </w:t>
      </w:r>
      <w:r w:rsidRPr="000F3CBF">
        <w:rPr>
          <w:b/>
          <w:sz w:val="20"/>
          <w:szCs w:val="20"/>
        </w:rPr>
        <w:sym w:font="Symbol" w:char="F061"/>
      </w:r>
      <w:r w:rsidRPr="000F3CBF">
        <w:rPr>
          <w:b/>
          <w:sz w:val="20"/>
          <w:szCs w:val="20"/>
          <w:vertAlign w:val="subscript"/>
        </w:rPr>
        <w:t>11</w:t>
      </w:r>
      <w:r w:rsidRPr="000F3CBF">
        <w:rPr>
          <w:b/>
          <w:sz w:val="20"/>
          <w:szCs w:val="20"/>
        </w:rPr>
        <w:t xml:space="preserve"> UW Hold</w:t>
      </w:r>
      <w:r w:rsidR="0029078E">
        <w:rPr>
          <w:b/>
          <w:sz w:val="20"/>
          <w:szCs w:val="20"/>
        </w:rPr>
        <w:tab/>
      </w:r>
      <w:r w:rsidR="0029078E">
        <w:rPr>
          <w:b/>
          <w:sz w:val="20"/>
          <w:szCs w:val="20"/>
        </w:rPr>
        <w:tab/>
      </w:r>
      <w:r w:rsidRPr="000F3CBF">
        <w:rPr>
          <w:b/>
          <w:sz w:val="20"/>
          <w:szCs w:val="20"/>
        </w:rPr>
        <w:t>(1)</w:t>
      </w:r>
    </w:p>
    <w:p w:rsidR="00B32966" w:rsidRPr="000F3CBF" w:rsidRDefault="00B32966" w:rsidP="00B32966">
      <w:pPr>
        <w:pStyle w:val="BodyTextIndent"/>
        <w:rPr>
          <w:sz w:val="20"/>
          <w:szCs w:val="20"/>
        </w:rPr>
      </w:pPr>
      <w:r w:rsidRPr="000F3CBF">
        <w:rPr>
          <w:sz w:val="20"/>
          <w:szCs w:val="20"/>
        </w:rPr>
        <w:t>I use two samples; across analysts (similar to Table 2 without the time restriction) and; within-analyst (using only owning-analyst recommendations, both for stocks they own and those that they do not own).  I control for underwriting incentive effects by including the UW variables.</w:t>
      </w:r>
    </w:p>
    <w:p w:rsidR="00B32966" w:rsidRPr="000F3CBF" w:rsidRDefault="00B32966" w:rsidP="00B32966">
      <w:pPr>
        <w:pStyle w:val="BodyTextIndent"/>
        <w:rPr>
          <w:sz w:val="20"/>
          <w:szCs w:val="20"/>
        </w:rPr>
      </w:pPr>
      <w:r w:rsidRPr="000F3CBF">
        <w:rPr>
          <w:sz w:val="20"/>
          <w:szCs w:val="20"/>
        </w:rPr>
        <w:lastRenderedPageBreak/>
        <w:t xml:space="preserve">The owner and underwriting variables capture the incremental return.  All the owner variables are statistically insignificant except for the owner Hold variable in the within-analyst sample.  In that case, the coefficient on the owner Hold variable is -0.07 and is statistically significant at the five percent level.  This result suggests that, relative to </w:t>
      </w:r>
      <w:r w:rsidR="009C075F">
        <w:rPr>
          <w:sz w:val="20"/>
          <w:szCs w:val="20"/>
        </w:rPr>
        <w:t>hold recommendations on stocks she</w:t>
      </w:r>
      <w:r w:rsidRPr="000F3CBF">
        <w:rPr>
          <w:sz w:val="20"/>
          <w:szCs w:val="20"/>
        </w:rPr>
        <w:t xml:space="preserve"> do</w:t>
      </w:r>
      <w:r w:rsidR="009C075F">
        <w:rPr>
          <w:sz w:val="20"/>
          <w:szCs w:val="20"/>
        </w:rPr>
        <w:t>es</w:t>
      </w:r>
      <w:r w:rsidRPr="000F3CBF">
        <w:rPr>
          <w:sz w:val="20"/>
          <w:szCs w:val="20"/>
        </w:rPr>
        <w:t xml:space="preserve"> not own, the market reacts more negatively when an owner issues a hol</w:t>
      </w:r>
      <w:r w:rsidR="009C075F">
        <w:rPr>
          <w:sz w:val="20"/>
          <w:szCs w:val="20"/>
        </w:rPr>
        <w:t>d recommendation on a stock she</w:t>
      </w:r>
      <w:r w:rsidRPr="000F3CBF">
        <w:rPr>
          <w:sz w:val="20"/>
          <w:szCs w:val="20"/>
        </w:rPr>
        <w:t xml:space="preserve"> do</w:t>
      </w:r>
      <w:r w:rsidR="009C075F">
        <w:rPr>
          <w:sz w:val="20"/>
          <w:szCs w:val="20"/>
        </w:rPr>
        <w:t>es</w:t>
      </w:r>
      <w:r w:rsidRPr="000F3CBF">
        <w:rPr>
          <w:sz w:val="20"/>
          <w:szCs w:val="20"/>
        </w:rPr>
        <w:t xml:space="preserve"> own.  For both samples the Hold coefficient is negative and significant at the one percent level, suggesting that the market interprets a hold recommendation from any analyst as a sell.  </w:t>
      </w:r>
    </w:p>
    <w:p w:rsidR="00B32966" w:rsidRPr="000F3CBF" w:rsidRDefault="00B32966" w:rsidP="005F34D2">
      <w:pPr>
        <w:pStyle w:val="BodyTextIndent"/>
        <w:rPr>
          <w:sz w:val="20"/>
          <w:szCs w:val="20"/>
        </w:rPr>
      </w:pPr>
      <w:r w:rsidRPr="000F3CBF">
        <w:rPr>
          <w:sz w:val="20"/>
          <w:szCs w:val="20"/>
        </w:rPr>
        <w:t>In general, the market results are supportive of the previous results; owning-analyst recommendations are comparable to both other analyst recommendations and the recommendation</w:t>
      </w:r>
      <w:r w:rsidR="009C075F">
        <w:rPr>
          <w:sz w:val="20"/>
          <w:szCs w:val="20"/>
        </w:rPr>
        <w:t>s on stocks for which an owning-</w:t>
      </w:r>
      <w:r w:rsidRPr="000F3CBF">
        <w:rPr>
          <w:sz w:val="20"/>
          <w:szCs w:val="20"/>
        </w:rPr>
        <w:t>analyst is not an owner.</w:t>
      </w:r>
      <w:bookmarkEnd w:id="1"/>
      <w:bookmarkEnd w:id="2"/>
    </w:p>
    <w:p w:rsidR="006C412A" w:rsidRPr="000F3CBF" w:rsidRDefault="00B32966" w:rsidP="00B32966">
      <w:pPr>
        <w:pStyle w:val="BodyTextIndent"/>
        <w:ind w:firstLine="0"/>
        <w:rPr>
          <w:i/>
          <w:sz w:val="20"/>
          <w:szCs w:val="20"/>
        </w:rPr>
      </w:pPr>
      <w:r>
        <w:rPr>
          <w:i/>
          <w:sz w:val="20"/>
          <w:szCs w:val="20"/>
        </w:rPr>
        <w:t>4.3.</w:t>
      </w:r>
      <w:r w:rsidR="00B07B5D" w:rsidRPr="000F3CBF">
        <w:rPr>
          <w:i/>
          <w:sz w:val="20"/>
          <w:szCs w:val="20"/>
        </w:rPr>
        <w:t xml:space="preserve"> </w:t>
      </w:r>
      <w:proofErr w:type="spellStart"/>
      <w:r w:rsidR="006C412A" w:rsidRPr="000F3CBF">
        <w:rPr>
          <w:i/>
          <w:sz w:val="20"/>
          <w:szCs w:val="20"/>
        </w:rPr>
        <w:t>Univariate</w:t>
      </w:r>
      <w:proofErr w:type="spellEnd"/>
      <w:r w:rsidR="006C412A" w:rsidRPr="000F3CBF">
        <w:rPr>
          <w:i/>
          <w:sz w:val="20"/>
          <w:szCs w:val="20"/>
        </w:rPr>
        <w:t xml:space="preserve"> results – forecast errors</w:t>
      </w:r>
    </w:p>
    <w:p w:rsidR="0037667A" w:rsidRPr="000F3CBF" w:rsidRDefault="005F34D2" w:rsidP="00E817C9">
      <w:pPr>
        <w:pStyle w:val="BodyTextIndent"/>
        <w:rPr>
          <w:sz w:val="20"/>
          <w:szCs w:val="20"/>
        </w:rPr>
      </w:pPr>
      <w:r>
        <w:rPr>
          <w:sz w:val="20"/>
          <w:szCs w:val="20"/>
        </w:rPr>
        <w:t xml:space="preserve">Table 3 presents some </w:t>
      </w:r>
      <w:proofErr w:type="spellStart"/>
      <w:r>
        <w:rPr>
          <w:sz w:val="20"/>
          <w:szCs w:val="20"/>
        </w:rPr>
        <w:t>univariate</w:t>
      </w:r>
      <w:proofErr w:type="spellEnd"/>
      <w:r>
        <w:rPr>
          <w:sz w:val="20"/>
          <w:szCs w:val="20"/>
        </w:rPr>
        <w:t xml:space="preserve"> statistics. </w:t>
      </w:r>
      <w:r w:rsidR="00F017B1" w:rsidRPr="000F3CBF">
        <w:rPr>
          <w:sz w:val="20"/>
          <w:szCs w:val="20"/>
        </w:rPr>
        <w:t xml:space="preserve">In both samples, the average forecast error is negative, suggesting </w:t>
      </w:r>
      <w:r w:rsidR="00A9610A" w:rsidRPr="000F3CBF">
        <w:rPr>
          <w:sz w:val="20"/>
          <w:szCs w:val="20"/>
        </w:rPr>
        <w:t xml:space="preserve">overall </w:t>
      </w:r>
      <w:r w:rsidR="00F017B1" w:rsidRPr="000F3CBF">
        <w:rPr>
          <w:sz w:val="20"/>
          <w:szCs w:val="20"/>
        </w:rPr>
        <w:t xml:space="preserve">optimism.  </w:t>
      </w:r>
      <w:r w:rsidR="00A9610A" w:rsidRPr="000F3CBF">
        <w:rPr>
          <w:sz w:val="20"/>
          <w:szCs w:val="20"/>
        </w:rPr>
        <w:t xml:space="preserve">The </w:t>
      </w:r>
      <w:r w:rsidR="006C412A" w:rsidRPr="000F3CBF">
        <w:rPr>
          <w:sz w:val="20"/>
          <w:szCs w:val="20"/>
        </w:rPr>
        <w:t xml:space="preserve">analyses of the two samples’ forecast errors by stock-owning analysts relative to non-stock-owning analysts show statistically significant mean </w:t>
      </w:r>
      <w:r w:rsidR="00411A67" w:rsidRPr="000F3CBF">
        <w:rPr>
          <w:sz w:val="20"/>
          <w:szCs w:val="20"/>
        </w:rPr>
        <w:t>differences</w:t>
      </w:r>
      <w:r w:rsidR="006C412A" w:rsidRPr="000F3CBF">
        <w:rPr>
          <w:sz w:val="20"/>
          <w:szCs w:val="20"/>
        </w:rPr>
        <w:t>.  Stock-owning analysts are more optimistic, with a mean forecast error of -0.003 compared to the control sample mean of -0.001, as shown in both PANEL A and B.</w:t>
      </w:r>
      <w:r w:rsidR="006C412A" w:rsidRPr="000F3CBF">
        <w:rPr>
          <w:rStyle w:val="FootnoteReference"/>
          <w:sz w:val="20"/>
          <w:szCs w:val="20"/>
        </w:rPr>
        <w:footnoteReference w:id="15"/>
      </w:r>
      <w:r w:rsidR="006C412A" w:rsidRPr="000F3CBF">
        <w:rPr>
          <w:sz w:val="20"/>
          <w:szCs w:val="20"/>
        </w:rPr>
        <w:t xml:space="preserve"> </w:t>
      </w:r>
      <w:r w:rsidR="00903D89" w:rsidRPr="000F3CBF">
        <w:rPr>
          <w:sz w:val="20"/>
          <w:szCs w:val="20"/>
        </w:rPr>
        <w:t xml:space="preserve"> </w:t>
      </w:r>
    </w:p>
    <w:p w:rsidR="00903D89" w:rsidRPr="000F3CBF" w:rsidRDefault="00903D89" w:rsidP="009364E2">
      <w:pPr>
        <w:pStyle w:val="BodyTextIndent"/>
        <w:rPr>
          <w:sz w:val="20"/>
          <w:szCs w:val="20"/>
        </w:rPr>
      </w:pPr>
      <w:r w:rsidRPr="000F3CBF">
        <w:rPr>
          <w:sz w:val="20"/>
          <w:szCs w:val="20"/>
        </w:rPr>
        <w:t xml:space="preserve">The average forecast age (all greater than 149 days) for the stock-owning and control groups is relatively high, considering that they represent quarterly forecasts, but the high average occurs because many analysts initially forecast all four quarters at the beginning of the year. </w:t>
      </w:r>
      <w:r w:rsidR="00665DAD" w:rsidRPr="000F3CBF">
        <w:rPr>
          <w:sz w:val="20"/>
          <w:szCs w:val="20"/>
        </w:rPr>
        <w:t xml:space="preserve"> </w:t>
      </w:r>
      <w:r w:rsidRPr="000F3CBF">
        <w:rPr>
          <w:sz w:val="20"/>
          <w:szCs w:val="20"/>
        </w:rPr>
        <w:t xml:space="preserve">On average, stock-owning analysts forecast earlier than do control analysts.  Therefore, forecast age may, in part, </w:t>
      </w:r>
      <w:r w:rsidR="00E65333" w:rsidRPr="000F3CBF">
        <w:rPr>
          <w:sz w:val="20"/>
          <w:szCs w:val="20"/>
        </w:rPr>
        <w:t>explain their excess optimism.</w:t>
      </w:r>
    </w:p>
    <w:p w:rsidR="00B63A34" w:rsidRDefault="00903D89" w:rsidP="00665DAD">
      <w:pPr>
        <w:pStyle w:val="BodyTextIndent"/>
        <w:rPr>
          <w:sz w:val="20"/>
          <w:szCs w:val="20"/>
        </w:rPr>
      </w:pPr>
      <w:r w:rsidRPr="000F3CBF">
        <w:rPr>
          <w:sz w:val="20"/>
          <w:szCs w:val="20"/>
        </w:rPr>
        <w:t xml:space="preserve">It is also more common for a stock-owning analyst to be affiliated with the lead underwriter and/or underwriting co-manager than it is for a </w:t>
      </w:r>
      <w:r w:rsidR="00D83BF0">
        <w:rPr>
          <w:sz w:val="20"/>
          <w:szCs w:val="20"/>
        </w:rPr>
        <w:t xml:space="preserve">control </w:t>
      </w:r>
      <w:r w:rsidR="008911B4" w:rsidRPr="000F3CBF">
        <w:rPr>
          <w:sz w:val="20"/>
          <w:szCs w:val="20"/>
        </w:rPr>
        <w:t>analyst, confirming a</w:t>
      </w:r>
      <w:r w:rsidRPr="000F3CBF">
        <w:rPr>
          <w:sz w:val="20"/>
          <w:szCs w:val="20"/>
        </w:rPr>
        <w:t xml:space="preserve"> relationship between underwriting and analyst stock ownership.  On average, stock-owning analysts are</w:t>
      </w:r>
      <w:r w:rsidR="00F37C15">
        <w:rPr>
          <w:sz w:val="20"/>
          <w:szCs w:val="20"/>
        </w:rPr>
        <w:t xml:space="preserve"> also from slightly larger </w:t>
      </w:r>
      <w:r w:rsidRPr="000F3CBF">
        <w:rPr>
          <w:sz w:val="20"/>
          <w:szCs w:val="20"/>
        </w:rPr>
        <w:t xml:space="preserve">brokerage firms. </w:t>
      </w:r>
      <w:r w:rsidR="00D83BF0">
        <w:rPr>
          <w:sz w:val="20"/>
          <w:szCs w:val="20"/>
        </w:rPr>
        <w:t xml:space="preserve"> In the Form 144 sample, owning-</w:t>
      </w:r>
      <w:r w:rsidRPr="000F3CBF">
        <w:rPr>
          <w:sz w:val="20"/>
          <w:szCs w:val="20"/>
        </w:rPr>
        <w:t xml:space="preserve">analysts have more years of experience as sell-side analysts, but in the </w:t>
      </w:r>
      <w:r w:rsidR="004A5B6D" w:rsidRPr="000F3CBF">
        <w:rPr>
          <w:sz w:val="20"/>
          <w:szCs w:val="20"/>
        </w:rPr>
        <w:t>disclosing</w:t>
      </w:r>
      <w:r w:rsidR="00D871C5" w:rsidRPr="000F3CBF">
        <w:rPr>
          <w:sz w:val="20"/>
          <w:szCs w:val="20"/>
        </w:rPr>
        <w:t xml:space="preserve"> sample</w:t>
      </w:r>
      <w:r w:rsidR="008B179C" w:rsidRPr="000F3CBF">
        <w:rPr>
          <w:sz w:val="20"/>
          <w:szCs w:val="20"/>
        </w:rPr>
        <w:t xml:space="preserve"> the </w:t>
      </w:r>
      <w:r w:rsidR="008B179C" w:rsidRPr="000F3CBF">
        <w:rPr>
          <w:sz w:val="20"/>
          <w:szCs w:val="20"/>
        </w:rPr>
        <w:lastRenderedPageBreak/>
        <w:t>opposite is true</w:t>
      </w:r>
      <w:r w:rsidRPr="000F3CBF">
        <w:rPr>
          <w:sz w:val="20"/>
          <w:szCs w:val="20"/>
        </w:rPr>
        <w:t xml:space="preserve">. </w:t>
      </w:r>
      <w:r w:rsidR="00665DAD" w:rsidRPr="000F3CBF">
        <w:rPr>
          <w:sz w:val="20"/>
          <w:szCs w:val="20"/>
        </w:rPr>
        <w:t xml:space="preserve"> </w:t>
      </w:r>
      <w:r w:rsidRPr="000F3CBF">
        <w:rPr>
          <w:sz w:val="20"/>
          <w:szCs w:val="20"/>
        </w:rPr>
        <w:t>In both samples, the number of companies for which a</w:t>
      </w:r>
      <w:r w:rsidR="001057F5" w:rsidRPr="000F3CBF">
        <w:rPr>
          <w:sz w:val="20"/>
          <w:szCs w:val="20"/>
        </w:rPr>
        <w:t xml:space="preserve"> </w:t>
      </w:r>
      <w:r w:rsidRPr="000F3CBF">
        <w:rPr>
          <w:sz w:val="20"/>
          <w:szCs w:val="20"/>
        </w:rPr>
        <w:t xml:space="preserve">stock-owning analyst provides research coverage is greater than the control analyst group, on average.  Ownership is disclosed </w:t>
      </w:r>
      <w:r w:rsidR="00D871C5" w:rsidRPr="000F3CBF">
        <w:rPr>
          <w:sz w:val="20"/>
          <w:szCs w:val="20"/>
        </w:rPr>
        <w:t>for approximately 20% of owning-</w:t>
      </w:r>
      <w:r w:rsidRPr="000F3CBF">
        <w:rPr>
          <w:sz w:val="20"/>
          <w:szCs w:val="20"/>
        </w:rPr>
        <w:t>analyst observations in the Form 144 sample.</w:t>
      </w:r>
    </w:p>
    <w:p w:rsidR="00E177E3" w:rsidRPr="000F3CBF" w:rsidRDefault="00E177E3" w:rsidP="00E177E3">
      <w:pPr>
        <w:pStyle w:val="BodyTextIndent"/>
        <w:rPr>
          <w:sz w:val="20"/>
          <w:szCs w:val="20"/>
        </w:rPr>
      </w:pPr>
      <w:r w:rsidRPr="000F3CBF">
        <w:rPr>
          <w:sz w:val="20"/>
          <w:szCs w:val="20"/>
        </w:rPr>
        <w:t>I measure the loss, following, and volatility variables at the company level and therefore do not include them in either panel of Table 3</w:t>
      </w:r>
      <w:r w:rsidRPr="000F3CBF">
        <w:rPr>
          <w:i/>
          <w:sz w:val="20"/>
          <w:szCs w:val="20"/>
        </w:rPr>
        <w:t>.</w:t>
      </w:r>
      <w:r w:rsidRPr="000F3CBF">
        <w:rPr>
          <w:sz w:val="20"/>
          <w:szCs w:val="20"/>
        </w:rPr>
        <w:t xml:space="preserve">  In the Form 144 sample, a loss occurs in approximately 71% of the quarterly observations.  For the disclosing sample, a loss occurs in approximately 35% of the quarterly observations.  The difference in loss frequency between the two samples is likely a function of the non-IPO companies in the disclosing sample.  The mean (median) analyst following is 14.2 (11) and 13.3 (9) for the Form 144 sample and the disclosing sample, respectively.  The mean and median volatility in the disclosing sample is 0.04.</w:t>
      </w:r>
    </w:p>
    <w:p w:rsidR="00DF30BC" w:rsidRPr="000F3CBF" w:rsidRDefault="00B07B5D" w:rsidP="00B32966">
      <w:pPr>
        <w:pStyle w:val="BodyTextIndent"/>
        <w:numPr>
          <w:ilvl w:val="1"/>
          <w:numId w:val="22"/>
        </w:numPr>
        <w:rPr>
          <w:i/>
          <w:sz w:val="20"/>
          <w:szCs w:val="20"/>
        </w:rPr>
      </w:pPr>
      <w:r w:rsidRPr="000F3CBF">
        <w:rPr>
          <w:i/>
          <w:sz w:val="20"/>
          <w:szCs w:val="20"/>
        </w:rPr>
        <w:t xml:space="preserve"> </w:t>
      </w:r>
      <w:r w:rsidR="00903D89" w:rsidRPr="000F3CBF">
        <w:rPr>
          <w:i/>
          <w:sz w:val="20"/>
          <w:szCs w:val="20"/>
        </w:rPr>
        <w:t>Cross-sectional forecast error regression</w:t>
      </w:r>
    </w:p>
    <w:p w:rsidR="00903D89" w:rsidRPr="000F3CBF" w:rsidRDefault="00E817C9" w:rsidP="00F017B1">
      <w:pPr>
        <w:pStyle w:val="BodyTextIndent"/>
        <w:rPr>
          <w:sz w:val="20"/>
          <w:szCs w:val="20"/>
        </w:rPr>
      </w:pPr>
      <w:r w:rsidRPr="000F3CBF">
        <w:rPr>
          <w:sz w:val="20"/>
          <w:szCs w:val="20"/>
        </w:rPr>
        <w:t>Table 4</w:t>
      </w:r>
      <w:r w:rsidR="0017727A" w:rsidRPr="000F3CBF">
        <w:rPr>
          <w:sz w:val="20"/>
          <w:szCs w:val="20"/>
        </w:rPr>
        <w:t xml:space="preserve"> </w:t>
      </w:r>
      <w:r w:rsidR="00903D89" w:rsidRPr="000F3CBF">
        <w:rPr>
          <w:sz w:val="20"/>
          <w:szCs w:val="20"/>
        </w:rPr>
        <w:t xml:space="preserve">presents the results of the cross-sectional forecast error regressions, before incorporating a selection model. </w:t>
      </w:r>
      <w:r w:rsidR="00665DAD" w:rsidRPr="000F3CBF">
        <w:rPr>
          <w:sz w:val="20"/>
          <w:szCs w:val="20"/>
        </w:rPr>
        <w:t xml:space="preserve"> </w:t>
      </w:r>
      <w:r w:rsidR="00903D89" w:rsidRPr="000F3CBF">
        <w:rPr>
          <w:sz w:val="20"/>
          <w:szCs w:val="20"/>
        </w:rPr>
        <w:t xml:space="preserve">The </w:t>
      </w:r>
      <w:r w:rsidR="00F017B1" w:rsidRPr="000F3CBF">
        <w:rPr>
          <w:sz w:val="20"/>
          <w:szCs w:val="20"/>
        </w:rPr>
        <w:t xml:space="preserve">pooled OLS </w:t>
      </w:r>
      <w:r w:rsidR="00903D89" w:rsidRPr="000F3CBF">
        <w:rPr>
          <w:sz w:val="20"/>
          <w:szCs w:val="20"/>
        </w:rPr>
        <w:t>results of the Form 144 sample show no evidence of analyst optimism attr</w:t>
      </w:r>
      <w:r w:rsidR="00055B24" w:rsidRPr="000F3CBF">
        <w:rPr>
          <w:sz w:val="20"/>
          <w:szCs w:val="20"/>
        </w:rPr>
        <w:t>ibutable to stock ownership,</w:t>
      </w:r>
      <w:r w:rsidR="00F017B1" w:rsidRPr="000F3CBF">
        <w:rPr>
          <w:sz w:val="20"/>
          <w:szCs w:val="20"/>
        </w:rPr>
        <w:t xml:space="preserve"> as </w:t>
      </w:r>
      <w:r w:rsidR="00014F59" w:rsidRPr="000F3CBF">
        <w:rPr>
          <w:sz w:val="20"/>
          <w:szCs w:val="20"/>
        </w:rPr>
        <w:t>a</w:t>
      </w:r>
      <w:r w:rsidR="00F017B1" w:rsidRPr="000F3CBF">
        <w:rPr>
          <w:sz w:val="20"/>
          <w:szCs w:val="20"/>
        </w:rPr>
        <w:t>nalyst ownership</w:t>
      </w:r>
      <w:r w:rsidR="00014F59" w:rsidRPr="000F3CBF">
        <w:rPr>
          <w:sz w:val="20"/>
          <w:szCs w:val="20"/>
        </w:rPr>
        <w:t xml:space="preserve"> (OWN)</w:t>
      </w:r>
      <w:r w:rsidR="00F017B1" w:rsidRPr="000F3CBF">
        <w:rPr>
          <w:sz w:val="20"/>
          <w:szCs w:val="20"/>
        </w:rPr>
        <w:t xml:space="preserve">, the primary variable of interest, is positive but not significant. </w:t>
      </w:r>
      <w:r w:rsidR="00055B24" w:rsidRPr="000F3CBF">
        <w:rPr>
          <w:sz w:val="20"/>
          <w:szCs w:val="20"/>
        </w:rPr>
        <w:t xml:space="preserve"> </w:t>
      </w:r>
      <w:r w:rsidR="00F017B1" w:rsidRPr="000F3CBF">
        <w:rPr>
          <w:sz w:val="20"/>
          <w:szCs w:val="20"/>
        </w:rPr>
        <w:t>In the disclosing</w:t>
      </w:r>
      <w:r w:rsidR="00014F59" w:rsidRPr="000F3CBF">
        <w:rPr>
          <w:sz w:val="20"/>
          <w:szCs w:val="20"/>
        </w:rPr>
        <w:t xml:space="preserve"> sample, OWN</w:t>
      </w:r>
      <w:r w:rsidR="00F017B1" w:rsidRPr="000F3CBF">
        <w:rPr>
          <w:sz w:val="20"/>
          <w:szCs w:val="20"/>
        </w:rPr>
        <w:t xml:space="preserve"> is negative and significant, but</w:t>
      </w:r>
      <w:r w:rsidR="00055B24" w:rsidRPr="000F3CBF">
        <w:rPr>
          <w:sz w:val="20"/>
          <w:szCs w:val="20"/>
        </w:rPr>
        <w:t xml:space="preserve"> </w:t>
      </w:r>
      <w:r w:rsidR="00903D89" w:rsidRPr="000F3CBF">
        <w:rPr>
          <w:sz w:val="20"/>
          <w:szCs w:val="20"/>
        </w:rPr>
        <w:t>require</w:t>
      </w:r>
      <w:r w:rsidR="00055B24" w:rsidRPr="000F3CBF">
        <w:rPr>
          <w:sz w:val="20"/>
          <w:szCs w:val="20"/>
        </w:rPr>
        <w:t>s</w:t>
      </w:r>
      <w:r w:rsidR="00903D89" w:rsidRPr="000F3CBF">
        <w:rPr>
          <w:sz w:val="20"/>
          <w:szCs w:val="20"/>
        </w:rPr>
        <w:t xml:space="preserve"> ad</w:t>
      </w:r>
      <w:r w:rsidR="00534F4B" w:rsidRPr="000F3CBF">
        <w:rPr>
          <w:sz w:val="20"/>
          <w:szCs w:val="20"/>
        </w:rPr>
        <w:t>ditional tests to be conclusive;</w:t>
      </w:r>
      <w:r w:rsidR="00903D89" w:rsidRPr="000F3CBF">
        <w:rPr>
          <w:sz w:val="20"/>
          <w:szCs w:val="20"/>
        </w:rPr>
        <w:t xml:space="preserve"> for example, to address</w:t>
      </w:r>
      <w:r w:rsidR="00055B24" w:rsidRPr="000F3CBF">
        <w:rPr>
          <w:sz w:val="20"/>
          <w:szCs w:val="20"/>
        </w:rPr>
        <w:t xml:space="preserve"> the</w:t>
      </w:r>
      <w:r w:rsidR="00903D89" w:rsidRPr="000F3CBF">
        <w:rPr>
          <w:sz w:val="20"/>
          <w:szCs w:val="20"/>
        </w:rPr>
        <w:t xml:space="preserve"> ownership choic</w:t>
      </w:r>
      <w:r w:rsidR="00E65333" w:rsidRPr="000F3CBF">
        <w:rPr>
          <w:sz w:val="20"/>
          <w:szCs w:val="20"/>
        </w:rPr>
        <w:t>e</w:t>
      </w:r>
      <w:r w:rsidR="005F34D2">
        <w:rPr>
          <w:sz w:val="20"/>
          <w:szCs w:val="20"/>
        </w:rPr>
        <w:t xml:space="preserve"> (See Sections 4.7 and 4.8</w:t>
      </w:r>
      <w:r w:rsidR="00B50318" w:rsidRPr="000F3CBF">
        <w:rPr>
          <w:sz w:val="20"/>
          <w:szCs w:val="20"/>
        </w:rPr>
        <w:t>)</w:t>
      </w:r>
      <w:r w:rsidR="00E65333" w:rsidRPr="000F3CBF">
        <w:rPr>
          <w:sz w:val="20"/>
          <w:szCs w:val="20"/>
        </w:rPr>
        <w:t>.</w:t>
      </w:r>
    </w:p>
    <w:p w:rsidR="00055B24" w:rsidRPr="000F3CBF" w:rsidRDefault="00F0288F" w:rsidP="00055B24">
      <w:pPr>
        <w:pStyle w:val="BodyTextIndent"/>
        <w:rPr>
          <w:sz w:val="20"/>
          <w:szCs w:val="20"/>
        </w:rPr>
      </w:pPr>
      <w:r>
        <w:rPr>
          <w:sz w:val="20"/>
          <w:szCs w:val="20"/>
        </w:rPr>
        <w:t>In the larger disclosing sample, t</w:t>
      </w:r>
      <w:r w:rsidR="00055B24" w:rsidRPr="000F3CBF">
        <w:rPr>
          <w:sz w:val="20"/>
          <w:szCs w:val="20"/>
        </w:rPr>
        <w:t xml:space="preserve">o address problems arising from cross-sectional dependence in a pooled regression, I run separate quarterly regressions using ordinary least squares for the entire sample period and present the mean of those quarterly regression coefficients. </w:t>
      </w:r>
      <w:r w:rsidR="00665DAD" w:rsidRPr="000F3CBF">
        <w:rPr>
          <w:sz w:val="20"/>
          <w:szCs w:val="20"/>
        </w:rPr>
        <w:t xml:space="preserve"> </w:t>
      </w:r>
      <w:r w:rsidR="00055B24" w:rsidRPr="000F3CBF">
        <w:rPr>
          <w:sz w:val="20"/>
          <w:szCs w:val="20"/>
        </w:rPr>
        <w:t xml:space="preserve">To test the hypothesis that the mean coefficients are statistically different from zero, I calculate adjusted t-statistics following the </w:t>
      </w:r>
      <w:proofErr w:type="spellStart"/>
      <w:r w:rsidR="00055B24" w:rsidRPr="000F3CBF">
        <w:rPr>
          <w:sz w:val="20"/>
          <w:szCs w:val="20"/>
        </w:rPr>
        <w:t>Fama</w:t>
      </w:r>
      <w:proofErr w:type="spellEnd"/>
      <w:r w:rsidR="00055B24" w:rsidRPr="000F3CBF">
        <w:rPr>
          <w:sz w:val="20"/>
          <w:szCs w:val="20"/>
        </w:rPr>
        <w:t xml:space="preserve"> and Macbeth (1973) procedure.  Although not tabulated, the </w:t>
      </w:r>
      <w:proofErr w:type="spellStart"/>
      <w:r w:rsidR="00055B24" w:rsidRPr="000F3CBF">
        <w:rPr>
          <w:sz w:val="20"/>
          <w:szCs w:val="20"/>
        </w:rPr>
        <w:t>Fama</w:t>
      </w:r>
      <w:proofErr w:type="spellEnd"/>
      <w:r w:rsidR="00055B24" w:rsidRPr="000F3CBF">
        <w:rPr>
          <w:sz w:val="20"/>
          <w:szCs w:val="20"/>
        </w:rPr>
        <w:t xml:space="preserve">-Macbeth results for the Form 144 sample are qualitatively similar to the pooled OLS results of </w:t>
      </w:r>
      <w:r w:rsidR="00E817C9" w:rsidRPr="000F3CBF">
        <w:rPr>
          <w:sz w:val="20"/>
          <w:szCs w:val="20"/>
        </w:rPr>
        <w:t>Table 4</w:t>
      </w:r>
      <w:r w:rsidR="00055B24" w:rsidRPr="000F3CBF">
        <w:rPr>
          <w:sz w:val="20"/>
          <w:szCs w:val="20"/>
        </w:rPr>
        <w:t>.</w:t>
      </w:r>
    </w:p>
    <w:p w:rsidR="00903D89" w:rsidRPr="000F3CBF" w:rsidRDefault="00903D89" w:rsidP="009364E2">
      <w:pPr>
        <w:pStyle w:val="BodyTextIndent"/>
        <w:rPr>
          <w:sz w:val="20"/>
          <w:szCs w:val="20"/>
        </w:rPr>
      </w:pPr>
      <w:r w:rsidRPr="000F3CBF">
        <w:rPr>
          <w:sz w:val="20"/>
          <w:szCs w:val="20"/>
        </w:rPr>
        <w:t xml:space="preserve">The regression results for many of the control variables are consistent across the two samples.  The underwriter variables are not statistically significant in the Form 144 sample.  In the </w:t>
      </w:r>
      <w:r w:rsidR="004A5B6D" w:rsidRPr="000F3CBF">
        <w:rPr>
          <w:sz w:val="20"/>
          <w:szCs w:val="20"/>
        </w:rPr>
        <w:t>disclosing</w:t>
      </w:r>
      <w:r w:rsidRPr="000F3CBF">
        <w:rPr>
          <w:sz w:val="20"/>
          <w:szCs w:val="20"/>
        </w:rPr>
        <w:t xml:space="preserve"> sample, the IPO co-manager variable is not statistically significant, but the three other underwriter variables are all positive and statistically significant.  These findings suggest that</w:t>
      </w:r>
      <w:r w:rsidR="00D871C5" w:rsidRPr="000F3CBF">
        <w:rPr>
          <w:sz w:val="20"/>
          <w:szCs w:val="20"/>
        </w:rPr>
        <w:t>,</w:t>
      </w:r>
      <w:r w:rsidRPr="000F3CBF">
        <w:rPr>
          <w:sz w:val="20"/>
          <w:szCs w:val="20"/>
        </w:rPr>
        <w:t xml:space="preserve"> with the exception of the IPO co-manager, underwriter forecasts are less </w:t>
      </w:r>
      <w:r w:rsidRPr="000F3CBF">
        <w:rPr>
          <w:sz w:val="20"/>
          <w:szCs w:val="20"/>
        </w:rPr>
        <w:lastRenderedPageBreak/>
        <w:t xml:space="preserve">optimistic, on average.  The IPO co-manager recommendation optimism in </w:t>
      </w:r>
      <w:r w:rsidR="00E817C9" w:rsidRPr="000F3CBF">
        <w:rPr>
          <w:sz w:val="20"/>
          <w:szCs w:val="20"/>
        </w:rPr>
        <w:t>Table 2</w:t>
      </w:r>
      <w:r w:rsidR="00534F4B" w:rsidRPr="000F3CBF">
        <w:rPr>
          <w:sz w:val="20"/>
          <w:szCs w:val="20"/>
        </w:rPr>
        <w:t>,</w:t>
      </w:r>
      <w:r w:rsidRPr="000F3CBF">
        <w:rPr>
          <w:sz w:val="20"/>
          <w:szCs w:val="20"/>
        </w:rPr>
        <w:t xml:space="preserve"> and the forecast findings above</w:t>
      </w:r>
      <w:r w:rsidR="00534F4B" w:rsidRPr="000F3CBF">
        <w:rPr>
          <w:sz w:val="20"/>
          <w:szCs w:val="20"/>
        </w:rPr>
        <w:t>,</w:t>
      </w:r>
      <w:r w:rsidRPr="000F3CBF">
        <w:rPr>
          <w:sz w:val="20"/>
          <w:szCs w:val="20"/>
        </w:rPr>
        <w:t xml:space="preserve"> show that IPO co-managers are optimistic, and more so than other underwriting participants.</w:t>
      </w:r>
    </w:p>
    <w:p w:rsidR="0010722E" w:rsidRPr="000F3CBF" w:rsidRDefault="00903D89" w:rsidP="009364E2">
      <w:pPr>
        <w:pStyle w:val="BodyTextIndent"/>
        <w:rPr>
          <w:sz w:val="20"/>
          <w:szCs w:val="20"/>
        </w:rPr>
      </w:pPr>
      <w:r w:rsidRPr="000F3CBF">
        <w:rPr>
          <w:sz w:val="20"/>
          <w:szCs w:val="20"/>
        </w:rPr>
        <w:t>In both samples the negative and significant coefficient on the forecast age variable supports greater optimism in early forecasts.  Similarly, the negative coefficient on the loss variable suggests that analysts are poor at predicting losses and, in particular, that they are overly optimisti</w:t>
      </w:r>
      <w:r w:rsidR="00E65333" w:rsidRPr="000F3CBF">
        <w:rPr>
          <w:sz w:val="20"/>
          <w:szCs w:val="20"/>
        </w:rPr>
        <w:t>c.</w:t>
      </w:r>
    </w:p>
    <w:p w:rsidR="00903D89" w:rsidRPr="000F3CBF" w:rsidRDefault="00903D89" w:rsidP="0010722E">
      <w:pPr>
        <w:pStyle w:val="BodyTextIndent"/>
        <w:rPr>
          <w:sz w:val="20"/>
          <w:szCs w:val="20"/>
        </w:rPr>
      </w:pPr>
      <w:r w:rsidRPr="000F3CBF">
        <w:rPr>
          <w:sz w:val="20"/>
          <w:szCs w:val="20"/>
        </w:rPr>
        <w:t>The coefficients for analyst following are positive and statistically sig</w:t>
      </w:r>
      <w:r w:rsidR="0010722E" w:rsidRPr="000F3CBF">
        <w:rPr>
          <w:sz w:val="20"/>
          <w:szCs w:val="20"/>
        </w:rPr>
        <w:t xml:space="preserve">nificant, which suggests that </w:t>
      </w:r>
      <w:r w:rsidRPr="000F3CBF">
        <w:rPr>
          <w:sz w:val="20"/>
          <w:szCs w:val="20"/>
        </w:rPr>
        <w:t>great</w:t>
      </w:r>
      <w:r w:rsidR="0010722E" w:rsidRPr="000F3CBF">
        <w:rPr>
          <w:sz w:val="20"/>
          <w:szCs w:val="20"/>
        </w:rPr>
        <w:t>er analyst following reduces</w:t>
      </w:r>
      <w:r w:rsidR="00F37C15">
        <w:rPr>
          <w:sz w:val="20"/>
          <w:szCs w:val="20"/>
        </w:rPr>
        <w:t xml:space="preserve"> </w:t>
      </w:r>
      <w:r w:rsidRPr="000F3CBF">
        <w:rPr>
          <w:sz w:val="20"/>
          <w:szCs w:val="20"/>
        </w:rPr>
        <w:t xml:space="preserve">analyst optimistic bias.  In addition, in the larger </w:t>
      </w:r>
      <w:r w:rsidR="004A5B6D" w:rsidRPr="000F3CBF">
        <w:rPr>
          <w:sz w:val="20"/>
          <w:szCs w:val="20"/>
        </w:rPr>
        <w:t>disclosing</w:t>
      </w:r>
      <w:r w:rsidRPr="000F3CBF">
        <w:rPr>
          <w:sz w:val="20"/>
          <w:szCs w:val="20"/>
        </w:rPr>
        <w:t xml:space="preserve"> sample, I </w:t>
      </w:r>
      <w:proofErr w:type="gramStart"/>
      <w:r w:rsidRPr="000F3CBF">
        <w:rPr>
          <w:sz w:val="20"/>
          <w:szCs w:val="20"/>
        </w:rPr>
        <w:t>interact</w:t>
      </w:r>
      <w:proofErr w:type="gramEnd"/>
      <w:r w:rsidRPr="000F3CBF">
        <w:rPr>
          <w:sz w:val="20"/>
          <w:szCs w:val="20"/>
        </w:rPr>
        <w:t xml:space="preserve"> the owner and the follow variable to determine if owner optimism is incrementally affected by the level of analyst following.  The coefficient on the interaction term is positive and statistically significant, which indicates that analyst following not only has a general effect on optimism, but also results in an increment</w:t>
      </w:r>
      <w:r w:rsidR="00E65333" w:rsidRPr="000F3CBF">
        <w:rPr>
          <w:sz w:val="20"/>
          <w:szCs w:val="20"/>
        </w:rPr>
        <w:t>al reduction in owner optimism.</w:t>
      </w:r>
    </w:p>
    <w:p w:rsidR="00DF30BC" w:rsidRPr="000F3CBF" w:rsidRDefault="00903D89" w:rsidP="00864F70">
      <w:pPr>
        <w:pStyle w:val="BodyTextIndent"/>
        <w:rPr>
          <w:sz w:val="20"/>
          <w:szCs w:val="20"/>
        </w:rPr>
      </w:pPr>
      <w:r w:rsidRPr="000F3CBF">
        <w:rPr>
          <w:sz w:val="20"/>
          <w:szCs w:val="20"/>
        </w:rPr>
        <w:t xml:space="preserve">The Internet industry dummy is positive and significant in the Form 144 sample.  The remaining control variables are only significant in the </w:t>
      </w:r>
      <w:r w:rsidR="004A5B6D" w:rsidRPr="000F3CBF">
        <w:rPr>
          <w:sz w:val="20"/>
          <w:szCs w:val="20"/>
        </w:rPr>
        <w:t>disclosing</w:t>
      </w:r>
      <w:r w:rsidRPr="000F3CBF">
        <w:rPr>
          <w:sz w:val="20"/>
          <w:szCs w:val="20"/>
        </w:rPr>
        <w:t xml:space="preserve"> sample.  The experience variable is negative and significant, which suggests that</w:t>
      </w:r>
      <w:r w:rsidR="00534F4B" w:rsidRPr="000F3CBF">
        <w:rPr>
          <w:sz w:val="20"/>
          <w:szCs w:val="20"/>
        </w:rPr>
        <w:t>,</w:t>
      </w:r>
      <w:r w:rsidRPr="000F3CBF">
        <w:rPr>
          <w:sz w:val="20"/>
          <w:szCs w:val="20"/>
        </w:rPr>
        <w:t xml:space="preserve"> on average, analysts with more experience</w:t>
      </w:r>
      <w:r w:rsidR="00E65333" w:rsidRPr="000F3CBF">
        <w:rPr>
          <w:sz w:val="20"/>
          <w:szCs w:val="20"/>
        </w:rPr>
        <w:t xml:space="preserve"> have higher forecast optimism.</w:t>
      </w:r>
      <w:r w:rsidR="00864F70" w:rsidRPr="000F3CBF">
        <w:rPr>
          <w:sz w:val="20"/>
          <w:szCs w:val="20"/>
        </w:rPr>
        <w:t xml:space="preserve">  V</w:t>
      </w:r>
      <w:r w:rsidRPr="000F3CBF">
        <w:rPr>
          <w:sz w:val="20"/>
          <w:szCs w:val="20"/>
        </w:rPr>
        <w:t>olatility is positive and significan</w:t>
      </w:r>
      <w:r w:rsidR="001447C9" w:rsidRPr="000F3CBF">
        <w:rPr>
          <w:sz w:val="20"/>
          <w:szCs w:val="20"/>
        </w:rPr>
        <w:t>t, which is surprising</w:t>
      </w:r>
      <w:r w:rsidRPr="000F3CBF">
        <w:rPr>
          <w:sz w:val="20"/>
          <w:szCs w:val="20"/>
        </w:rPr>
        <w:t>.  Perhaps lagged volatility is a poor proxy for predictability, or perhaps companies with volatile returns in the previous year provide analysts with greater forecast guidance.</w:t>
      </w:r>
    </w:p>
    <w:p w:rsidR="00231790" w:rsidRPr="000F3CBF" w:rsidRDefault="00C659E1" w:rsidP="009364E2">
      <w:pPr>
        <w:pStyle w:val="BodyTextIndent"/>
        <w:rPr>
          <w:sz w:val="20"/>
          <w:szCs w:val="20"/>
        </w:rPr>
      </w:pPr>
      <w:r>
        <w:rPr>
          <w:sz w:val="20"/>
          <w:szCs w:val="20"/>
        </w:rPr>
        <w:t xml:space="preserve">Optimism in quarterly forecasts by analysts who disclose their ownership seems odd since one might expect that users would discount subsequent forecasts potentially reducing any personal economic benefit to the analyst.  </w:t>
      </w:r>
      <w:r w:rsidR="00F37C15">
        <w:rPr>
          <w:sz w:val="20"/>
          <w:szCs w:val="20"/>
        </w:rPr>
        <w:t>Moreover</w:t>
      </w:r>
      <w:r>
        <w:rPr>
          <w:sz w:val="20"/>
          <w:szCs w:val="20"/>
        </w:rPr>
        <w:t>, g</w:t>
      </w:r>
      <w:r w:rsidR="00B667AD" w:rsidRPr="000F3CBF">
        <w:rPr>
          <w:sz w:val="20"/>
          <w:szCs w:val="20"/>
        </w:rPr>
        <w:t xml:space="preserve">iven the preliminary but conflicting multivariate earnings forecast results, the </w:t>
      </w:r>
      <w:r w:rsidR="00106B23" w:rsidRPr="000F3CBF">
        <w:rPr>
          <w:sz w:val="20"/>
          <w:szCs w:val="20"/>
        </w:rPr>
        <w:t>next four</w:t>
      </w:r>
      <w:r w:rsidR="00231790" w:rsidRPr="000F3CBF">
        <w:rPr>
          <w:sz w:val="20"/>
          <w:szCs w:val="20"/>
        </w:rPr>
        <w:t xml:space="preserve"> section</w:t>
      </w:r>
      <w:r w:rsidR="00B667AD" w:rsidRPr="000F3CBF">
        <w:rPr>
          <w:sz w:val="20"/>
          <w:szCs w:val="20"/>
        </w:rPr>
        <w:t>s explore</w:t>
      </w:r>
      <w:r w:rsidR="00231790" w:rsidRPr="000F3CBF">
        <w:rPr>
          <w:sz w:val="20"/>
          <w:szCs w:val="20"/>
        </w:rPr>
        <w:t xml:space="preserve"> alternative research designs and tests to address the </w:t>
      </w:r>
      <w:r w:rsidR="00AE2A4E" w:rsidRPr="000F3CBF">
        <w:rPr>
          <w:sz w:val="20"/>
          <w:szCs w:val="20"/>
        </w:rPr>
        <w:t>self-selection</w:t>
      </w:r>
      <w:r w:rsidR="00231790" w:rsidRPr="000F3CBF">
        <w:rPr>
          <w:sz w:val="20"/>
          <w:szCs w:val="20"/>
        </w:rPr>
        <w:t xml:space="preserve"> issue.</w:t>
      </w:r>
    </w:p>
    <w:p w:rsidR="00903D89" w:rsidRPr="000F3CBF" w:rsidRDefault="00903D89" w:rsidP="00B32966">
      <w:pPr>
        <w:pStyle w:val="BodyTextIndent"/>
        <w:numPr>
          <w:ilvl w:val="1"/>
          <w:numId w:val="22"/>
        </w:numPr>
        <w:rPr>
          <w:i/>
          <w:sz w:val="20"/>
          <w:szCs w:val="20"/>
        </w:rPr>
      </w:pPr>
      <w:r w:rsidRPr="000F3CBF">
        <w:rPr>
          <w:i/>
          <w:sz w:val="20"/>
          <w:szCs w:val="20"/>
        </w:rPr>
        <w:t xml:space="preserve">Selling period incentive – Form 144 sample </w:t>
      </w:r>
    </w:p>
    <w:p w:rsidR="00370DD9" w:rsidRPr="000F3CBF" w:rsidRDefault="00AE2A4E" w:rsidP="009364E2">
      <w:pPr>
        <w:pStyle w:val="BodyTextIndent"/>
        <w:rPr>
          <w:sz w:val="20"/>
          <w:szCs w:val="20"/>
        </w:rPr>
      </w:pPr>
      <w:r w:rsidRPr="000F3CBF">
        <w:rPr>
          <w:sz w:val="20"/>
          <w:szCs w:val="20"/>
        </w:rPr>
        <w:t>As outlined in S</w:t>
      </w:r>
      <w:r w:rsidR="00231790" w:rsidRPr="000F3CBF">
        <w:rPr>
          <w:sz w:val="20"/>
          <w:szCs w:val="20"/>
        </w:rPr>
        <w:t>ection 3.3.2, t</w:t>
      </w:r>
      <w:r w:rsidR="00903D89" w:rsidRPr="000F3CBF">
        <w:rPr>
          <w:sz w:val="20"/>
          <w:szCs w:val="20"/>
        </w:rPr>
        <w:t>o compa</w:t>
      </w:r>
      <w:r w:rsidR="00A13735" w:rsidRPr="000F3CBF">
        <w:rPr>
          <w:sz w:val="20"/>
          <w:szCs w:val="20"/>
        </w:rPr>
        <w:t>re the change in reporting behavior between the required</w:t>
      </w:r>
      <w:r w:rsidR="00903D89" w:rsidRPr="000F3CBF">
        <w:rPr>
          <w:sz w:val="20"/>
          <w:szCs w:val="20"/>
        </w:rPr>
        <w:t xml:space="preserve"> </w:t>
      </w:r>
      <w:r w:rsidR="00A13735" w:rsidRPr="000F3CBF">
        <w:rPr>
          <w:sz w:val="20"/>
          <w:szCs w:val="20"/>
        </w:rPr>
        <w:t>holding period and the eligible sale period</w:t>
      </w:r>
      <w:r w:rsidR="00903D89" w:rsidRPr="000F3CBF">
        <w:rPr>
          <w:sz w:val="20"/>
          <w:szCs w:val="20"/>
        </w:rPr>
        <w:t xml:space="preserve">, I obtain a subsample of all stock-owning analysts who provide </w:t>
      </w:r>
      <w:r w:rsidR="001447C9" w:rsidRPr="000F3CBF">
        <w:rPr>
          <w:sz w:val="20"/>
          <w:szCs w:val="20"/>
        </w:rPr>
        <w:t>earning</w:t>
      </w:r>
      <w:r w:rsidR="00A13735" w:rsidRPr="000F3CBF">
        <w:rPr>
          <w:sz w:val="20"/>
          <w:szCs w:val="20"/>
        </w:rPr>
        <w:t>s</w:t>
      </w:r>
      <w:r w:rsidR="001447C9" w:rsidRPr="000F3CBF">
        <w:rPr>
          <w:sz w:val="20"/>
          <w:szCs w:val="20"/>
        </w:rPr>
        <w:t xml:space="preserve"> forecasts</w:t>
      </w:r>
      <w:r w:rsidR="00A13735" w:rsidRPr="000F3CBF">
        <w:rPr>
          <w:sz w:val="20"/>
          <w:szCs w:val="20"/>
        </w:rPr>
        <w:t xml:space="preserve"> in both periods, as well as</w:t>
      </w:r>
      <w:r w:rsidR="00903D89" w:rsidRPr="000F3CBF">
        <w:rPr>
          <w:sz w:val="20"/>
          <w:szCs w:val="20"/>
        </w:rPr>
        <w:t xml:space="preserve"> the corr</w:t>
      </w:r>
      <w:r w:rsidR="001447C9" w:rsidRPr="000F3CBF">
        <w:rPr>
          <w:sz w:val="20"/>
          <w:szCs w:val="20"/>
        </w:rPr>
        <w:t>esponding control analyst forecast</w:t>
      </w:r>
      <w:r w:rsidR="00903D89" w:rsidRPr="000F3CBF">
        <w:rPr>
          <w:sz w:val="20"/>
          <w:szCs w:val="20"/>
        </w:rPr>
        <w:t>s from the cross-sectional testing in Section</w:t>
      </w:r>
      <w:r w:rsidR="00D67D60">
        <w:rPr>
          <w:sz w:val="20"/>
          <w:szCs w:val="20"/>
        </w:rPr>
        <w:t xml:space="preserve"> 4.4</w:t>
      </w:r>
      <w:r w:rsidR="00903D89" w:rsidRPr="000F3CBF">
        <w:rPr>
          <w:sz w:val="20"/>
          <w:szCs w:val="20"/>
        </w:rPr>
        <w:t>.</w:t>
      </w:r>
      <w:r w:rsidR="00F0288F">
        <w:rPr>
          <w:sz w:val="20"/>
          <w:szCs w:val="20"/>
        </w:rPr>
        <w:t xml:space="preserve"> The sample is slightly more than one half of the full sample.</w:t>
      </w:r>
      <w:r w:rsidR="00903D89" w:rsidRPr="000F3CBF">
        <w:rPr>
          <w:sz w:val="20"/>
          <w:szCs w:val="20"/>
        </w:rPr>
        <w:t xml:space="preserve">  </w:t>
      </w:r>
      <w:r w:rsidR="00A13735" w:rsidRPr="000F3CBF">
        <w:rPr>
          <w:sz w:val="20"/>
          <w:szCs w:val="20"/>
        </w:rPr>
        <w:t>I report results</w:t>
      </w:r>
      <w:r w:rsidR="004D7A09" w:rsidRPr="000F3CBF">
        <w:rPr>
          <w:sz w:val="20"/>
          <w:szCs w:val="20"/>
        </w:rPr>
        <w:t xml:space="preserve"> onl</w:t>
      </w:r>
      <w:r w:rsidR="00A13735" w:rsidRPr="000F3CBF">
        <w:rPr>
          <w:sz w:val="20"/>
          <w:szCs w:val="20"/>
        </w:rPr>
        <w:t>y</w:t>
      </w:r>
      <w:r w:rsidR="0010722E" w:rsidRPr="000F3CBF">
        <w:rPr>
          <w:sz w:val="20"/>
          <w:szCs w:val="20"/>
        </w:rPr>
        <w:t xml:space="preserve"> for earnings forecasts</w:t>
      </w:r>
      <w:r w:rsidR="00534F4B" w:rsidRPr="000F3CBF">
        <w:rPr>
          <w:sz w:val="20"/>
          <w:szCs w:val="20"/>
        </w:rPr>
        <w:t>,</w:t>
      </w:r>
      <w:r w:rsidR="0010722E" w:rsidRPr="000F3CBF">
        <w:rPr>
          <w:sz w:val="20"/>
          <w:szCs w:val="20"/>
        </w:rPr>
        <w:t xml:space="preserve"> as the</w:t>
      </w:r>
      <w:r w:rsidR="004D7A09" w:rsidRPr="000F3CBF">
        <w:rPr>
          <w:sz w:val="20"/>
          <w:szCs w:val="20"/>
        </w:rPr>
        <w:t xml:space="preserve"> </w:t>
      </w:r>
      <w:r w:rsidR="001B1E5E" w:rsidRPr="000F3CBF">
        <w:rPr>
          <w:sz w:val="20"/>
          <w:szCs w:val="20"/>
        </w:rPr>
        <w:t xml:space="preserve">existence of </w:t>
      </w:r>
      <w:r w:rsidR="0010722E" w:rsidRPr="000F3CBF">
        <w:rPr>
          <w:sz w:val="20"/>
          <w:szCs w:val="20"/>
        </w:rPr>
        <w:t>multiple period observations</w:t>
      </w:r>
      <w:r w:rsidR="004D7A09" w:rsidRPr="000F3CBF">
        <w:rPr>
          <w:sz w:val="20"/>
          <w:szCs w:val="20"/>
        </w:rPr>
        <w:t xml:space="preserve"> allow</w:t>
      </w:r>
      <w:r w:rsidR="00534F4B" w:rsidRPr="000F3CBF">
        <w:rPr>
          <w:sz w:val="20"/>
          <w:szCs w:val="20"/>
        </w:rPr>
        <w:t>s</w:t>
      </w:r>
      <w:r w:rsidR="004D7A09" w:rsidRPr="000F3CBF">
        <w:rPr>
          <w:sz w:val="20"/>
          <w:szCs w:val="20"/>
        </w:rPr>
        <w:t xml:space="preserve"> comparison across time.  </w:t>
      </w:r>
      <w:bookmarkStart w:id="3" w:name="OLE_LINK8"/>
      <w:bookmarkStart w:id="4" w:name="OLE_LINK9"/>
      <w:r w:rsidR="004D7A09" w:rsidRPr="000F3CBF">
        <w:rPr>
          <w:sz w:val="20"/>
          <w:szCs w:val="20"/>
        </w:rPr>
        <w:t>The sample does not provide sufficient recommendation</w:t>
      </w:r>
      <w:r w:rsidR="00A13735" w:rsidRPr="000F3CBF">
        <w:rPr>
          <w:sz w:val="20"/>
          <w:szCs w:val="20"/>
        </w:rPr>
        <w:t xml:space="preserve">s </w:t>
      </w:r>
      <w:r w:rsidR="0010722E" w:rsidRPr="000F3CBF">
        <w:rPr>
          <w:sz w:val="20"/>
          <w:szCs w:val="20"/>
        </w:rPr>
        <w:t>from both</w:t>
      </w:r>
      <w:r w:rsidR="004D7A09" w:rsidRPr="000F3CBF">
        <w:rPr>
          <w:sz w:val="20"/>
          <w:szCs w:val="20"/>
        </w:rPr>
        <w:t xml:space="preserve"> periods to dr</w:t>
      </w:r>
      <w:r w:rsidR="00E65333" w:rsidRPr="000F3CBF">
        <w:rPr>
          <w:sz w:val="20"/>
          <w:szCs w:val="20"/>
        </w:rPr>
        <w:t>aw any reasonable conclusions.</w:t>
      </w:r>
    </w:p>
    <w:bookmarkEnd w:id="3"/>
    <w:bookmarkEnd w:id="4"/>
    <w:p w:rsidR="00370DD9" w:rsidRPr="000F3CBF" w:rsidRDefault="00A15D89" w:rsidP="009364E2">
      <w:pPr>
        <w:pStyle w:val="BodyTextIndent"/>
        <w:rPr>
          <w:sz w:val="20"/>
          <w:szCs w:val="20"/>
        </w:rPr>
      </w:pPr>
      <w:r w:rsidRPr="000F3CBF">
        <w:rPr>
          <w:sz w:val="20"/>
          <w:szCs w:val="20"/>
        </w:rPr>
        <w:lastRenderedPageBreak/>
        <w:t xml:space="preserve">Since </w:t>
      </w:r>
      <w:r w:rsidR="00370DD9" w:rsidRPr="000F3CBF">
        <w:rPr>
          <w:sz w:val="20"/>
          <w:szCs w:val="20"/>
        </w:rPr>
        <w:t>the date of the analyst’s stock purchase</w:t>
      </w:r>
      <w:r w:rsidRPr="000F3CBF">
        <w:rPr>
          <w:sz w:val="20"/>
          <w:szCs w:val="20"/>
        </w:rPr>
        <w:t xml:space="preserve"> is unknown</w:t>
      </w:r>
      <w:r w:rsidR="00370DD9" w:rsidRPr="000F3CBF">
        <w:rPr>
          <w:sz w:val="20"/>
          <w:szCs w:val="20"/>
        </w:rPr>
        <w:t>, I estimate the end of each analyst’s required holding</w:t>
      </w:r>
      <w:r w:rsidR="00D871C5" w:rsidRPr="000F3CBF">
        <w:rPr>
          <w:sz w:val="20"/>
          <w:szCs w:val="20"/>
        </w:rPr>
        <w:t xml:space="preserve"> period as the earlier of</w:t>
      </w:r>
      <w:r w:rsidR="00370DD9" w:rsidRPr="000F3CBF">
        <w:rPr>
          <w:sz w:val="20"/>
          <w:szCs w:val="20"/>
        </w:rPr>
        <w:t xml:space="preserve"> 60 days before the first d</w:t>
      </w:r>
      <w:r w:rsidR="00D871C5" w:rsidRPr="000F3CBF">
        <w:rPr>
          <w:sz w:val="20"/>
          <w:szCs w:val="20"/>
        </w:rPr>
        <w:t>isclosed sale (Form 144 filing)</w:t>
      </w:r>
      <w:r w:rsidR="00370DD9" w:rsidRPr="000F3CBF">
        <w:rPr>
          <w:sz w:val="20"/>
          <w:szCs w:val="20"/>
        </w:rPr>
        <w:t xml:space="preserve"> or the appropriate holding period (one or two years) after the IPO date.  Any reports published before </w:t>
      </w:r>
      <w:proofErr w:type="gramStart"/>
      <w:r w:rsidR="00370DD9" w:rsidRPr="000F3CBF">
        <w:rPr>
          <w:sz w:val="20"/>
          <w:szCs w:val="20"/>
        </w:rPr>
        <w:t>this date are</w:t>
      </w:r>
      <w:proofErr w:type="gramEnd"/>
      <w:r w:rsidR="00370DD9" w:rsidRPr="000F3CBF">
        <w:rPr>
          <w:sz w:val="20"/>
          <w:szCs w:val="20"/>
        </w:rPr>
        <w:t xml:space="preserve"> considered holding-period reports and any issued after t</w:t>
      </w:r>
      <w:r w:rsidR="00D871C5" w:rsidRPr="000F3CBF">
        <w:rPr>
          <w:sz w:val="20"/>
          <w:szCs w:val="20"/>
        </w:rPr>
        <w:t>his date are considered selling-</w:t>
      </w:r>
      <w:r w:rsidR="00370DD9" w:rsidRPr="000F3CBF">
        <w:rPr>
          <w:sz w:val="20"/>
          <w:szCs w:val="20"/>
        </w:rPr>
        <w:t>period o</w:t>
      </w:r>
      <w:r w:rsidR="00E65333" w:rsidRPr="000F3CBF">
        <w:rPr>
          <w:sz w:val="20"/>
          <w:szCs w:val="20"/>
        </w:rPr>
        <w:t>r post-holding-period reports.</w:t>
      </w:r>
    </w:p>
    <w:p w:rsidR="00903D89" w:rsidRPr="000F3CBF" w:rsidRDefault="00903D89" w:rsidP="009364E2">
      <w:pPr>
        <w:pStyle w:val="BodyTextIndent"/>
        <w:rPr>
          <w:sz w:val="20"/>
          <w:szCs w:val="20"/>
        </w:rPr>
      </w:pPr>
      <w:r w:rsidRPr="000F3CBF">
        <w:rPr>
          <w:sz w:val="20"/>
          <w:szCs w:val="20"/>
        </w:rPr>
        <w:t xml:space="preserve">I supplement the regression specification of </w:t>
      </w:r>
      <w:r w:rsidR="00E817C9" w:rsidRPr="000F3CBF">
        <w:rPr>
          <w:sz w:val="20"/>
          <w:szCs w:val="20"/>
        </w:rPr>
        <w:t>Table 4</w:t>
      </w:r>
      <w:r w:rsidRPr="000F3CBF">
        <w:rPr>
          <w:sz w:val="20"/>
          <w:szCs w:val="20"/>
        </w:rPr>
        <w:t xml:space="preserve"> with two additional variables.  The first is a dummy variable, Post Holding Period, which takes on the value of </w:t>
      </w:r>
      <w:r w:rsidR="00C659E1">
        <w:rPr>
          <w:sz w:val="20"/>
          <w:szCs w:val="20"/>
        </w:rPr>
        <w:t>one for forecast</w:t>
      </w:r>
      <w:r w:rsidRPr="000F3CBF">
        <w:rPr>
          <w:sz w:val="20"/>
          <w:szCs w:val="20"/>
        </w:rPr>
        <w:t xml:space="preserve">s issued after the end of the holding period, and zero otherwise.  The second variable is an interactive variable, Post Holding * Own, which is the interaction of the </w:t>
      </w:r>
      <w:r w:rsidR="00ED1A34" w:rsidRPr="000F3CBF">
        <w:rPr>
          <w:sz w:val="20"/>
          <w:szCs w:val="20"/>
        </w:rPr>
        <w:t xml:space="preserve">analyst </w:t>
      </w:r>
      <w:r w:rsidRPr="000F3CBF">
        <w:rPr>
          <w:sz w:val="20"/>
          <w:szCs w:val="20"/>
        </w:rPr>
        <w:t>own</w:t>
      </w:r>
      <w:r w:rsidR="00ED1A34" w:rsidRPr="000F3CBF">
        <w:rPr>
          <w:sz w:val="20"/>
          <w:szCs w:val="20"/>
        </w:rPr>
        <w:t>ership</w:t>
      </w:r>
      <w:r w:rsidRPr="000F3CBF">
        <w:rPr>
          <w:sz w:val="20"/>
          <w:szCs w:val="20"/>
        </w:rPr>
        <w:t xml:space="preserve"> variable and the Post Holding Period variable.  This interactive variable measures the incremental change in stock-owning analyst forecast behavior after the required holding</w:t>
      </w:r>
      <w:r w:rsidR="00AE2A4E" w:rsidRPr="000F3CBF">
        <w:rPr>
          <w:sz w:val="20"/>
          <w:szCs w:val="20"/>
        </w:rPr>
        <w:t xml:space="preserve"> period </w:t>
      </w:r>
      <w:r w:rsidR="00D871C5" w:rsidRPr="000F3CBF">
        <w:rPr>
          <w:sz w:val="20"/>
          <w:szCs w:val="20"/>
        </w:rPr>
        <w:t>(i.e.</w:t>
      </w:r>
      <w:r w:rsidR="00AE2A4E" w:rsidRPr="000F3CBF">
        <w:rPr>
          <w:sz w:val="20"/>
          <w:szCs w:val="20"/>
        </w:rPr>
        <w:t xml:space="preserve"> when the analyst is</w:t>
      </w:r>
      <w:r w:rsidRPr="000F3CBF">
        <w:rPr>
          <w:sz w:val="20"/>
          <w:szCs w:val="20"/>
        </w:rPr>
        <w:t xml:space="preserve"> free to sell), relative to the holding period forecasts.</w:t>
      </w:r>
      <w:r w:rsidR="00231790" w:rsidRPr="000F3CBF">
        <w:rPr>
          <w:sz w:val="20"/>
          <w:szCs w:val="20"/>
        </w:rPr>
        <w:t xml:space="preserve">  A strategic bias would predict a negative coefficient on the interactive variable.</w:t>
      </w:r>
    </w:p>
    <w:p w:rsidR="0037667A" w:rsidRPr="000F3CBF" w:rsidRDefault="00E817C9" w:rsidP="00556C25">
      <w:pPr>
        <w:pStyle w:val="BodyTextIndent"/>
        <w:rPr>
          <w:sz w:val="20"/>
          <w:szCs w:val="20"/>
        </w:rPr>
      </w:pPr>
      <w:r w:rsidRPr="000F3CBF">
        <w:rPr>
          <w:sz w:val="20"/>
          <w:szCs w:val="20"/>
        </w:rPr>
        <w:t>Table 5</w:t>
      </w:r>
      <w:r w:rsidR="00370DD9" w:rsidRPr="000F3CBF">
        <w:rPr>
          <w:sz w:val="20"/>
          <w:szCs w:val="20"/>
        </w:rPr>
        <w:t xml:space="preserve"> </w:t>
      </w:r>
      <w:r w:rsidR="00903D89" w:rsidRPr="000F3CBF">
        <w:rPr>
          <w:sz w:val="20"/>
          <w:szCs w:val="20"/>
        </w:rPr>
        <w:t>presents the results of t</w:t>
      </w:r>
      <w:r w:rsidR="00AC1369" w:rsidRPr="000F3CBF">
        <w:rPr>
          <w:sz w:val="20"/>
          <w:szCs w:val="20"/>
        </w:rPr>
        <w:t>his analysis</w:t>
      </w:r>
      <w:r w:rsidR="00903D89" w:rsidRPr="000F3CBF">
        <w:rPr>
          <w:sz w:val="20"/>
          <w:szCs w:val="20"/>
        </w:rPr>
        <w:t xml:space="preserve">. </w:t>
      </w:r>
      <w:r w:rsidR="00665DAD" w:rsidRPr="000F3CBF">
        <w:rPr>
          <w:sz w:val="20"/>
          <w:szCs w:val="20"/>
        </w:rPr>
        <w:t xml:space="preserve"> </w:t>
      </w:r>
      <w:r w:rsidR="00903D89" w:rsidRPr="000F3CBF">
        <w:rPr>
          <w:sz w:val="20"/>
          <w:szCs w:val="20"/>
        </w:rPr>
        <w:t xml:space="preserve">Similar to the </w:t>
      </w:r>
      <w:r w:rsidRPr="000F3CBF">
        <w:rPr>
          <w:sz w:val="20"/>
          <w:szCs w:val="20"/>
        </w:rPr>
        <w:t>Table 4</w:t>
      </w:r>
      <w:r w:rsidR="00903D89" w:rsidRPr="000F3CBF">
        <w:rPr>
          <w:sz w:val="20"/>
          <w:szCs w:val="20"/>
        </w:rPr>
        <w:t xml:space="preserve"> </w:t>
      </w:r>
      <w:r w:rsidR="00370DD9" w:rsidRPr="000F3CBF">
        <w:rPr>
          <w:sz w:val="20"/>
          <w:szCs w:val="20"/>
        </w:rPr>
        <w:t xml:space="preserve">Form 144 sample </w:t>
      </w:r>
      <w:r w:rsidR="00903D89" w:rsidRPr="000F3CBF">
        <w:rPr>
          <w:sz w:val="20"/>
          <w:szCs w:val="20"/>
        </w:rPr>
        <w:t xml:space="preserve">results, the coefficient on the </w:t>
      </w:r>
      <w:r w:rsidR="00205AEB" w:rsidRPr="000F3CBF">
        <w:rPr>
          <w:sz w:val="20"/>
          <w:szCs w:val="20"/>
        </w:rPr>
        <w:t>OWN</w:t>
      </w:r>
      <w:r w:rsidR="00903D89" w:rsidRPr="000F3CBF">
        <w:rPr>
          <w:sz w:val="20"/>
          <w:szCs w:val="20"/>
        </w:rPr>
        <w:t xml:space="preserve"> variable is positive, but not statistically significant.  The Post Holding dummy variable and the interactive Post Holding * Own variable are both statistically significant.  The Post Holding variable is positive, which supports an average decline in overall forecast optimism by all analysts in the post-holding period.  This reduced optimism could be consistent with a general decline in optimism in the years following the IPO.  The interactive variable Post Holding * Own is negative, wh</w:t>
      </w:r>
      <w:r w:rsidR="00534F4B" w:rsidRPr="000F3CBF">
        <w:rPr>
          <w:sz w:val="20"/>
          <w:szCs w:val="20"/>
        </w:rPr>
        <w:t>ich supports incremental owning-</w:t>
      </w:r>
      <w:r w:rsidR="00903D89" w:rsidRPr="000F3CBF">
        <w:rPr>
          <w:sz w:val="20"/>
          <w:szCs w:val="20"/>
        </w:rPr>
        <w:t>analyst forecas</w:t>
      </w:r>
      <w:r w:rsidR="00AC1369" w:rsidRPr="000F3CBF">
        <w:rPr>
          <w:sz w:val="20"/>
          <w:szCs w:val="20"/>
        </w:rPr>
        <w:t>t optimism during the period that</w:t>
      </w:r>
      <w:r w:rsidR="00903D89" w:rsidRPr="000F3CBF">
        <w:rPr>
          <w:sz w:val="20"/>
          <w:szCs w:val="20"/>
        </w:rPr>
        <w:t xml:space="preserve"> analysts are free to sell their stock.</w:t>
      </w:r>
      <w:r w:rsidR="00AC1369" w:rsidRPr="000F3CBF">
        <w:rPr>
          <w:sz w:val="20"/>
          <w:szCs w:val="20"/>
        </w:rPr>
        <w:t xml:space="preserve">  This owner optimism is suggestive of strategic reporting behavior.</w:t>
      </w:r>
      <w:r w:rsidR="00556C25" w:rsidRPr="000F3CBF">
        <w:rPr>
          <w:sz w:val="20"/>
          <w:szCs w:val="20"/>
        </w:rPr>
        <w:t xml:space="preserve">  To explore the robustness of this strategic owner optimism, I expand the test above to include the forecasts issued after the analysts’</w:t>
      </w:r>
      <w:r w:rsidR="00556C25" w:rsidRPr="000F3CBF">
        <w:rPr>
          <w:b/>
          <w:sz w:val="20"/>
          <w:szCs w:val="20"/>
        </w:rPr>
        <w:t xml:space="preserve"> </w:t>
      </w:r>
      <w:r w:rsidR="00556C25" w:rsidRPr="000F3CBF">
        <w:rPr>
          <w:sz w:val="20"/>
          <w:szCs w:val="20"/>
        </w:rPr>
        <w:t xml:space="preserve">stock sale.  In </w:t>
      </w:r>
      <w:proofErr w:type="spellStart"/>
      <w:r w:rsidR="00556C25" w:rsidRPr="000F3CBF">
        <w:rPr>
          <w:sz w:val="20"/>
          <w:szCs w:val="20"/>
        </w:rPr>
        <w:t>untabulated</w:t>
      </w:r>
      <w:proofErr w:type="spellEnd"/>
      <w:r w:rsidR="00556C25" w:rsidRPr="000F3CBF">
        <w:rPr>
          <w:sz w:val="20"/>
          <w:szCs w:val="20"/>
        </w:rPr>
        <w:t xml:space="preserve"> testing, the results show no change in forecast behavior by the stock-owning analysts after the sale of sto</w:t>
      </w:r>
      <w:r w:rsidR="00F37C15">
        <w:rPr>
          <w:sz w:val="20"/>
          <w:szCs w:val="20"/>
        </w:rPr>
        <w:t>ck, relative to the selling</w:t>
      </w:r>
      <w:r w:rsidR="00556C25" w:rsidRPr="000F3CBF">
        <w:rPr>
          <w:sz w:val="20"/>
          <w:szCs w:val="20"/>
        </w:rPr>
        <w:t xml:space="preserve"> period, and the incremental optimism during the post holding period is no longer statistically significant.  Therefore the pre-sale optimism result is not robust.</w:t>
      </w:r>
    </w:p>
    <w:p w:rsidR="00903D89" w:rsidRPr="000F3CBF" w:rsidRDefault="00903D89" w:rsidP="009364E2">
      <w:pPr>
        <w:pStyle w:val="BodyTextIndent"/>
        <w:rPr>
          <w:sz w:val="20"/>
          <w:szCs w:val="20"/>
        </w:rPr>
      </w:pPr>
      <w:r w:rsidRPr="000F3CBF">
        <w:rPr>
          <w:sz w:val="20"/>
          <w:szCs w:val="20"/>
        </w:rPr>
        <w:t xml:space="preserve">I contrast the regression results for the control variables presented in </w:t>
      </w:r>
      <w:r w:rsidR="00E817C9" w:rsidRPr="000F3CBF">
        <w:rPr>
          <w:sz w:val="20"/>
          <w:szCs w:val="20"/>
        </w:rPr>
        <w:t>Table 5</w:t>
      </w:r>
      <w:r w:rsidR="00205AEB" w:rsidRPr="000F3CBF">
        <w:rPr>
          <w:sz w:val="20"/>
          <w:szCs w:val="20"/>
        </w:rPr>
        <w:t xml:space="preserve"> with</w:t>
      </w:r>
      <w:r w:rsidRPr="000F3CBF">
        <w:rPr>
          <w:sz w:val="20"/>
          <w:szCs w:val="20"/>
        </w:rPr>
        <w:t xml:space="preserve"> those of </w:t>
      </w:r>
      <w:r w:rsidR="00E817C9" w:rsidRPr="000F3CBF">
        <w:rPr>
          <w:sz w:val="20"/>
          <w:szCs w:val="20"/>
        </w:rPr>
        <w:t>Table 4</w:t>
      </w:r>
      <w:r w:rsidRPr="000F3CBF">
        <w:rPr>
          <w:sz w:val="20"/>
          <w:szCs w:val="20"/>
        </w:rPr>
        <w:t>.  The forecast age and loss variables are negative and significant, similar to the previous analysis.  The Internet and following variables are positive, but are no longer statistically significant.</w:t>
      </w:r>
      <w:r w:rsidR="00370DD9" w:rsidRPr="000F3CBF">
        <w:rPr>
          <w:sz w:val="20"/>
          <w:szCs w:val="20"/>
        </w:rPr>
        <w:t xml:space="preserve">  The other significant change</w:t>
      </w:r>
      <w:r w:rsidR="00D871C5" w:rsidRPr="000F3CBF">
        <w:rPr>
          <w:sz w:val="20"/>
          <w:szCs w:val="20"/>
        </w:rPr>
        <w:t>,</w:t>
      </w:r>
      <w:r w:rsidR="00370DD9" w:rsidRPr="000F3CBF">
        <w:rPr>
          <w:sz w:val="20"/>
          <w:szCs w:val="20"/>
        </w:rPr>
        <w:t xml:space="preserve"> relative to the </w:t>
      </w:r>
      <w:r w:rsidR="00E817C9" w:rsidRPr="000F3CBF">
        <w:rPr>
          <w:sz w:val="20"/>
          <w:szCs w:val="20"/>
        </w:rPr>
        <w:t xml:space="preserve">Table </w:t>
      </w:r>
      <w:r w:rsidR="00A9610A" w:rsidRPr="000F3CBF">
        <w:rPr>
          <w:sz w:val="20"/>
          <w:szCs w:val="20"/>
        </w:rPr>
        <w:t>4 results</w:t>
      </w:r>
      <w:r w:rsidR="00D871C5" w:rsidRPr="000F3CBF">
        <w:rPr>
          <w:sz w:val="20"/>
          <w:szCs w:val="20"/>
        </w:rPr>
        <w:t>,</w:t>
      </w:r>
      <w:r w:rsidR="00370DD9" w:rsidRPr="000F3CBF">
        <w:rPr>
          <w:sz w:val="20"/>
          <w:szCs w:val="20"/>
        </w:rPr>
        <w:t xml:space="preserve"> is that the complexity variable is now statistically significant.  The signs</w:t>
      </w:r>
      <w:r w:rsidR="00534F4B" w:rsidRPr="000F3CBF">
        <w:rPr>
          <w:sz w:val="20"/>
          <w:szCs w:val="20"/>
        </w:rPr>
        <w:t xml:space="preserve"> of the coefficients on </w:t>
      </w:r>
      <w:r w:rsidR="00534F4B" w:rsidRPr="000F3CBF">
        <w:rPr>
          <w:sz w:val="20"/>
          <w:szCs w:val="20"/>
        </w:rPr>
        <w:lastRenderedPageBreak/>
        <w:t>the Co-M</w:t>
      </w:r>
      <w:r w:rsidR="00370DD9" w:rsidRPr="000F3CBF">
        <w:rPr>
          <w:sz w:val="20"/>
          <w:szCs w:val="20"/>
        </w:rPr>
        <w:t>anager and Disclose variables change relative to the prior analysis, but both are still not statistically significant.</w:t>
      </w:r>
    </w:p>
    <w:p w:rsidR="00AE2A4E" w:rsidRPr="000F3CBF" w:rsidRDefault="00D871C5" w:rsidP="00C52EFD">
      <w:pPr>
        <w:pStyle w:val="BodyTextIndent"/>
        <w:rPr>
          <w:sz w:val="20"/>
          <w:szCs w:val="20"/>
        </w:rPr>
      </w:pPr>
      <w:r w:rsidRPr="000F3CBF">
        <w:rPr>
          <w:sz w:val="20"/>
          <w:szCs w:val="20"/>
        </w:rPr>
        <w:t xml:space="preserve">To </w:t>
      </w:r>
      <w:r w:rsidR="00E33F50" w:rsidRPr="000F3CBF">
        <w:rPr>
          <w:sz w:val="20"/>
          <w:szCs w:val="20"/>
        </w:rPr>
        <w:t xml:space="preserve">further </w:t>
      </w:r>
      <w:r w:rsidRPr="000F3CBF">
        <w:rPr>
          <w:sz w:val="20"/>
          <w:szCs w:val="20"/>
        </w:rPr>
        <w:t xml:space="preserve">address the self-selection issue, </w:t>
      </w:r>
      <w:r w:rsidR="00C52EFD" w:rsidRPr="000F3CBF">
        <w:rPr>
          <w:sz w:val="20"/>
          <w:szCs w:val="20"/>
        </w:rPr>
        <w:t>I revisit the forecast error cross-sectional results in the next three sections.</w:t>
      </w:r>
    </w:p>
    <w:p w:rsidR="00231790" w:rsidRPr="000F3CBF" w:rsidRDefault="00231790" w:rsidP="00B32966">
      <w:pPr>
        <w:pStyle w:val="BodyTextIndent"/>
        <w:numPr>
          <w:ilvl w:val="1"/>
          <w:numId w:val="22"/>
        </w:numPr>
        <w:rPr>
          <w:i/>
          <w:sz w:val="20"/>
          <w:szCs w:val="20"/>
        </w:rPr>
      </w:pPr>
      <w:r w:rsidRPr="000F3CBF">
        <w:rPr>
          <w:i/>
          <w:sz w:val="20"/>
          <w:szCs w:val="20"/>
        </w:rPr>
        <w:t>Differences-in-differences – Form 144 sample</w:t>
      </w:r>
    </w:p>
    <w:p w:rsidR="00231790" w:rsidRPr="000F3CBF" w:rsidRDefault="00231790" w:rsidP="00F0064B">
      <w:pPr>
        <w:pStyle w:val="BodyTextIndent"/>
        <w:rPr>
          <w:sz w:val="20"/>
          <w:szCs w:val="20"/>
        </w:rPr>
      </w:pPr>
      <w:r w:rsidRPr="000F3CBF">
        <w:rPr>
          <w:sz w:val="20"/>
          <w:szCs w:val="20"/>
        </w:rPr>
        <w:t xml:space="preserve">Since the analyst’s stock sale date is known for the Form 144 sample I apply a differences-in-differences test.  Table 6 presents the results.  </w:t>
      </w:r>
      <w:r w:rsidR="001D174D" w:rsidRPr="000F3CBF">
        <w:rPr>
          <w:sz w:val="20"/>
          <w:szCs w:val="20"/>
        </w:rPr>
        <w:t>C</w:t>
      </w:r>
      <w:r w:rsidRPr="000F3CBF">
        <w:rPr>
          <w:sz w:val="20"/>
          <w:szCs w:val="20"/>
        </w:rPr>
        <w:t>ontrasting forecasts for the same quarter</w:t>
      </w:r>
      <w:r w:rsidR="001D174D" w:rsidRPr="000F3CBF">
        <w:rPr>
          <w:sz w:val="20"/>
          <w:szCs w:val="20"/>
        </w:rPr>
        <w:t>, made at different times,</w:t>
      </w:r>
      <w:r w:rsidRPr="000F3CBF">
        <w:rPr>
          <w:sz w:val="20"/>
          <w:szCs w:val="20"/>
        </w:rPr>
        <w:t xml:space="preserve"> eliminates many other sources of forecast variability.</w:t>
      </w:r>
      <w:r w:rsidR="00F0064B" w:rsidRPr="000F3CBF">
        <w:rPr>
          <w:sz w:val="20"/>
          <w:szCs w:val="20"/>
        </w:rPr>
        <w:t xml:space="preserve">  The sample does not provide sufficient recommendations from both periods to draw any reasonable conclusions</w:t>
      </w:r>
      <w:r w:rsidR="00F37C15">
        <w:rPr>
          <w:sz w:val="20"/>
          <w:szCs w:val="20"/>
        </w:rPr>
        <w:t>, therefore only the earnings forecast results are presented</w:t>
      </w:r>
      <w:r w:rsidR="00F0064B" w:rsidRPr="000F3CBF">
        <w:rPr>
          <w:sz w:val="20"/>
          <w:szCs w:val="20"/>
        </w:rPr>
        <w:t>.</w:t>
      </w:r>
    </w:p>
    <w:p w:rsidR="00231790" w:rsidRPr="000F3CBF" w:rsidRDefault="00231790" w:rsidP="00231790">
      <w:pPr>
        <w:pStyle w:val="BodyTextIndent"/>
        <w:rPr>
          <w:sz w:val="20"/>
          <w:szCs w:val="20"/>
        </w:rPr>
      </w:pPr>
      <w:r w:rsidRPr="000F3CBF">
        <w:rPr>
          <w:sz w:val="20"/>
          <w:szCs w:val="20"/>
        </w:rPr>
        <w:t>To obtain the most powerful test, I focus on the last disclosed sale for each stock-owning analyst.  To allow only one fo</w:t>
      </w:r>
      <w:r w:rsidR="00534F4B" w:rsidRPr="000F3CBF">
        <w:rPr>
          <w:sz w:val="20"/>
          <w:szCs w:val="20"/>
        </w:rPr>
        <w:t>recast revision per owning-</w:t>
      </w:r>
      <w:r w:rsidRPr="000F3CBF">
        <w:rPr>
          <w:sz w:val="20"/>
          <w:szCs w:val="20"/>
        </w:rPr>
        <w:t>analyst/company pair, I select the last forecast period.  One drawback of the differences-in-differences test is that not every stock-owning analyst forecasts earnings for the same forecast period, both before and after the stock sale.  Missing time-series data reduce</w:t>
      </w:r>
      <w:r w:rsidR="00534F4B" w:rsidRPr="000F3CBF">
        <w:rPr>
          <w:sz w:val="20"/>
          <w:szCs w:val="20"/>
        </w:rPr>
        <w:t>s</w:t>
      </w:r>
      <w:r w:rsidRPr="000F3CBF">
        <w:rPr>
          <w:sz w:val="20"/>
          <w:szCs w:val="20"/>
        </w:rPr>
        <w:t xml:space="preserve"> the sample size, including control observations, to 73.  The inclusion of control observations ameliorates other potential explanations for forecast revisions.</w:t>
      </w:r>
    </w:p>
    <w:p w:rsidR="00231790" w:rsidRPr="000F3CBF" w:rsidRDefault="00231790" w:rsidP="00E33F50">
      <w:pPr>
        <w:pStyle w:val="BodyTextIndent"/>
        <w:rPr>
          <w:sz w:val="20"/>
          <w:szCs w:val="20"/>
        </w:rPr>
      </w:pPr>
      <w:r w:rsidRPr="000F3CBF">
        <w:rPr>
          <w:sz w:val="20"/>
          <w:szCs w:val="20"/>
        </w:rPr>
        <w:t xml:space="preserve">PANEL </w:t>
      </w:r>
      <w:proofErr w:type="gramStart"/>
      <w:r w:rsidRPr="000F3CBF">
        <w:rPr>
          <w:sz w:val="20"/>
          <w:szCs w:val="20"/>
        </w:rPr>
        <w:t>A</w:t>
      </w:r>
      <w:proofErr w:type="gramEnd"/>
      <w:r w:rsidRPr="000F3CBF">
        <w:rPr>
          <w:sz w:val="20"/>
          <w:szCs w:val="20"/>
        </w:rPr>
        <w:t xml:space="preserve"> of Table 6 presents the </w:t>
      </w:r>
      <w:proofErr w:type="spellStart"/>
      <w:r w:rsidRPr="000F3CBF">
        <w:rPr>
          <w:sz w:val="20"/>
          <w:szCs w:val="20"/>
        </w:rPr>
        <w:t>univariate</w:t>
      </w:r>
      <w:proofErr w:type="spellEnd"/>
      <w:r w:rsidRPr="000F3CBF">
        <w:rPr>
          <w:sz w:val="20"/>
          <w:szCs w:val="20"/>
        </w:rPr>
        <w:t xml:space="preserve"> analysis.  Although the stock-owning a</w:t>
      </w:r>
      <w:r w:rsidR="00D871C5" w:rsidRPr="000F3CBF">
        <w:rPr>
          <w:sz w:val="20"/>
          <w:szCs w:val="20"/>
        </w:rPr>
        <w:t xml:space="preserve">nalyst </w:t>
      </w:r>
      <w:r w:rsidRPr="000F3CBF">
        <w:rPr>
          <w:sz w:val="20"/>
          <w:szCs w:val="20"/>
        </w:rPr>
        <w:t>revisions are positive and much larger than t</w:t>
      </w:r>
      <w:r w:rsidR="00D871C5" w:rsidRPr="000F3CBF">
        <w:rPr>
          <w:sz w:val="20"/>
          <w:szCs w:val="20"/>
        </w:rPr>
        <w:t>he non-stock-owning analyst revision</w:t>
      </w:r>
      <w:r w:rsidR="00A25E13" w:rsidRPr="000F3CBF">
        <w:rPr>
          <w:sz w:val="20"/>
          <w:szCs w:val="20"/>
        </w:rPr>
        <w:t>s</w:t>
      </w:r>
      <w:r w:rsidRPr="000F3CBF">
        <w:rPr>
          <w:sz w:val="20"/>
          <w:szCs w:val="20"/>
        </w:rPr>
        <w:t>, a test of means shows no statistical difference between the two groups.  The change in forecast age is significantly greater for stock-owning analysts compared to the control group, which suggests less timely revisions by the stock-owning group.  Stock-owning analysts provide coverage on a significantly greater number of companies (Complexity).</w:t>
      </w:r>
      <w:r w:rsidR="00E33F50" w:rsidRPr="000F3CBF">
        <w:rPr>
          <w:sz w:val="20"/>
          <w:szCs w:val="20"/>
        </w:rPr>
        <w:t xml:space="preserve">  </w:t>
      </w:r>
      <w:r w:rsidRPr="000F3CBF">
        <w:rPr>
          <w:sz w:val="20"/>
          <w:szCs w:val="20"/>
        </w:rPr>
        <w:t>The other two control variables do not show any statistically significant difference in means, although the relations are similar to those shown in Table 3.</w:t>
      </w:r>
    </w:p>
    <w:p w:rsidR="00231790" w:rsidRPr="000F3CBF" w:rsidRDefault="00231790" w:rsidP="00C439F1">
      <w:pPr>
        <w:pStyle w:val="BodyTextIndent"/>
        <w:rPr>
          <w:sz w:val="20"/>
          <w:szCs w:val="20"/>
        </w:rPr>
      </w:pPr>
      <w:r w:rsidRPr="000F3CBF">
        <w:rPr>
          <w:sz w:val="20"/>
          <w:szCs w:val="20"/>
        </w:rPr>
        <w:t>PANEL B of Table 6 presents the multivariate analysis.  The dependent variable is the change in forecast error.  The regression coefficient on the OWN</w:t>
      </w:r>
      <w:r w:rsidRPr="000F3CBF">
        <w:rPr>
          <w:i/>
          <w:sz w:val="20"/>
          <w:szCs w:val="20"/>
        </w:rPr>
        <w:t xml:space="preserve"> </w:t>
      </w:r>
      <w:r w:rsidRPr="000F3CBF">
        <w:rPr>
          <w:sz w:val="20"/>
          <w:szCs w:val="20"/>
        </w:rPr>
        <w:t xml:space="preserve">variable is positive and statistically significant.  The decline in stock-owning analysts’ forecast optimism after the sale of their stock holdings is statistically greater than other analysts’ decline in optimism for the same forecast periods.  </w:t>
      </w:r>
      <w:r w:rsidR="00556C25" w:rsidRPr="000F3CBF">
        <w:rPr>
          <w:sz w:val="20"/>
          <w:szCs w:val="20"/>
        </w:rPr>
        <w:t xml:space="preserve">However, robustness tests of these results, using either the earliest forecast </w:t>
      </w:r>
      <w:r w:rsidR="00556C25" w:rsidRPr="000F3CBF">
        <w:rPr>
          <w:sz w:val="20"/>
          <w:szCs w:val="20"/>
        </w:rPr>
        <w:lastRenderedPageBreak/>
        <w:t>period for each owning analyst/company pair or all owning-analyst forecast revisions, are not statistically significant.</w:t>
      </w:r>
    </w:p>
    <w:p w:rsidR="00231790" w:rsidRPr="000F3CBF" w:rsidRDefault="00231790" w:rsidP="00231790">
      <w:pPr>
        <w:pStyle w:val="BodyTextIndent"/>
        <w:rPr>
          <w:sz w:val="20"/>
          <w:szCs w:val="20"/>
        </w:rPr>
      </w:pPr>
      <w:r w:rsidRPr="000F3CBF">
        <w:rPr>
          <w:sz w:val="20"/>
          <w:szCs w:val="20"/>
        </w:rPr>
        <w:t>The change in forecast age is the only control variable that is weakly significant.  The sign of the coefficient is positive.</w:t>
      </w:r>
      <w:r w:rsidRPr="000F3CBF">
        <w:rPr>
          <w:b/>
          <w:sz w:val="20"/>
          <w:szCs w:val="20"/>
        </w:rPr>
        <w:t xml:space="preserve">  </w:t>
      </w:r>
      <w:r w:rsidRPr="000F3CBF">
        <w:rPr>
          <w:sz w:val="20"/>
          <w:szCs w:val="20"/>
        </w:rPr>
        <w:t xml:space="preserve">In the cross-sectional results, the forecast age is negative and significant.  </w:t>
      </w:r>
      <w:r w:rsidR="00F37C15">
        <w:rPr>
          <w:sz w:val="20"/>
          <w:szCs w:val="20"/>
        </w:rPr>
        <w:t>The two results are consistent, f</w:t>
      </w:r>
      <w:r w:rsidRPr="000F3CBF">
        <w:rPr>
          <w:sz w:val="20"/>
          <w:szCs w:val="20"/>
        </w:rPr>
        <w:t>orecast optimism declines as the actual earnings report date approaches.</w:t>
      </w:r>
    </w:p>
    <w:p w:rsidR="00C439F1" w:rsidRPr="000F3CBF" w:rsidRDefault="00C439F1" w:rsidP="00231790">
      <w:pPr>
        <w:pStyle w:val="BodyTextIndent"/>
        <w:rPr>
          <w:sz w:val="20"/>
          <w:szCs w:val="20"/>
        </w:rPr>
      </w:pPr>
      <w:r w:rsidRPr="000F3CBF">
        <w:rPr>
          <w:sz w:val="20"/>
          <w:szCs w:val="20"/>
        </w:rPr>
        <w:t xml:space="preserve">The cross-sectional regression results for the 144 sample provide no evidence of an effect of ownership on analyst earnings forecasts.  </w:t>
      </w:r>
      <w:r w:rsidR="00E33F50" w:rsidRPr="000F3CBF">
        <w:rPr>
          <w:sz w:val="20"/>
          <w:szCs w:val="20"/>
        </w:rPr>
        <w:t>In addition, a</w:t>
      </w:r>
      <w:r w:rsidRPr="000F3CBF">
        <w:rPr>
          <w:sz w:val="20"/>
          <w:szCs w:val="20"/>
        </w:rPr>
        <w:t>lthough the tests after the holding period and around the actual sale raise some concerns about strategic reporting, the evidence is not robust</w:t>
      </w:r>
      <w:r w:rsidR="00050422" w:rsidRPr="000F3CBF">
        <w:rPr>
          <w:sz w:val="20"/>
          <w:szCs w:val="20"/>
        </w:rPr>
        <w:t>.  The two sections that follow</w:t>
      </w:r>
      <w:r w:rsidR="00F37C15">
        <w:rPr>
          <w:sz w:val="20"/>
          <w:szCs w:val="20"/>
        </w:rPr>
        <w:t xml:space="preserve"> further explore</w:t>
      </w:r>
      <w:r w:rsidRPr="000F3CBF">
        <w:rPr>
          <w:sz w:val="20"/>
          <w:szCs w:val="20"/>
        </w:rPr>
        <w:t xml:space="preserve"> the disclosing sample </w:t>
      </w:r>
      <w:r w:rsidR="00E33F50" w:rsidRPr="000F3CBF">
        <w:rPr>
          <w:sz w:val="20"/>
          <w:szCs w:val="20"/>
        </w:rPr>
        <w:t xml:space="preserve">cross-sectional </w:t>
      </w:r>
      <w:r w:rsidRPr="000F3CBF">
        <w:rPr>
          <w:sz w:val="20"/>
          <w:szCs w:val="20"/>
        </w:rPr>
        <w:t>evidence of optimistic owner forecasts.</w:t>
      </w:r>
    </w:p>
    <w:p w:rsidR="00B87938" w:rsidRPr="000F3CBF" w:rsidRDefault="000C5D7A" w:rsidP="009364E2">
      <w:pPr>
        <w:pStyle w:val="BodyTextIndent"/>
        <w:ind w:firstLine="0"/>
        <w:rPr>
          <w:sz w:val="20"/>
          <w:szCs w:val="20"/>
        </w:rPr>
      </w:pPr>
      <w:r w:rsidRPr="000F3CBF">
        <w:rPr>
          <w:i/>
          <w:sz w:val="20"/>
          <w:szCs w:val="20"/>
        </w:rPr>
        <w:t>4</w:t>
      </w:r>
      <w:r w:rsidR="00903D89" w:rsidRPr="000F3CBF">
        <w:rPr>
          <w:i/>
          <w:sz w:val="20"/>
          <w:szCs w:val="20"/>
        </w:rPr>
        <w:t>.</w:t>
      </w:r>
      <w:r w:rsidR="00B32966">
        <w:rPr>
          <w:i/>
          <w:sz w:val="20"/>
          <w:szCs w:val="20"/>
        </w:rPr>
        <w:t>7</w:t>
      </w:r>
      <w:r w:rsidR="00B07B5D" w:rsidRPr="000F3CBF">
        <w:rPr>
          <w:i/>
          <w:sz w:val="20"/>
          <w:szCs w:val="20"/>
        </w:rPr>
        <w:t>.</w:t>
      </w:r>
      <w:r w:rsidR="00903D89" w:rsidRPr="000F3CBF">
        <w:rPr>
          <w:i/>
          <w:sz w:val="20"/>
          <w:szCs w:val="20"/>
        </w:rPr>
        <w:t xml:space="preserve"> Incorporating a selection model</w:t>
      </w:r>
    </w:p>
    <w:p w:rsidR="00903D89" w:rsidRPr="000F3CBF" w:rsidRDefault="00903D89" w:rsidP="00C659E1">
      <w:pPr>
        <w:pStyle w:val="BodyTextIndent"/>
        <w:rPr>
          <w:sz w:val="20"/>
          <w:szCs w:val="20"/>
        </w:rPr>
      </w:pPr>
      <w:r w:rsidRPr="000F3CBF">
        <w:rPr>
          <w:sz w:val="20"/>
          <w:szCs w:val="20"/>
        </w:rPr>
        <w:t xml:space="preserve">The results of the forecast error </w:t>
      </w:r>
      <w:r w:rsidR="00DB2F79" w:rsidRPr="000F3CBF">
        <w:rPr>
          <w:sz w:val="20"/>
          <w:szCs w:val="20"/>
        </w:rPr>
        <w:t xml:space="preserve">treatment regression </w:t>
      </w:r>
      <w:r w:rsidRPr="000F3CBF">
        <w:rPr>
          <w:sz w:val="20"/>
          <w:szCs w:val="20"/>
        </w:rPr>
        <w:t>for the d</w:t>
      </w:r>
      <w:r w:rsidR="00D871C5" w:rsidRPr="000F3CBF">
        <w:rPr>
          <w:sz w:val="20"/>
          <w:szCs w:val="20"/>
        </w:rPr>
        <w:t>isclosing sample are presented i</w:t>
      </w:r>
      <w:r w:rsidRPr="000F3CBF">
        <w:rPr>
          <w:sz w:val="20"/>
          <w:szCs w:val="20"/>
        </w:rPr>
        <w:t xml:space="preserve">n </w:t>
      </w:r>
      <w:r w:rsidR="00E817C9" w:rsidRPr="000F3CBF">
        <w:rPr>
          <w:sz w:val="20"/>
          <w:szCs w:val="20"/>
        </w:rPr>
        <w:t>Table 7</w:t>
      </w:r>
      <w:r w:rsidRPr="000F3CBF">
        <w:rPr>
          <w:sz w:val="20"/>
          <w:szCs w:val="20"/>
        </w:rPr>
        <w:t xml:space="preserve">.  </w:t>
      </w:r>
      <w:r w:rsidR="00D871C5" w:rsidRPr="000F3CBF">
        <w:rPr>
          <w:sz w:val="20"/>
          <w:szCs w:val="20"/>
        </w:rPr>
        <w:t>I</w:t>
      </w:r>
      <w:r w:rsidRPr="000F3CBF">
        <w:rPr>
          <w:sz w:val="20"/>
          <w:szCs w:val="20"/>
        </w:rPr>
        <w:t xml:space="preserve"> model t</w:t>
      </w:r>
      <w:r w:rsidR="00D871C5" w:rsidRPr="000F3CBF">
        <w:rPr>
          <w:sz w:val="20"/>
          <w:szCs w:val="20"/>
        </w:rPr>
        <w:t>he ownership decision using</w:t>
      </w:r>
      <w:r w:rsidRPr="000F3CBF">
        <w:rPr>
          <w:sz w:val="20"/>
          <w:szCs w:val="20"/>
        </w:rPr>
        <w:t xml:space="preserve"> the experience variable and the underwriting variables.  Early in a sell-side analyst’s career, her personal ris</w:t>
      </w:r>
      <w:r w:rsidR="00127496" w:rsidRPr="000F3CBF">
        <w:rPr>
          <w:sz w:val="20"/>
          <w:szCs w:val="20"/>
        </w:rPr>
        <w:t>k appetite and wealth could</w:t>
      </w:r>
      <w:r w:rsidRPr="000F3CBF">
        <w:rPr>
          <w:sz w:val="20"/>
          <w:szCs w:val="20"/>
        </w:rPr>
        <w:t xml:space="preserve"> limit</w:t>
      </w:r>
      <w:r w:rsidR="001F17BA" w:rsidRPr="000F3CBF">
        <w:rPr>
          <w:sz w:val="20"/>
          <w:szCs w:val="20"/>
        </w:rPr>
        <w:t xml:space="preserve"> investment activity</w:t>
      </w:r>
      <w:r w:rsidRPr="000F3CBF">
        <w:rPr>
          <w:sz w:val="20"/>
          <w:szCs w:val="20"/>
        </w:rPr>
        <w:t xml:space="preserve">.  </w:t>
      </w:r>
      <w:r w:rsidR="001F17BA" w:rsidRPr="000F3CBF">
        <w:rPr>
          <w:sz w:val="20"/>
          <w:szCs w:val="20"/>
        </w:rPr>
        <w:t>I include the underwriting variables because a</w:t>
      </w:r>
      <w:r w:rsidRPr="000F3CBF">
        <w:rPr>
          <w:sz w:val="20"/>
          <w:szCs w:val="20"/>
        </w:rPr>
        <w:t xml:space="preserve">n analyst’s early investment in a pre-IPO company may lead to that analyst’s brokerage firm being </w:t>
      </w:r>
      <w:r w:rsidR="001F17BA" w:rsidRPr="000F3CBF">
        <w:rPr>
          <w:sz w:val="20"/>
          <w:szCs w:val="20"/>
        </w:rPr>
        <w:t>chos</w:t>
      </w:r>
      <w:r w:rsidR="00F37C15">
        <w:rPr>
          <w:sz w:val="20"/>
          <w:szCs w:val="20"/>
        </w:rPr>
        <w:t>en as an underwriter</w:t>
      </w:r>
      <w:r w:rsidRPr="000F3CBF">
        <w:rPr>
          <w:sz w:val="20"/>
          <w:szCs w:val="20"/>
        </w:rPr>
        <w:t>.  Alternatively, an analyst employed by an underwriter may be more likely to have preferential access to stock, either prior to or at the IPO, due to their significant r</w:t>
      </w:r>
      <w:r w:rsidR="001F17BA" w:rsidRPr="000F3CBF">
        <w:rPr>
          <w:sz w:val="20"/>
          <w:szCs w:val="20"/>
        </w:rPr>
        <w:t>elationship with the company as</w:t>
      </w:r>
      <w:r w:rsidRPr="000F3CBF">
        <w:rPr>
          <w:sz w:val="20"/>
          <w:szCs w:val="20"/>
        </w:rPr>
        <w:t xml:space="preserve"> the underwriter.  For an SEO, an analyst’s stock ownership could signal to the company management the commitment and belief the analyst has in the company which, in turn, may influence th</w:t>
      </w:r>
      <w:r w:rsidR="00E65333" w:rsidRPr="000F3CBF">
        <w:rPr>
          <w:sz w:val="20"/>
          <w:szCs w:val="20"/>
        </w:rPr>
        <w:t>e SEO underwriting assignment.</w:t>
      </w:r>
      <w:r w:rsidR="00C659E1">
        <w:rPr>
          <w:sz w:val="20"/>
          <w:szCs w:val="20"/>
        </w:rPr>
        <w:t xml:space="preserve">  </w:t>
      </w:r>
      <w:r w:rsidR="00C659E1" w:rsidRPr="000F3CBF">
        <w:rPr>
          <w:sz w:val="20"/>
          <w:szCs w:val="20"/>
        </w:rPr>
        <w:t>To facilitate the implementation of the two-stage model, it is run on a pooled basis.  The first stage model is solved by maximum likelihood.  A Wald test rejects the independence of the two equation’s error terms, at a 10% significance level, thereby providing some support for the need to control for the fact that ownership is a choice variable.</w:t>
      </w:r>
    </w:p>
    <w:p w:rsidR="0037667A" w:rsidRPr="000F3CBF" w:rsidRDefault="00903D89" w:rsidP="00E817C9">
      <w:pPr>
        <w:pStyle w:val="BodyTextIndent"/>
        <w:rPr>
          <w:sz w:val="20"/>
          <w:szCs w:val="20"/>
        </w:rPr>
      </w:pPr>
      <w:r w:rsidRPr="000F3CBF">
        <w:rPr>
          <w:sz w:val="20"/>
          <w:szCs w:val="20"/>
        </w:rPr>
        <w:t xml:space="preserve">In the first stage </w:t>
      </w:r>
      <w:proofErr w:type="spellStart"/>
      <w:r w:rsidRPr="000F3CBF">
        <w:rPr>
          <w:sz w:val="20"/>
          <w:szCs w:val="20"/>
        </w:rPr>
        <w:t>probit</w:t>
      </w:r>
      <w:proofErr w:type="spellEnd"/>
      <w:r w:rsidR="001F17BA" w:rsidRPr="000F3CBF">
        <w:rPr>
          <w:sz w:val="20"/>
          <w:szCs w:val="20"/>
        </w:rPr>
        <w:t xml:space="preserve"> (PANEL A)</w:t>
      </w:r>
      <w:r w:rsidRPr="000F3CBF">
        <w:rPr>
          <w:sz w:val="20"/>
          <w:szCs w:val="20"/>
        </w:rPr>
        <w:t>, the four underwriter variables and the experience variable are all statistica</w:t>
      </w:r>
      <w:r w:rsidR="001F17BA" w:rsidRPr="000F3CBF">
        <w:rPr>
          <w:sz w:val="20"/>
          <w:szCs w:val="20"/>
        </w:rPr>
        <w:t>lly significant.  E</w:t>
      </w:r>
      <w:r w:rsidRPr="000F3CBF">
        <w:rPr>
          <w:sz w:val="20"/>
          <w:szCs w:val="20"/>
        </w:rPr>
        <w:t>xperience and ownership are negatively related</w:t>
      </w:r>
      <w:r w:rsidR="00534F4B" w:rsidRPr="000F3CBF">
        <w:rPr>
          <w:sz w:val="20"/>
          <w:szCs w:val="20"/>
        </w:rPr>
        <w:t>,</w:t>
      </w:r>
      <w:r w:rsidRPr="000F3CBF">
        <w:rPr>
          <w:sz w:val="20"/>
          <w:szCs w:val="20"/>
        </w:rPr>
        <w:t xml:space="preserve"> which suggests that the </w:t>
      </w:r>
      <w:r w:rsidR="001F17BA" w:rsidRPr="000F3CBF">
        <w:rPr>
          <w:sz w:val="20"/>
          <w:szCs w:val="20"/>
        </w:rPr>
        <w:t>less experienced analysts are more likely</w:t>
      </w:r>
      <w:r w:rsidRPr="000F3CBF">
        <w:rPr>
          <w:sz w:val="20"/>
          <w:szCs w:val="20"/>
        </w:rPr>
        <w:t xml:space="preserve"> to own the stock that they c</w:t>
      </w:r>
      <w:r w:rsidR="001F17BA" w:rsidRPr="000F3CBF">
        <w:rPr>
          <w:sz w:val="20"/>
          <w:szCs w:val="20"/>
        </w:rPr>
        <w:t>over.  T</w:t>
      </w:r>
      <w:r w:rsidRPr="000F3CBF">
        <w:rPr>
          <w:sz w:val="20"/>
          <w:szCs w:val="20"/>
        </w:rPr>
        <w:t xml:space="preserve">he </w:t>
      </w:r>
      <w:r w:rsidR="001F17BA" w:rsidRPr="000F3CBF">
        <w:rPr>
          <w:sz w:val="20"/>
          <w:szCs w:val="20"/>
        </w:rPr>
        <w:t xml:space="preserve">underwriter </w:t>
      </w:r>
      <w:r w:rsidRPr="000F3CBF">
        <w:rPr>
          <w:sz w:val="20"/>
          <w:szCs w:val="20"/>
        </w:rPr>
        <w:t xml:space="preserve">results </w:t>
      </w:r>
      <w:r w:rsidR="001F17BA" w:rsidRPr="000F3CBF">
        <w:rPr>
          <w:sz w:val="20"/>
          <w:szCs w:val="20"/>
        </w:rPr>
        <w:t xml:space="preserve">also strongly suggest </w:t>
      </w:r>
      <w:r w:rsidRPr="000F3CBF">
        <w:rPr>
          <w:sz w:val="20"/>
          <w:szCs w:val="20"/>
        </w:rPr>
        <w:t>that there is some association between stock ownership and underwriting</w:t>
      </w:r>
      <w:r w:rsidR="001F17BA" w:rsidRPr="000F3CBF">
        <w:rPr>
          <w:sz w:val="20"/>
          <w:szCs w:val="20"/>
        </w:rPr>
        <w:t xml:space="preserve"> involvement</w:t>
      </w:r>
      <w:r w:rsidRPr="000F3CBF">
        <w:rPr>
          <w:sz w:val="20"/>
          <w:szCs w:val="20"/>
        </w:rPr>
        <w:t>.</w:t>
      </w:r>
    </w:p>
    <w:p w:rsidR="00E65C9B" w:rsidRPr="000F3CBF" w:rsidRDefault="00903D89" w:rsidP="009364E2">
      <w:pPr>
        <w:pStyle w:val="BodyTextIndent"/>
        <w:rPr>
          <w:sz w:val="20"/>
          <w:szCs w:val="20"/>
        </w:rPr>
      </w:pPr>
      <w:r w:rsidRPr="000F3CBF">
        <w:rPr>
          <w:sz w:val="20"/>
          <w:szCs w:val="20"/>
        </w:rPr>
        <w:lastRenderedPageBreak/>
        <w:t>In the second stage regression</w:t>
      </w:r>
      <w:r w:rsidR="001F17BA" w:rsidRPr="000F3CBF">
        <w:rPr>
          <w:sz w:val="20"/>
          <w:szCs w:val="20"/>
        </w:rPr>
        <w:t xml:space="preserve"> (PANEL B)</w:t>
      </w:r>
      <w:r w:rsidRPr="000F3CBF">
        <w:rPr>
          <w:sz w:val="20"/>
          <w:szCs w:val="20"/>
        </w:rPr>
        <w:t>,</w:t>
      </w:r>
      <w:r w:rsidR="00263964" w:rsidRPr="000F3CBF">
        <w:rPr>
          <w:sz w:val="20"/>
          <w:szCs w:val="20"/>
        </w:rPr>
        <w:t xml:space="preserve"> consistent with results shown in </w:t>
      </w:r>
      <w:r w:rsidR="00E817C9" w:rsidRPr="000F3CBF">
        <w:rPr>
          <w:sz w:val="20"/>
          <w:szCs w:val="20"/>
        </w:rPr>
        <w:t>Table 4</w:t>
      </w:r>
      <w:r w:rsidR="00534F4B" w:rsidRPr="000F3CBF">
        <w:rPr>
          <w:sz w:val="20"/>
          <w:szCs w:val="20"/>
        </w:rPr>
        <w:t>,</w:t>
      </w:r>
      <w:r w:rsidRPr="000F3CBF">
        <w:rPr>
          <w:sz w:val="20"/>
          <w:szCs w:val="20"/>
        </w:rPr>
        <w:t xml:space="preserve"> the own</w:t>
      </w:r>
      <w:r w:rsidR="00263964" w:rsidRPr="000F3CBF">
        <w:rPr>
          <w:sz w:val="20"/>
          <w:szCs w:val="20"/>
        </w:rPr>
        <w:t>ership v</w:t>
      </w:r>
      <w:r w:rsidR="00534F4B" w:rsidRPr="000F3CBF">
        <w:rPr>
          <w:sz w:val="20"/>
          <w:szCs w:val="20"/>
        </w:rPr>
        <w:t>ariable</w:t>
      </w:r>
      <w:r w:rsidRPr="000F3CBF">
        <w:rPr>
          <w:sz w:val="20"/>
          <w:szCs w:val="20"/>
        </w:rPr>
        <w:t xml:space="preserve"> is negative and significant.  The significance of the coefficient, however, is likely overstated due to cross-sectional dependence</w:t>
      </w:r>
      <w:r w:rsidR="00534F4B" w:rsidRPr="000F3CBF">
        <w:rPr>
          <w:sz w:val="20"/>
          <w:szCs w:val="20"/>
        </w:rPr>
        <w:t>,</w:t>
      </w:r>
      <w:r w:rsidRPr="000F3CBF">
        <w:rPr>
          <w:sz w:val="20"/>
          <w:szCs w:val="20"/>
        </w:rPr>
        <w:t xml:space="preserve"> since there a</w:t>
      </w:r>
      <w:r w:rsidR="00534F4B" w:rsidRPr="000F3CBF">
        <w:rPr>
          <w:sz w:val="20"/>
          <w:szCs w:val="20"/>
        </w:rPr>
        <w:t>re</w:t>
      </w:r>
      <w:r w:rsidRPr="000F3CBF">
        <w:rPr>
          <w:sz w:val="20"/>
          <w:szCs w:val="20"/>
        </w:rPr>
        <w:t xml:space="preserve"> multiple quarterly observations by the same analyst.  </w:t>
      </w:r>
      <w:r w:rsidR="00C659E1">
        <w:rPr>
          <w:sz w:val="20"/>
          <w:szCs w:val="20"/>
        </w:rPr>
        <w:t>The support for this conjecture is t</w:t>
      </w:r>
      <w:r w:rsidRPr="000F3CBF">
        <w:rPr>
          <w:sz w:val="20"/>
          <w:szCs w:val="20"/>
        </w:rPr>
        <w:t xml:space="preserve">he </w:t>
      </w:r>
      <w:r w:rsidR="00E817C9" w:rsidRPr="000F3CBF">
        <w:rPr>
          <w:sz w:val="20"/>
          <w:szCs w:val="20"/>
        </w:rPr>
        <w:t>Table 7</w:t>
      </w:r>
      <w:r w:rsidRPr="000F3CBF">
        <w:rPr>
          <w:sz w:val="20"/>
          <w:szCs w:val="20"/>
        </w:rPr>
        <w:t xml:space="preserve"> </w:t>
      </w:r>
      <w:r w:rsidR="00F37C15">
        <w:rPr>
          <w:sz w:val="20"/>
          <w:szCs w:val="20"/>
        </w:rPr>
        <w:t>control variable results</w:t>
      </w:r>
      <w:r w:rsidRPr="000F3CBF">
        <w:rPr>
          <w:sz w:val="20"/>
          <w:szCs w:val="20"/>
        </w:rPr>
        <w:t xml:space="preserve"> </w:t>
      </w:r>
      <w:r w:rsidR="00C659E1">
        <w:rPr>
          <w:sz w:val="20"/>
          <w:szCs w:val="20"/>
        </w:rPr>
        <w:t xml:space="preserve">which </w:t>
      </w:r>
      <w:r w:rsidRPr="000F3CBF">
        <w:rPr>
          <w:sz w:val="20"/>
          <w:szCs w:val="20"/>
        </w:rPr>
        <w:t>are similar in sign</w:t>
      </w:r>
      <w:r w:rsidR="00C659E1">
        <w:rPr>
          <w:sz w:val="20"/>
          <w:szCs w:val="20"/>
        </w:rPr>
        <w:t xml:space="preserve"> to those of Table 4 but</w:t>
      </w:r>
      <w:r w:rsidRPr="000F3CBF">
        <w:rPr>
          <w:sz w:val="20"/>
          <w:szCs w:val="20"/>
        </w:rPr>
        <w:t xml:space="preserve"> the z-statistics are of greater ma</w:t>
      </w:r>
      <w:r w:rsidR="00C659E1">
        <w:rPr>
          <w:sz w:val="20"/>
          <w:szCs w:val="20"/>
        </w:rPr>
        <w:t>gnitude in</w:t>
      </w:r>
      <w:r w:rsidRPr="000F3CBF">
        <w:rPr>
          <w:sz w:val="20"/>
          <w:szCs w:val="20"/>
        </w:rPr>
        <w:t xml:space="preserve"> </w:t>
      </w:r>
      <w:r w:rsidR="00C659E1">
        <w:rPr>
          <w:sz w:val="20"/>
          <w:szCs w:val="20"/>
        </w:rPr>
        <w:t>Table 7</w:t>
      </w:r>
      <w:r w:rsidRPr="000F3CBF">
        <w:rPr>
          <w:sz w:val="20"/>
          <w:szCs w:val="20"/>
        </w:rPr>
        <w:t xml:space="preserve">.  The only exception is Complexity, the coefficient changes sign from </w:t>
      </w:r>
      <w:r w:rsidR="00E817C9" w:rsidRPr="000F3CBF">
        <w:rPr>
          <w:sz w:val="20"/>
          <w:szCs w:val="20"/>
        </w:rPr>
        <w:t>Table 4</w:t>
      </w:r>
      <w:r w:rsidRPr="000F3CBF">
        <w:rPr>
          <w:sz w:val="20"/>
          <w:szCs w:val="20"/>
        </w:rPr>
        <w:t xml:space="preserve"> to </w:t>
      </w:r>
      <w:r w:rsidR="00E817C9" w:rsidRPr="000F3CBF">
        <w:rPr>
          <w:sz w:val="20"/>
          <w:szCs w:val="20"/>
        </w:rPr>
        <w:t>Table 7</w:t>
      </w:r>
      <w:r w:rsidR="00534F4B" w:rsidRPr="000F3CBF">
        <w:rPr>
          <w:sz w:val="20"/>
          <w:szCs w:val="20"/>
        </w:rPr>
        <w:t>;</w:t>
      </w:r>
      <w:r w:rsidRPr="000F3CBF">
        <w:rPr>
          <w:sz w:val="20"/>
          <w:szCs w:val="20"/>
        </w:rPr>
        <w:t xml:space="preserve"> but it is not significant in </w:t>
      </w:r>
      <w:r w:rsidR="00E817C9" w:rsidRPr="000F3CBF">
        <w:rPr>
          <w:sz w:val="20"/>
          <w:szCs w:val="20"/>
        </w:rPr>
        <w:t>Table 7</w:t>
      </w:r>
      <w:r w:rsidRPr="000F3CBF">
        <w:rPr>
          <w:sz w:val="20"/>
          <w:szCs w:val="20"/>
        </w:rPr>
        <w:t xml:space="preserve">.  The greater statistical significance of most </w:t>
      </w:r>
      <w:r w:rsidR="00D871C5" w:rsidRPr="000F3CBF">
        <w:rPr>
          <w:sz w:val="20"/>
          <w:szCs w:val="20"/>
        </w:rPr>
        <w:t>of the control variables is</w:t>
      </w:r>
      <w:r w:rsidRPr="000F3CBF">
        <w:rPr>
          <w:sz w:val="20"/>
          <w:szCs w:val="20"/>
        </w:rPr>
        <w:t xml:space="preserve"> likely a function of cross-sectional dependence.  Note</w:t>
      </w:r>
      <w:r w:rsidR="00534F4B" w:rsidRPr="000F3CBF">
        <w:rPr>
          <w:sz w:val="20"/>
          <w:szCs w:val="20"/>
        </w:rPr>
        <w:t xml:space="preserve"> that</w:t>
      </w:r>
      <w:r w:rsidRPr="000F3CBF">
        <w:rPr>
          <w:sz w:val="20"/>
          <w:szCs w:val="20"/>
        </w:rPr>
        <w:t xml:space="preserve"> the experience variable is excluded from the second stage regres</w:t>
      </w:r>
      <w:r w:rsidR="00E65333" w:rsidRPr="000F3CBF">
        <w:rPr>
          <w:sz w:val="20"/>
          <w:szCs w:val="20"/>
        </w:rPr>
        <w:t>sion to ensure identification.</w:t>
      </w:r>
    </w:p>
    <w:p w:rsidR="00E65C9B" w:rsidRPr="000F3CBF" w:rsidRDefault="00E65C9B" w:rsidP="00E65C9B">
      <w:pPr>
        <w:pStyle w:val="BodyTextIndent"/>
        <w:rPr>
          <w:sz w:val="20"/>
          <w:szCs w:val="20"/>
        </w:rPr>
      </w:pPr>
      <w:r w:rsidRPr="000F3CBF">
        <w:rPr>
          <w:sz w:val="20"/>
          <w:szCs w:val="20"/>
        </w:rPr>
        <w:t xml:space="preserve">The results of implementing a </w:t>
      </w:r>
      <w:proofErr w:type="spellStart"/>
      <w:r w:rsidRPr="000F3CBF">
        <w:rPr>
          <w:sz w:val="20"/>
          <w:szCs w:val="20"/>
        </w:rPr>
        <w:t>bivariate</w:t>
      </w:r>
      <w:proofErr w:type="spellEnd"/>
      <w:r w:rsidRPr="000F3CBF">
        <w:rPr>
          <w:sz w:val="20"/>
          <w:szCs w:val="20"/>
        </w:rPr>
        <w:t xml:space="preserve"> selection model on the forecast error equation for the Form 144 sample are inconclusive and </w:t>
      </w:r>
      <w:proofErr w:type="spellStart"/>
      <w:r w:rsidRPr="000F3CBF">
        <w:rPr>
          <w:sz w:val="20"/>
          <w:szCs w:val="20"/>
        </w:rPr>
        <w:t>untabulated</w:t>
      </w:r>
      <w:proofErr w:type="spellEnd"/>
      <w:r w:rsidRPr="000F3CBF">
        <w:rPr>
          <w:sz w:val="20"/>
          <w:szCs w:val="20"/>
        </w:rPr>
        <w:t>.  Although the significance of the owner variable is unchanged after applying the selection model, the results indicate that the first stage of the selection mode</w:t>
      </w:r>
      <w:r w:rsidR="00D83BF0">
        <w:rPr>
          <w:sz w:val="20"/>
          <w:szCs w:val="20"/>
        </w:rPr>
        <w:t>l is a poor predictor of owning-</w:t>
      </w:r>
      <w:r w:rsidRPr="000F3CBF">
        <w:rPr>
          <w:sz w:val="20"/>
          <w:szCs w:val="20"/>
        </w:rPr>
        <w:t>analysts.</w:t>
      </w:r>
    </w:p>
    <w:p w:rsidR="00690DA4" w:rsidRPr="000F3CBF" w:rsidRDefault="00E65C9B" w:rsidP="00CD307D">
      <w:pPr>
        <w:pStyle w:val="BodyTextIndent"/>
        <w:rPr>
          <w:sz w:val="20"/>
          <w:szCs w:val="20"/>
        </w:rPr>
      </w:pPr>
      <w:r w:rsidRPr="000F3CBF">
        <w:rPr>
          <w:sz w:val="20"/>
          <w:szCs w:val="20"/>
        </w:rPr>
        <w:t>The evidence to support</w:t>
      </w:r>
      <w:r w:rsidR="0061160B" w:rsidRPr="000F3CBF">
        <w:rPr>
          <w:sz w:val="20"/>
          <w:szCs w:val="20"/>
        </w:rPr>
        <w:t xml:space="preserve"> an association between analyst forecast optimism and</w:t>
      </w:r>
      <w:r w:rsidRPr="000F3CBF">
        <w:rPr>
          <w:sz w:val="20"/>
          <w:szCs w:val="20"/>
        </w:rPr>
        <w:t xml:space="preserve"> stock ownership in both samples appears to be weak.</w:t>
      </w:r>
      <w:r w:rsidR="00E33F50" w:rsidRPr="000F3CBF">
        <w:rPr>
          <w:sz w:val="20"/>
          <w:szCs w:val="20"/>
        </w:rPr>
        <w:t xml:space="preserve">  The results of the next section provide more conclusive results.</w:t>
      </w:r>
    </w:p>
    <w:p w:rsidR="001742DD" w:rsidRPr="000F3CBF" w:rsidRDefault="000C5D7A" w:rsidP="009364E2">
      <w:pPr>
        <w:pStyle w:val="BodyTextIndent"/>
        <w:ind w:firstLine="0"/>
        <w:rPr>
          <w:i/>
          <w:sz w:val="20"/>
          <w:szCs w:val="20"/>
        </w:rPr>
      </w:pPr>
      <w:r w:rsidRPr="000F3CBF">
        <w:rPr>
          <w:i/>
          <w:sz w:val="20"/>
          <w:szCs w:val="20"/>
        </w:rPr>
        <w:t>4</w:t>
      </w:r>
      <w:r w:rsidR="00903D89" w:rsidRPr="000F3CBF">
        <w:rPr>
          <w:i/>
          <w:sz w:val="20"/>
          <w:szCs w:val="20"/>
        </w:rPr>
        <w:t>.</w:t>
      </w:r>
      <w:r w:rsidR="00B32966">
        <w:rPr>
          <w:i/>
          <w:sz w:val="20"/>
          <w:szCs w:val="20"/>
        </w:rPr>
        <w:t>8</w:t>
      </w:r>
      <w:r w:rsidR="00B07B5D" w:rsidRPr="000F3CBF">
        <w:rPr>
          <w:i/>
          <w:sz w:val="20"/>
          <w:szCs w:val="20"/>
        </w:rPr>
        <w:t>.</w:t>
      </w:r>
      <w:r w:rsidR="00903D89" w:rsidRPr="000F3CBF">
        <w:rPr>
          <w:i/>
          <w:sz w:val="20"/>
          <w:szCs w:val="20"/>
        </w:rPr>
        <w:t xml:space="preserve"> Comparing forecasts - ownership and non-ownership periods – disclosing sample</w:t>
      </w:r>
    </w:p>
    <w:p w:rsidR="00903D89" w:rsidRPr="000F3CBF" w:rsidRDefault="00F0288F" w:rsidP="009549EB">
      <w:pPr>
        <w:pStyle w:val="BodyTextIndent"/>
        <w:rPr>
          <w:sz w:val="20"/>
          <w:szCs w:val="20"/>
        </w:rPr>
      </w:pPr>
      <w:r>
        <w:rPr>
          <w:sz w:val="20"/>
          <w:szCs w:val="20"/>
        </w:rPr>
        <w:t>To comple</w:t>
      </w:r>
      <w:r w:rsidR="00C439F1" w:rsidRPr="000F3CBF">
        <w:rPr>
          <w:sz w:val="20"/>
          <w:szCs w:val="20"/>
        </w:rPr>
        <w:t xml:space="preserve">ment the selection model results, </w:t>
      </w:r>
      <w:r w:rsidR="00C659E1">
        <w:rPr>
          <w:sz w:val="20"/>
          <w:szCs w:val="20"/>
        </w:rPr>
        <w:t xml:space="preserve">holding the sample of companies constant, </w:t>
      </w:r>
      <w:r w:rsidR="0046012F" w:rsidRPr="000F3CBF">
        <w:rPr>
          <w:sz w:val="20"/>
          <w:szCs w:val="20"/>
        </w:rPr>
        <w:t xml:space="preserve">I </w:t>
      </w:r>
      <w:r w:rsidR="00C439F1" w:rsidRPr="000F3CBF">
        <w:rPr>
          <w:sz w:val="20"/>
          <w:szCs w:val="20"/>
        </w:rPr>
        <w:t>explore owner reporting during periods of non-ownership</w:t>
      </w:r>
      <w:r w:rsidR="009549EB" w:rsidRPr="000F3CBF">
        <w:rPr>
          <w:sz w:val="20"/>
          <w:szCs w:val="20"/>
        </w:rPr>
        <w:t>, either before or after the stock ownership period,</w:t>
      </w:r>
      <w:r w:rsidR="00C439F1" w:rsidRPr="000F3CBF">
        <w:rPr>
          <w:sz w:val="20"/>
          <w:szCs w:val="20"/>
        </w:rPr>
        <w:t xml:space="preserve"> </w:t>
      </w:r>
      <w:r w:rsidR="009549EB" w:rsidRPr="000F3CBF">
        <w:rPr>
          <w:sz w:val="20"/>
          <w:szCs w:val="20"/>
        </w:rPr>
        <w:t xml:space="preserve">relative </w:t>
      </w:r>
      <w:r w:rsidR="00C439F1" w:rsidRPr="000F3CBF">
        <w:rPr>
          <w:sz w:val="20"/>
          <w:szCs w:val="20"/>
        </w:rPr>
        <w:t>to periods of ownership</w:t>
      </w:r>
      <w:r w:rsidR="007C0986" w:rsidRPr="000F3CBF">
        <w:rPr>
          <w:sz w:val="20"/>
          <w:szCs w:val="20"/>
        </w:rPr>
        <w:t>.</w:t>
      </w:r>
      <w:r w:rsidR="00C439F1" w:rsidRPr="000F3CBF">
        <w:rPr>
          <w:sz w:val="20"/>
          <w:szCs w:val="20"/>
        </w:rPr>
        <w:t xml:space="preserve">  </w:t>
      </w:r>
      <w:r w:rsidR="00C659E1">
        <w:rPr>
          <w:sz w:val="20"/>
          <w:szCs w:val="20"/>
        </w:rPr>
        <w:t xml:space="preserve">Using this </w:t>
      </w:r>
      <w:r w:rsidR="009549EB" w:rsidRPr="000F3CBF">
        <w:rPr>
          <w:sz w:val="20"/>
          <w:szCs w:val="20"/>
        </w:rPr>
        <w:t>exp</w:t>
      </w:r>
      <w:r w:rsidR="00C659E1">
        <w:rPr>
          <w:sz w:val="20"/>
          <w:szCs w:val="20"/>
        </w:rPr>
        <w:t xml:space="preserve">anded sample I </w:t>
      </w:r>
      <w:r w:rsidR="00903D89" w:rsidRPr="000F3CBF">
        <w:rPr>
          <w:sz w:val="20"/>
          <w:szCs w:val="20"/>
        </w:rPr>
        <w:t xml:space="preserve">supplement the </w:t>
      </w:r>
      <w:r w:rsidR="00E817C9" w:rsidRPr="000F3CBF">
        <w:rPr>
          <w:sz w:val="20"/>
          <w:szCs w:val="20"/>
        </w:rPr>
        <w:t>Table 4</w:t>
      </w:r>
      <w:r w:rsidR="00B441ED" w:rsidRPr="000F3CBF">
        <w:rPr>
          <w:sz w:val="20"/>
          <w:szCs w:val="20"/>
        </w:rPr>
        <w:t xml:space="preserve"> </w:t>
      </w:r>
      <w:r w:rsidR="00903D89" w:rsidRPr="000F3CBF">
        <w:rPr>
          <w:sz w:val="20"/>
          <w:szCs w:val="20"/>
        </w:rPr>
        <w:t>regression specification with two additional dummy variables.  The first</w:t>
      </w:r>
      <w:r w:rsidR="00CC4E4F" w:rsidRPr="000F3CBF">
        <w:rPr>
          <w:sz w:val="20"/>
          <w:szCs w:val="20"/>
        </w:rPr>
        <w:t>, Non-</w:t>
      </w:r>
      <w:r w:rsidR="005A2791" w:rsidRPr="000F3CBF">
        <w:rPr>
          <w:sz w:val="20"/>
          <w:szCs w:val="20"/>
        </w:rPr>
        <w:t>Owning Period,</w:t>
      </w:r>
      <w:r w:rsidR="00903D89" w:rsidRPr="000F3CBF">
        <w:rPr>
          <w:sz w:val="20"/>
          <w:szCs w:val="20"/>
        </w:rPr>
        <w:t xml:space="preserve"> is an intercept term that controls for all forecasts during the non-stock-ownership period.  The second</w:t>
      </w:r>
      <w:r w:rsidR="00CC4E4F" w:rsidRPr="000F3CBF">
        <w:rPr>
          <w:sz w:val="20"/>
          <w:szCs w:val="20"/>
        </w:rPr>
        <w:t>, Owning-analyst-non-owning period</w:t>
      </w:r>
      <w:r w:rsidR="005A2791" w:rsidRPr="000F3CBF">
        <w:rPr>
          <w:sz w:val="20"/>
          <w:szCs w:val="20"/>
        </w:rPr>
        <w:t>,</w:t>
      </w:r>
      <w:r w:rsidR="00903D89" w:rsidRPr="000F3CBF">
        <w:rPr>
          <w:sz w:val="20"/>
          <w:szCs w:val="20"/>
        </w:rPr>
        <w:t xml:space="preserve"> measures the </w:t>
      </w:r>
      <w:r w:rsidR="001742DD" w:rsidRPr="000F3CBF">
        <w:rPr>
          <w:sz w:val="20"/>
          <w:szCs w:val="20"/>
        </w:rPr>
        <w:t>owning analysts’</w:t>
      </w:r>
      <w:r w:rsidR="00903D89" w:rsidRPr="000F3CBF">
        <w:rPr>
          <w:sz w:val="20"/>
          <w:szCs w:val="20"/>
        </w:rPr>
        <w:t xml:space="preserve"> average forecast bias during the non-treatment period (periods during which they do not own).  By comparing the</w:t>
      </w:r>
      <w:r w:rsidR="00F37C15">
        <w:rPr>
          <w:sz w:val="20"/>
          <w:szCs w:val="20"/>
        </w:rPr>
        <w:t xml:space="preserve"> sign,</w:t>
      </w:r>
      <w:r w:rsidR="00903D89" w:rsidRPr="000F3CBF">
        <w:rPr>
          <w:sz w:val="20"/>
          <w:szCs w:val="20"/>
        </w:rPr>
        <w:t xml:space="preserve"> magni</w:t>
      </w:r>
      <w:r w:rsidR="00F37C15">
        <w:rPr>
          <w:sz w:val="20"/>
          <w:szCs w:val="20"/>
        </w:rPr>
        <w:t xml:space="preserve">tude </w:t>
      </w:r>
      <w:r w:rsidR="00903D89" w:rsidRPr="000F3CBF">
        <w:rPr>
          <w:sz w:val="20"/>
          <w:szCs w:val="20"/>
        </w:rPr>
        <w:t>and</w:t>
      </w:r>
      <w:r w:rsidR="00B441ED" w:rsidRPr="000F3CBF">
        <w:rPr>
          <w:sz w:val="20"/>
          <w:szCs w:val="20"/>
        </w:rPr>
        <w:t xml:space="preserve"> significance of the two owner</w:t>
      </w:r>
      <w:r w:rsidR="00903D89" w:rsidRPr="000F3CBF">
        <w:rPr>
          <w:sz w:val="20"/>
          <w:szCs w:val="20"/>
        </w:rPr>
        <w:t xml:space="preserve"> dummy variables</w:t>
      </w:r>
      <w:r w:rsidR="00C46080" w:rsidRPr="000F3CBF">
        <w:rPr>
          <w:sz w:val="20"/>
          <w:szCs w:val="20"/>
        </w:rPr>
        <w:t xml:space="preserve"> (ownership and non-ownership)</w:t>
      </w:r>
      <w:r w:rsidR="00903D89" w:rsidRPr="000F3CBF">
        <w:rPr>
          <w:sz w:val="20"/>
          <w:szCs w:val="20"/>
        </w:rPr>
        <w:t xml:space="preserve">, I assess whether stock ownership </w:t>
      </w:r>
      <w:r w:rsidR="00F37C15">
        <w:rPr>
          <w:sz w:val="20"/>
          <w:szCs w:val="20"/>
        </w:rPr>
        <w:t>is an explanation for</w:t>
      </w:r>
      <w:r w:rsidR="00903D89" w:rsidRPr="000F3CBF">
        <w:rPr>
          <w:sz w:val="20"/>
          <w:szCs w:val="20"/>
        </w:rPr>
        <w:t xml:space="preserve"> analyst optimism.</w:t>
      </w:r>
    </w:p>
    <w:p w:rsidR="0037667A" w:rsidRPr="000F3CBF" w:rsidRDefault="00E817C9" w:rsidP="00E817C9">
      <w:pPr>
        <w:pStyle w:val="BodyTextIndent"/>
        <w:rPr>
          <w:sz w:val="20"/>
          <w:szCs w:val="20"/>
        </w:rPr>
      </w:pPr>
      <w:r w:rsidRPr="000F3CBF">
        <w:rPr>
          <w:sz w:val="20"/>
          <w:szCs w:val="20"/>
        </w:rPr>
        <w:t>Table 8</w:t>
      </w:r>
      <w:r w:rsidR="00655B00" w:rsidRPr="000F3CBF">
        <w:rPr>
          <w:sz w:val="20"/>
          <w:szCs w:val="20"/>
        </w:rPr>
        <w:t xml:space="preserve"> presents the results.  Relative to Table 4,</w:t>
      </w:r>
      <w:r w:rsidR="00903D89" w:rsidRPr="000F3CBF">
        <w:rPr>
          <w:sz w:val="20"/>
          <w:szCs w:val="20"/>
        </w:rPr>
        <w:t xml:space="preserve"> it is clear that the magnitude and significance of all the variables are similar across the two tables.  Moreover, although it is positive, the new intercept term that captures the incremental difference in bias during the non-stock-ownership period is </w:t>
      </w:r>
      <w:r w:rsidR="005135EE" w:rsidRPr="000F3CBF">
        <w:rPr>
          <w:sz w:val="20"/>
          <w:szCs w:val="20"/>
        </w:rPr>
        <w:t xml:space="preserve">not </w:t>
      </w:r>
      <w:r w:rsidR="00E65333" w:rsidRPr="000F3CBF">
        <w:rPr>
          <w:sz w:val="20"/>
          <w:szCs w:val="20"/>
        </w:rPr>
        <w:t>statistically significant.</w:t>
      </w:r>
    </w:p>
    <w:p w:rsidR="00903D89" w:rsidRPr="000F3CBF" w:rsidRDefault="00903D89" w:rsidP="009364E2">
      <w:pPr>
        <w:pStyle w:val="BodyTextIndent"/>
        <w:rPr>
          <w:sz w:val="20"/>
          <w:szCs w:val="20"/>
        </w:rPr>
      </w:pPr>
      <w:r w:rsidRPr="000F3CBF">
        <w:rPr>
          <w:sz w:val="20"/>
          <w:szCs w:val="20"/>
        </w:rPr>
        <w:lastRenderedPageBreak/>
        <w:t>The primary var</w:t>
      </w:r>
      <w:r w:rsidR="00C46080" w:rsidRPr="000F3CBF">
        <w:rPr>
          <w:sz w:val="20"/>
          <w:szCs w:val="20"/>
        </w:rPr>
        <w:t xml:space="preserve">iables of interest are the two </w:t>
      </w:r>
      <w:r w:rsidRPr="000F3CBF">
        <w:rPr>
          <w:sz w:val="20"/>
          <w:szCs w:val="20"/>
        </w:rPr>
        <w:t>o</w:t>
      </w:r>
      <w:r w:rsidR="00C46080" w:rsidRPr="000F3CBF">
        <w:rPr>
          <w:sz w:val="20"/>
          <w:szCs w:val="20"/>
        </w:rPr>
        <w:t>wner</w:t>
      </w:r>
      <w:r w:rsidRPr="000F3CBF">
        <w:rPr>
          <w:sz w:val="20"/>
          <w:szCs w:val="20"/>
        </w:rPr>
        <w:t xml:space="preserve"> variables.  As in </w:t>
      </w:r>
      <w:r w:rsidR="00E817C9" w:rsidRPr="000F3CBF">
        <w:rPr>
          <w:sz w:val="20"/>
          <w:szCs w:val="20"/>
        </w:rPr>
        <w:t>Table 4</w:t>
      </w:r>
      <w:r w:rsidRPr="000F3CBF">
        <w:rPr>
          <w:sz w:val="20"/>
          <w:szCs w:val="20"/>
        </w:rPr>
        <w:t>, stock-owning analyst forecasts during the period that they own the stock are optimisti</w:t>
      </w:r>
      <w:r w:rsidR="00443255" w:rsidRPr="000F3CBF">
        <w:rPr>
          <w:sz w:val="20"/>
          <w:szCs w:val="20"/>
        </w:rPr>
        <w:t>c.  The coefficient on the OWN</w:t>
      </w:r>
      <w:r w:rsidRPr="000F3CBF">
        <w:rPr>
          <w:sz w:val="20"/>
          <w:szCs w:val="20"/>
        </w:rPr>
        <w:t xml:space="preserve"> variable is -0.0008 and is statistically significant.  The contrast of interest is the forecast error for </w:t>
      </w:r>
      <w:r w:rsidR="0061160B" w:rsidRPr="000F3CBF">
        <w:rPr>
          <w:sz w:val="20"/>
          <w:szCs w:val="20"/>
        </w:rPr>
        <w:t>the period during which the</w:t>
      </w:r>
      <w:r w:rsidRPr="000F3CBF">
        <w:rPr>
          <w:sz w:val="20"/>
          <w:szCs w:val="20"/>
        </w:rPr>
        <w:t xml:space="preserve"> analyst</w:t>
      </w:r>
      <w:r w:rsidR="005A2791" w:rsidRPr="000F3CBF">
        <w:rPr>
          <w:sz w:val="20"/>
          <w:szCs w:val="20"/>
        </w:rPr>
        <w:t>s</w:t>
      </w:r>
      <w:r w:rsidR="0061160B" w:rsidRPr="000F3CBF">
        <w:rPr>
          <w:sz w:val="20"/>
          <w:szCs w:val="20"/>
        </w:rPr>
        <w:t xml:space="preserve"> do</w:t>
      </w:r>
      <w:r w:rsidRPr="000F3CBF">
        <w:rPr>
          <w:sz w:val="20"/>
          <w:szCs w:val="20"/>
        </w:rPr>
        <w:t xml:space="preserve"> not own the sto</w:t>
      </w:r>
      <w:r w:rsidR="005A2791" w:rsidRPr="000F3CBF">
        <w:rPr>
          <w:sz w:val="20"/>
          <w:szCs w:val="20"/>
        </w:rPr>
        <w:t>ck.  T</w:t>
      </w:r>
      <w:r w:rsidR="00D83BF0">
        <w:rPr>
          <w:sz w:val="20"/>
          <w:szCs w:val="20"/>
        </w:rPr>
        <w:t>he results show that the owning-</w:t>
      </w:r>
      <w:r w:rsidR="005A2791" w:rsidRPr="000F3CBF">
        <w:rPr>
          <w:sz w:val="20"/>
          <w:szCs w:val="20"/>
        </w:rPr>
        <w:t>analysts are optimistic</w:t>
      </w:r>
      <w:r w:rsidRPr="000F3CBF">
        <w:rPr>
          <w:sz w:val="20"/>
          <w:szCs w:val="20"/>
        </w:rPr>
        <w:t xml:space="preserve"> even during the period of non-owne</w:t>
      </w:r>
      <w:r w:rsidR="005A2791" w:rsidRPr="000F3CBF">
        <w:rPr>
          <w:sz w:val="20"/>
          <w:szCs w:val="20"/>
        </w:rPr>
        <w:t xml:space="preserve">rship.  The coefficient on the </w:t>
      </w:r>
      <w:r w:rsidRPr="000F3CBF">
        <w:rPr>
          <w:sz w:val="20"/>
          <w:szCs w:val="20"/>
        </w:rPr>
        <w:t>Own</w:t>
      </w:r>
      <w:r w:rsidR="00D83BF0">
        <w:rPr>
          <w:sz w:val="20"/>
          <w:szCs w:val="20"/>
        </w:rPr>
        <w:t>ing-analyst–</w:t>
      </w:r>
      <w:r w:rsidR="00534F4B" w:rsidRPr="000F3CBF">
        <w:rPr>
          <w:sz w:val="20"/>
          <w:szCs w:val="20"/>
        </w:rPr>
        <w:t>non-</w:t>
      </w:r>
      <w:r w:rsidR="005A2791" w:rsidRPr="000F3CBF">
        <w:rPr>
          <w:sz w:val="20"/>
          <w:szCs w:val="20"/>
        </w:rPr>
        <w:t>owning period</w:t>
      </w:r>
      <w:r w:rsidRPr="000F3CBF">
        <w:rPr>
          <w:sz w:val="20"/>
          <w:szCs w:val="20"/>
        </w:rPr>
        <w:t xml:space="preserve"> variable is -0.0007, and is statistically significant.  An F-test rejects that both coefficients are zero. </w:t>
      </w:r>
      <w:r w:rsidR="00CD307D" w:rsidRPr="000F3CBF">
        <w:rPr>
          <w:sz w:val="20"/>
          <w:szCs w:val="20"/>
        </w:rPr>
        <w:t xml:space="preserve"> </w:t>
      </w:r>
      <w:r w:rsidRPr="000F3CBF">
        <w:rPr>
          <w:sz w:val="20"/>
          <w:szCs w:val="20"/>
        </w:rPr>
        <w:t>However, a second F-t</w:t>
      </w:r>
      <w:r w:rsidR="00443255" w:rsidRPr="000F3CBF">
        <w:rPr>
          <w:sz w:val="20"/>
          <w:szCs w:val="20"/>
        </w:rPr>
        <w:t>est cannot reject that the two owner</w:t>
      </w:r>
      <w:r w:rsidRPr="000F3CBF">
        <w:rPr>
          <w:sz w:val="20"/>
          <w:szCs w:val="20"/>
        </w:rPr>
        <w:t xml:space="preserve"> coefficients are equal.</w:t>
      </w:r>
    </w:p>
    <w:p w:rsidR="00C52EFD" w:rsidRPr="000F3CBF" w:rsidRDefault="001D2A1B" w:rsidP="00C52EFD">
      <w:pPr>
        <w:pStyle w:val="BodyTextIndent"/>
        <w:rPr>
          <w:sz w:val="20"/>
          <w:szCs w:val="20"/>
        </w:rPr>
      </w:pPr>
      <w:r>
        <w:rPr>
          <w:sz w:val="20"/>
          <w:szCs w:val="20"/>
        </w:rPr>
        <w:t xml:space="preserve">Finally, </w:t>
      </w:r>
      <w:r w:rsidR="00C52EFD" w:rsidRPr="000F3CBF">
        <w:rPr>
          <w:sz w:val="20"/>
          <w:szCs w:val="20"/>
        </w:rPr>
        <w:t>I also perform a within-analyst analysis (See Section 3.3) on the earnings</w:t>
      </w:r>
      <w:r w:rsidR="00D83BF0">
        <w:rPr>
          <w:sz w:val="20"/>
          <w:szCs w:val="20"/>
        </w:rPr>
        <w:t xml:space="preserve"> forecasts of disclosing owning-</w:t>
      </w:r>
      <w:r w:rsidR="00C52EFD" w:rsidRPr="000F3CBF">
        <w:rPr>
          <w:sz w:val="20"/>
          <w:szCs w:val="20"/>
        </w:rPr>
        <w:t xml:space="preserve">analysts using themselves as control observations.  In </w:t>
      </w:r>
      <w:proofErr w:type="spellStart"/>
      <w:r w:rsidR="00C52EFD" w:rsidRPr="000F3CBF">
        <w:rPr>
          <w:sz w:val="20"/>
          <w:szCs w:val="20"/>
        </w:rPr>
        <w:t>untabulated</w:t>
      </w:r>
      <w:proofErr w:type="spellEnd"/>
      <w:r w:rsidR="00C52EFD" w:rsidRPr="000F3CBF">
        <w:rPr>
          <w:sz w:val="20"/>
          <w:szCs w:val="20"/>
        </w:rPr>
        <w:t xml:space="preserve"> results, I find that analyst forecast optimism is greater in the stocks that they own, versus those that they do not own.  However, the difference is not statistica</w:t>
      </w:r>
      <w:r w:rsidR="00CE7199">
        <w:rPr>
          <w:sz w:val="20"/>
          <w:szCs w:val="20"/>
        </w:rPr>
        <w:t>lly significant</w:t>
      </w:r>
      <w:r w:rsidR="00C52EFD" w:rsidRPr="000F3CBF">
        <w:rPr>
          <w:sz w:val="20"/>
          <w:szCs w:val="20"/>
        </w:rPr>
        <w:t>.</w:t>
      </w:r>
    </w:p>
    <w:p w:rsidR="005F0E39" w:rsidRDefault="00655B00" w:rsidP="00241757">
      <w:pPr>
        <w:spacing w:line="480" w:lineRule="auto"/>
        <w:ind w:firstLine="360"/>
        <w:rPr>
          <w:sz w:val="20"/>
          <w:szCs w:val="20"/>
        </w:rPr>
      </w:pPr>
      <w:r w:rsidRPr="000F3CBF">
        <w:rPr>
          <w:sz w:val="20"/>
          <w:szCs w:val="20"/>
        </w:rPr>
        <w:t>The resu</w:t>
      </w:r>
      <w:r w:rsidR="009549EB" w:rsidRPr="000F3CBF">
        <w:rPr>
          <w:sz w:val="20"/>
          <w:szCs w:val="20"/>
        </w:rPr>
        <w:t xml:space="preserve">lts </w:t>
      </w:r>
      <w:r w:rsidR="005F0E39" w:rsidRPr="000F3CBF">
        <w:rPr>
          <w:sz w:val="20"/>
          <w:szCs w:val="20"/>
        </w:rPr>
        <w:t>suggest that the cross-sectional forecast optimism found in the initial regression on Table 4</w:t>
      </w:r>
      <w:r w:rsidR="009549EB" w:rsidRPr="000F3CBF">
        <w:rPr>
          <w:sz w:val="20"/>
          <w:szCs w:val="20"/>
        </w:rPr>
        <w:t xml:space="preserve"> for the disclosing sample</w:t>
      </w:r>
      <w:r w:rsidR="005F0E39" w:rsidRPr="000F3CBF">
        <w:rPr>
          <w:sz w:val="20"/>
          <w:szCs w:val="20"/>
        </w:rPr>
        <w:t xml:space="preserve"> is the norm for this group of analysts and is not associated with their ownership status. </w:t>
      </w:r>
      <w:r w:rsidRPr="000F3CBF">
        <w:rPr>
          <w:sz w:val="20"/>
          <w:szCs w:val="20"/>
        </w:rPr>
        <w:t xml:space="preserve"> </w:t>
      </w:r>
      <w:r w:rsidR="004F20DB" w:rsidRPr="000F3CBF">
        <w:rPr>
          <w:sz w:val="20"/>
          <w:szCs w:val="20"/>
        </w:rPr>
        <w:t>Analyst attempts</w:t>
      </w:r>
      <w:r w:rsidR="00241757" w:rsidRPr="000F3CBF">
        <w:rPr>
          <w:sz w:val="20"/>
          <w:szCs w:val="20"/>
        </w:rPr>
        <w:t xml:space="preserve"> to curry favor with company management</w:t>
      </w:r>
      <w:r w:rsidR="004F20DB" w:rsidRPr="000F3CBF">
        <w:rPr>
          <w:sz w:val="20"/>
          <w:szCs w:val="20"/>
        </w:rPr>
        <w:t xml:space="preserve"> by issuing</w:t>
      </w:r>
      <w:r w:rsidR="00241757" w:rsidRPr="000F3CBF">
        <w:rPr>
          <w:sz w:val="20"/>
          <w:szCs w:val="20"/>
        </w:rPr>
        <w:t xml:space="preserve"> </w:t>
      </w:r>
      <w:r w:rsidR="004F20DB" w:rsidRPr="000F3CBF">
        <w:rPr>
          <w:sz w:val="20"/>
          <w:szCs w:val="20"/>
        </w:rPr>
        <w:t xml:space="preserve">optimistic </w:t>
      </w:r>
      <w:r w:rsidR="00241757" w:rsidRPr="000F3CBF">
        <w:rPr>
          <w:sz w:val="20"/>
          <w:szCs w:val="20"/>
        </w:rPr>
        <w:t>earnings forecast</w:t>
      </w:r>
      <w:r w:rsidR="004F20DB" w:rsidRPr="000F3CBF">
        <w:rPr>
          <w:sz w:val="20"/>
          <w:szCs w:val="20"/>
        </w:rPr>
        <w:t>s</w:t>
      </w:r>
      <w:r w:rsidR="00241757" w:rsidRPr="000F3CBF">
        <w:rPr>
          <w:sz w:val="20"/>
          <w:szCs w:val="20"/>
        </w:rPr>
        <w:t xml:space="preserve"> to obtain</w:t>
      </w:r>
      <w:r w:rsidR="004F20DB" w:rsidRPr="000F3CBF">
        <w:rPr>
          <w:sz w:val="20"/>
          <w:szCs w:val="20"/>
        </w:rPr>
        <w:t xml:space="preserve"> inside</w:t>
      </w:r>
      <w:r w:rsidR="00241757" w:rsidRPr="000F3CBF">
        <w:rPr>
          <w:sz w:val="20"/>
          <w:szCs w:val="20"/>
        </w:rPr>
        <w:t xml:space="preserve"> information is supported by ex-ante research (Francis and </w:t>
      </w:r>
      <w:proofErr w:type="spellStart"/>
      <w:r w:rsidR="00241757" w:rsidRPr="000F3CBF">
        <w:rPr>
          <w:sz w:val="20"/>
          <w:szCs w:val="20"/>
        </w:rPr>
        <w:t>Philbrick</w:t>
      </w:r>
      <w:proofErr w:type="spellEnd"/>
      <w:r w:rsidR="00241757" w:rsidRPr="000F3CBF">
        <w:rPr>
          <w:sz w:val="20"/>
          <w:szCs w:val="20"/>
        </w:rPr>
        <w:t xml:space="preserve">, 1993; Das, Levine and </w:t>
      </w:r>
      <w:proofErr w:type="spellStart"/>
      <w:r w:rsidR="00241757" w:rsidRPr="000F3CBF">
        <w:rPr>
          <w:sz w:val="20"/>
          <w:szCs w:val="20"/>
        </w:rPr>
        <w:t>Sivaramakrishnan</w:t>
      </w:r>
      <w:proofErr w:type="spellEnd"/>
      <w:r w:rsidR="00241757" w:rsidRPr="000F3CBF">
        <w:rPr>
          <w:sz w:val="20"/>
          <w:szCs w:val="20"/>
        </w:rPr>
        <w:t xml:space="preserve">, 1998; Lim, 2001 and </w:t>
      </w:r>
      <w:proofErr w:type="spellStart"/>
      <w:r w:rsidR="00241757" w:rsidRPr="000F3CBF">
        <w:rPr>
          <w:sz w:val="20"/>
          <w:szCs w:val="20"/>
        </w:rPr>
        <w:t>Ke</w:t>
      </w:r>
      <w:proofErr w:type="spellEnd"/>
      <w:r w:rsidR="00241757" w:rsidRPr="000F3CBF">
        <w:rPr>
          <w:sz w:val="20"/>
          <w:szCs w:val="20"/>
        </w:rPr>
        <w:t xml:space="preserve"> and Yu, 2006).  </w:t>
      </w:r>
      <w:r w:rsidR="00E33F50" w:rsidRPr="000F3CBF">
        <w:rPr>
          <w:sz w:val="20"/>
          <w:szCs w:val="20"/>
        </w:rPr>
        <w:t>Overall, I find</w:t>
      </w:r>
      <w:r w:rsidR="009549EB" w:rsidRPr="000F3CBF">
        <w:rPr>
          <w:sz w:val="20"/>
          <w:szCs w:val="20"/>
        </w:rPr>
        <w:t xml:space="preserve"> no robust evidence of an effect of </w:t>
      </w:r>
      <w:r w:rsidR="00050422" w:rsidRPr="000F3CBF">
        <w:rPr>
          <w:sz w:val="20"/>
          <w:szCs w:val="20"/>
        </w:rPr>
        <w:t xml:space="preserve">stock </w:t>
      </w:r>
      <w:r w:rsidR="009549EB" w:rsidRPr="000F3CBF">
        <w:rPr>
          <w:sz w:val="20"/>
          <w:szCs w:val="20"/>
        </w:rPr>
        <w:t>ownership on analyst earnings forecasts.</w:t>
      </w:r>
    </w:p>
    <w:p w:rsidR="00F37C15" w:rsidRPr="000F3CBF" w:rsidRDefault="00F37C15" w:rsidP="00241757">
      <w:pPr>
        <w:spacing w:line="480" w:lineRule="auto"/>
        <w:ind w:firstLine="360"/>
        <w:rPr>
          <w:sz w:val="20"/>
          <w:szCs w:val="20"/>
        </w:rPr>
      </w:pPr>
    </w:p>
    <w:p w:rsidR="00205AEB" w:rsidRPr="000F3CBF" w:rsidRDefault="000C5D7A" w:rsidP="000C5D7A">
      <w:pPr>
        <w:pStyle w:val="BodyTextIndent"/>
        <w:ind w:firstLine="0"/>
        <w:rPr>
          <w:b/>
          <w:sz w:val="20"/>
          <w:szCs w:val="20"/>
        </w:rPr>
      </w:pPr>
      <w:r w:rsidRPr="000F3CBF">
        <w:rPr>
          <w:b/>
          <w:sz w:val="20"/>
          <w:szCs w:val="20"/>
        </w:rPr>
        <w:t>5</w:t>
      </w:r>
      <w:r w:rsidR="00903D89" w:rsidRPr="000F3CBF">
        <w:rPr>
          <w:b/>
          <w:sz w:val="20"/>
          <w:szCs w:val="20"/>
        </w:rPr>
        <w:t xml:space="preserve">. </w:t>
      </w:r>
      <w:r w:rsidR="00B07B5D" w:rsidRPr="000F3CBF">
        <w:rPr>
          <w:b/>
          <w:sz w:val="20"/>
          <w:szCs w:val="20"/>
        </w:rPr>
        <w:t xml:space="preserve"> </w:t>
      </w:r>
      <w:r w:rsidR="00903D89" w:rsidRPr="000F3CBF">
        <w:rPr>
          <w:b/>
          <w:sz w:val="20"/>
          <w:szCs w:val="20"/>
        </w:rPr>
        <w:t>Conclusion</w:t>
      </w:r>
    </w:p>
    <w:p w:rsidR="00B87938" w:rsidRPr="000F3CBF" w:rsidRDefault="00903D89" w:rsidP="009364E2">
      <w:pPr>
        <w:pStyle w:val="BodyTextIndent"/>
        <w:rPr>
          <w:sz w:val="20"/>
          <w:szCs w:val="20"/>
        </w:rPr>
      </w:pPr>
      <w:r w:rsidRPr="000F3CBF">
        <w:rPr>
          <w:sz w:val="20"/>
          <w:szCs w:val="20"/>
        </w:rPr>
        <w:t>In this paper I</w:t>
      </w:r>
      <w:r w:rsidR="007B4598" w:rsidRPr="000F3CBF">
        <w:rPr>
          <w:sz w:val="20"/>
          <w:szCs w:val="20"/>
        </w:rPr>
        <w:t xml:space="preserve"> take the first step toward investigating</w:t>
      </w:r>
      <w:r w:rsidR="00526005" w:rsidRPr="000F3CBF">
        <w:rPr>
          <w:sz w:val="20"/>
          <w:szCs w:val="20"/>
        </w:rPr>
        <w:t xml:space="preserve"> the effect</w:t>
      </w:r>
      <w:r w:rsidRPr="000F3CBF">
        <w:rPr>
          <w:sz w:val="20"/>
          <w:szCs w:val="20"/>
        </w:rPr>
        <w:t xml:space="preserve"> of stock ownership, a direct and known incentive to the analyst, on analyst reporting. </w:t>
      </w:r>
      <w:r w:rsidR="00690DA4" w:rsidRPr="000F3CBF">
        <w:rPr>
          <w:sz w:val="20"/>
          <w:szCs w:val="20"/>
        </w:rPr>
        <w:t xml:space="preserve"> </w:t>
      </w:r>
      <w:r w:rsidRPr="000F3CBF">
        <w:rPr>
          <w:sz w:val="20"/>
          <w:szCs w:val="20"/>
        </w:rPr>
        <w:t>Although the existence and extent of analyst ownership has been opaque to researchers and</w:t>
      </w:r>
      <w:r w:rsidR="00F37C15">
        <w:rPr>
          <w:sz w:val="20"/>
          <w:szCs w:val="20"/>
        </w:rPr>
        <w:t xml:space="preserve"> the market, the study exploits</w:t>
      </w:r>
      <w:r w:rsidR="00E86CE2" w:rsidRPr="000F3CBF">
        <w:rPr>
          <w:sz w:val="20"/>
          <w:szCs w:val="20"/>
        </w:rPr>
        <w:t xml:space="preserve"> two</w:t>
      </w:r>
      <w:r w:rsidR="00F37C15">
        <w:rPr>
          <w:sz w:val="20"/>
          <w:szCs w:val="20"/>
        </w:rPr>
        <w:t xml:space="preserve"> different </w:t>
      </w:r>
      <w:r w:rsidRPr="000F3CBF">
        <w:rPr>
          <w:sz w:val="20"/>
          <w:szCs w:val="20"/>
        </w:rPr>
        <w:t>data source</w:t>
      </w:r>
      <w:r w:rsidR="00E86CE2" w:rsidRPr="000F3CBF">
        <w:rPr>
          <w:sz w:val="20"/>
          <w:szCs w:val="20"/>
        </w:rPr>
        <w:t>s</w:t>
      </w:r>
      <w:r w:rsidRPr="000F3CBF">
        <w:rPr>
          <w:sz w:val="20"/>
          <w:szCs w:val="20"/>
        </w:rPr>
        <w:t>.</w:t>
      </w:r>
    </w:p>
    <w:p w:rsidR="00AE2A4E" w:rsidRPr="000F3CBF" w:rsidRDefault="00262C8F" w:rsidP="009364E2">
      <w:pPr>
        <w:pStyle w:val="BodyTextIndent"/>
        <w:rPr>
          <w:sz w:val="20"/>
          <w:szCs w:val="20"/>
        </w:rPr>
      </w:pPr>
      <w:r w:rsidRPr="000F3CBF">
        <w:rPr>
          <w:sz w:val="20"/>
          <w:szCs w:val="20"/>
        </w:rPr>
        <w:t>A</w:t>
      </w:r>
      <w:r w:rsidR="005F0E39" w:rsidRPr="000F3CBF">
        <w:rPr>
          <w:sz w:val="20"/>
          <w:szCs w:val="20"/>
        </w:rPr>
        <w:t>necdotal evidence, the SEC investigation results and t</w:t>
      </w:r>
      <w:r w:rsidR="00B339CB" w:rsidRPr="000F3CBF">
        <w:rPr>
          <w:sz w:val="20"/>
          <w:szCs w:val="20"/>
        </w:rPr>
        <w:t>he data</w:t>
      </w:r>
      <w:r w:rsidR="00B229F0">
        <w:rPr>
          <w:sz w:val="20"/>
          <w:szCs w:val="20"/>
        </w:rPr>
        <w:t xml:space="preserve"> for this study</w:t>
      </w:r>
      <w:r w:rsidRPr="000F3CBF">
        <w:rPr>
          <w:sz w:val="20"/>
          <w:szCs w:val="20"/>
        </w:rPr>
        <w:t xml:space="preserve"> all</w:t>
      </w:r>
      <w:r w:rsidR="00AE2A4E" w:rsidRPr="000F3CBF">
        <w:rPr>
          <w:sz w:val="20"/>
          <w:szCs w:val="20"/>
        </w:rPr>
        <w:t xml:space="preserve"> suggest that analys</w:t>
      </w:r>
      <w:r w:rsidR="00B15074" w:rsidRPr="000F3CBF">
        <w:rPr>
          <w:sz w:val="20"/>
          <w:szCs w:val="20"/>
        </w:rPr>
        <w:t>t ownership is not infrequent</w:t>
      </w:r>
      <w:r w:rsidR="00B339CB" w:rsidRPr="000F3CBF">
        <w:rPr>
          <w:sz w:val="20"/>
          <w:szCs w:val="20"/>
        </w:rPr>
        <w:t xml:space="preserve"> and the </w:t>
      </w:r>
      <w:r w:rsidR="009549EB" w:rsidRPr="000F3CBF">
        <w:rPr>
          <w:sz w:val="20"/>
          <w:szCs w:val="20"/>
        </w:rPr>
        <w:t xml:space="preserve">investment </w:t>
      </w:r>
      <w:r w:rsidR="00B339CB" w:rsidRPr="000F3CBF">
        <w:rPr>
          <w:sz w:val="20"/>
          <w:szCs w:val="20"/>
        </w:rPr>
        <w:t>amounts are</w:t>
      </w:r>
      <w:r w:rsidR="005F0E39" w:rsidRPr="000F3CBF">
        <w:rPr>
          <w:sz w:val="20"/>
          <w:szCs w:val="20"/>
        </w:rPr>
        <w:t xml:space="preserve"> in many cases</w:t>
      </w:r>
      <w:r w:rsidR="00B339CB" w:rsidRPr="000F3CBF">
        <w:rPr>
          <w:sz w:val="20"/>
          <w:szCs w:val="20"/>
        </w:rPr>
        <w:t xml:space="preserve"> sizable</w:t>
      </w:r>
      <w:r w:rsidR="00AE2A4E" w:rsidRPr="000F3CBF">
        <w:rPr>
          <w:sz w:val="20"/>
          <w:szCs w:val="20"/>
        </w:rPr>
        <w:t xml:space="preserve">.  </w:t>
      </w:r>
      <w:r w:rsidR="007B4598" w:rsidRPr="000F3CBF">
        <w:rPr>
          <w:sz w:val="20"/>
          <w:szCs w:val="20"/>
        </w:rPr>
        <w:t>For example, i</w:t>
      </w:r>
      <w:r w:rsidR="00AE2A4E" w:rsidRPr="000F3CBF">
        <w:rPr>
          <w:sz w:val="20"/>
          <w:szCs w:val="20"/>
        </w:rPr>
        <w:t>n the disclosing sample most analysts own at least one stock they cover</w:t>
      </w:r>
      <w:r w:rsidR="000525FE" w:rsidRPr="000F3CBF">
        <w:rPr>
          <w:sz w:val="20"/>
          <w:szCs w:val="20"/>
        </w:rPr>
        <w:t xml:space="preserve"> and </w:t>
      </w:r>
      <w:r w:rsidR="00B915D6" w:rsidRPr="000F3CBF">
        <w:rPr>
          <w:sz w:val="20"/>
          <w:szCs w:val="20"/>
        </w:rPr>
        <w:t xml:space="preserve">they </w:t>
      </w:r>
      <w:r w:rsidR="000525FE" w:rsidRPr="000F3CBF">
        <w:rPr>
          <w:sz w:val="20"/>
          <w:szCs w:val="20"/>
        </w:rPr>
        <w:t>own 15% of</w:t>
      </w:r>
      <w:r w:rsidR="00B915D6" w:rsidRPr="000F3CBF">
        <w:rPr>
          <w:sz w:val="20"/>
          <w:szCs w:val="20"/>
        </w:rPr>
        <w:t xml:space="preserve"> all</w:t>
      </w:r>
      <w:r w:rsidR="000525FE" w:rsidRPr="000F3CBF">
        <w:rPr>
          <w:sz w:val="20"/>
          <w:szCs w:val="20"/>
        </w:rPr>
        <w:t xml:space="preserve"> the stocks they cover</w:t>
      </w:r>
      <w:r w:rsidR="00AE2A4E" w:rsidRPr="000F3CBF">
        <w:rPr>
          <w:sz w:val="20"/>
          <w:szCs w:val="20"/>
        </w:rPr>
        <w:t xml:space="preserve">.  The Form 144 sample </w:t>
      </w:r>
      <w:r w:rsidR="00AE2A4E" w:rsidRPr="000F3CBF">
        <w:rPr>
          <w:sz w:val="20"/>
          <w:szCs w:val="20"/>
        </w:rPr>
        <w:lastRenderedPageBreak/>
        <w:t>reveals that the average market value of</w:t>
      </w:r>
      <w:r w:rsidRPr="000F3CBF">
        <w:rPr>
          <w:sz w:val="20"/>
          <w:szCs w:val="20"/>
        </w:rPr>
        <w:t xml:space="preserve"> the stock sold by</w:t>
      </w:r>
      <w:r w:rsidR="00AE2A4E" w:rsidRPr="000F3CBF">
        <w:rPr>
          <w:sz w:val="20"/>
          <w:szCs w:val="20"/>
        </w:rPr>
        <w:t xml:space="preserve"> </w:t>
      </w:r>
      <w:r w:rsidR="00B339CB" w:rsidRPr="000F3CBF">
        <w:rPr>
          <w:sz w:val="20"/>
          <w:szCs w:val="20"/>
        </w:rPr>
        <w:t>an</w:t>
      </w:r>
      <w:r w:rsidR="00AE2A4E" w:rsidRPr="000F3CBF">
        <w:rPr>
          <w:sz w:val="20"/>
          <w:szCs w:val="20"/>
        </w:rPr>
        <w:t xml:space="preserve"> analyst is significant</w:t>
      </w:r>
      <w:r w:rsidR="000525FE" w:rsidRPr="000F3CBF">
        <w:rPr>
          <w:sz w:val="20"/>
          <w:szCs w:val="20"/>
        </w:rPr>
        <w:t>, $388,000</w:t>
      </w:r>
      <w:r w:rsidR="0096372B" w:rsidRPr="000F3CBF">
        <w:rPr>
          <w:sz w:val="20"/>
          <w:szCs w:val="20"/>
        </w:rPr>
        <w:t>,</w:t>
      </w:r>
      <w:r w:rsidR="00165DB3" w:rsidRPr="000F3CBF">
        <w:rPr>
          <w:sz w:val="20"/>
          <w:szCs w:val="20"/>
        </w:rPr>
        <w:t xml:space="preserve"> and the total ownership interest could be larger.</w:t>
      </w:r>
    </w:p>
    <w:p w:rsidR="008911B4" w:rsidRPr="000F3CBF" w:rsidRDefault="00B87938" w:rsidP="008911B4">
      <w:pPr>
        <w:pStyle w:val="BodyTextIndent"/>
        <w:rPr>
          <w:sz w:val="20"/>
          <w:szCs w:val="20"/>
        </w:rPr>
      </w:pPr>
      <w:r w:rsidRPr="000F3CBF">
        <w:rPr>
          <w:sz w:val="20"/>
          <w:szCs w:val="20"/>
        </w:rPr>
        <w:t>B</w:t>
      </w:r>
      <w:r w:rsidR="00903D89" w:rsidRPr="000F3CBF">
        <w:rPr>
          <w:sz w:val="20"/>
          <w:szCs w:val="20"/>
        </w:rPr>
        <w:t xml:space="preserve">ased on </w:t>
      </w:r>
      <w:r w:rsidR="00E86CE2" w:rsidRPr="000F3CBF">
        <w:rPr>
          <w:sz w:val="20"/>
          <w:szCs w:val="20"/>
        </w:rPr>
        <w:t xml:space="preserve">the </w:t>
      </w:r>
      <w:r w:rsidR="00903D89" w:rsidRPr="000F3CBF">
        <w:rPr>
          <w:sz w:val="20"/>
          <w:szCs w:val="20"/>
        </w:rPr>
        <w:t xml:space="preserve">two samples of sell-side analysts who have a stock-ownership position and provide research coverage, I find that analysts who own stock are </w:t>
      </w:r>
      <w:r w:rsidR="00A57003" w:rsidRPr="000F3CBF">
        <w:rPr>
          <w:sz w:val="20"/>
          <w:szCs w:val="20"/>
        </w:rPr>
        <w:t xml:space="preserve">slightly </w:t>
      </w:r>
      <w:r w:rsidR="00903D89" w:rsidRPr="000F3CBF">
        <w:rPr>
          <w:sz w:val="20"/>
          <w:szCs w:val="20"/>
        </w:rPr>
        <w:t xml:space="preserve">more cautious in their recommendations.  </w:t>
      </w:r>
      <w:r w:rsidR="00A57003" w:rsidRPr="000F3CBF">
        <w:rPr>
          <w:sz w:val="20"/>
          <w:szCs w:val="20"/>
        </w:rPr>
        <w:t xml:space="preserve">Tests of market reactions to the recommendations </w:t>
      </w:r>
      <w:r w:rsidR="00347DA1" w:rsidRPr="000F3CBF">
        <w:rPr>
          <w:sz w:val="20"/>
          <w:szCs w:val="20"/>
        </w:rPr>
        <w:t>generally provide</w:t>
      </w:r>
      <w:r w:rsidR="00A57003" w:rsidRPr="000F3CBF">
        <w:rPr>
          <w:sz w:val="20"/>
          <w:szCs w:val="20"/>
        </w:rPr>
        <w:t xml:space="preserve"> support for the lack of bias.  </w:t>
      </w:r>
      <w:r w:rsidR="00262C8F" w:rsidRPr="000F3CBF">
        <w:rPr>
          <w:sz w:val="20"/>
          <w:szCs w:val="20"/>
        </w:rPr>
        <w:t>T</w:t>
      </w:r>
      <w:r w:rsidR="00F37C15">
        <w:rPr>
          <w:sz w:val="20"/>
          <w:szCs w:val="20"/>
        </w:rPr>
        <w:t xml:space="preserve">his lack of support for the </w:t>
      </w:r>
      <w:r w:rsidR="00262C8F" w:rsidRPr="000F3CBF">
        <w:rPr>
          <w:sz w:val="20"/>
          <w:szCs w:val="20"/>
        </w:rPr>
        <w:t xml:space="preserve">Morgan and </w:t>
      </w:r>
      <w:proofErr w:type="spellStart"/>
      <w:r w:rsidR="00262C8F" w:rsidRPr="000F3CBF">
        <w:rPr>
          <w:sz w:val="20"/>
          <w:szCs w:val="20"/>
        </w:rPr>
        <w:t>Stocken</w:t>
      </w:r>
      <w:proofErr w:type="spellEnd"/>
      <w:r w:rsidR="00262C8F" w:rsidRPr="000F3CBF">
        <w:rPr>
          <w:sz w:val="20"/>
          <w:szCs w:val="20"/>
        </w:rPr>
        <w:t xml:space="preserve"> (2003</w:t>
      </w:r>
      <w:r w:rsidR="0080619C" w:rsidRPr="000F3CBF">
        <w:rPr>
          <w:sz w:val="20"/>
          <w:szCs w:val="20"/>
        </w:rPr>
        <w:t xml:space="preserve">) </w:t>
      </w:r>
      <w:r w:rsidR="0080619C">
        <w:rPr>
          <w:sz w:val="20"/>
          <w:szCs w:val="20"/>
        </w:rPr>
        <w:t>model</w:t>
      </w:r>
      <w:r w:rsidR="00F37C15">
        <w:rPr>
          <w:sz w:val="20"/>
          <w:szCs w:val="20"/>
        </w:rPr>
        <w:t xml:space="preserve"> results </w:t>
      </w:r>
      <w:r w:rsidR="00CC4E4F" w:rsidRPr="000F3CBF">
        <w:rPr>
          <w:sz w:val="20"/>
          <w:szCs w:val="20"/>
        </w:rPr>
        <w:t>may be due to two reasons.  First</w:t>
      </w:r>
      <w:r w:rsidR="00F37C15">
        <w:rPr>
          <w:sz w:val="20"/>
          <w:szCs w:val="20"/>
        </w:rPr>
        <w:t>, their model considers</w:t>
      </w:r>
      <w:r w:rsidR="0096372B" w:rsidRPr="000F3CBF">
        <w:rPr>
          <w:sz w:val="20"/>
          <w:szCs w:val="20"/>
        </w:rPr>
        <w:t xml:space="preserve"> only one analyst.  In this paper, the average number of analysts reporting on the sample companies is at least thirteen.  T</w:t>
      </w:r>
      <w:r w:rsidR="00165DB3" w:rsidRPr="000F3CBF">
        <w:rPr>
          <w:sz w:val="20"/>
          <w:szCs w:val="20"/>
        </w:rPr>
        <w:t>he least conflicted analyst</w:t>
      </w:r>
      <w:r w:rsidR="00A7280E" w:rsidRPr="000F3CBF">
        <w:rPr>
          <w:sz w:val="20"/>
          <w:szCs w:val="20"/>
        </w:rPr>
        <w:t>(s)</w:t>
      </w:r>
      <w:r w:rsidR="00262C8F" w:rsidRPr="000F3CBF">
        <w:rPr>
          <w:sz w:val="20"/>
          <w:szCs w:val="20"/>
        </w:rPr>
        <w:t xml:space="preserve"> provide</w:t>
      </w:r>
      <w:r w:rsidR="00CC4E4F" w:rsidRPr="000F3CBF">
        <w:rPr>
          <w:sz w:val="20"/>
          <w:szCs w:val="20"/>
        </w:rPr>
        <w:t>(s)</w:t>
      </w:r>
      <w:r w:rsidR="00262C8F" w:rsidRPr="000F3CBF">
        <w:rPr>
          <w:sz w:val="20"/>
          <w:szCs w:val="20"/>
        </w:rPr>
        <w:t xml:space="preserve"> a check on the others</w:t>
      </w:r>
      <w:r w:rsidR="008911B4" w:rsidRPr="000F3CBF">
        <w:rPr>
          <w:sz w:val="20"/>
          <w:szCs w:val="20"/>
        </w:rPr>
        <w:t>,</w:t>
      </w:r>
      <w:r w:rsidR="00262C8F" w:rsidRPr="000F3CBF">
        <w:rPr>
          <w:sz w:val="20"/>
          <w:szCs w:val="20"/>
        </w:rPr>
        <w:t xml:space="preserve"> as users are able to comp</w:t>
      </w:r>
      <w:r w:rsidR="0096372B" w:rsidRPr="000F3CBF">
        <w:rPr>
          <w:sz w:val="20"/>
          <w:szCs w:val="20"/>
        </w:rPr>
        <w:t>are</w:t>
      </w:r>
      <w:r w:rsidR="00A7280E" w:rsidRPr="000F3CBF">
        <w:rPr>
          <w:sz w:val="20"/>
          <w:szCs w:val="20"/>
        </w:rPr>
        <w:t xml:space="preserve"> outputs</w:t>
      </w:r>
      <w:r w:rsidR="0096372B" w:rsidRPr="000F3CBF">
        <w:rPr>
          <w:sz w:val="20"/>
          <w:szCs w:val="20"/>
        </w:rPr>
        <w:t xml:space="preserve"> across analysts</w:t>
      </w:r>
      <w:r w:rsidR="00F37C15">
        <w:rPr>
          <w:sz w:val="20"/>
          <w:szCs w:val="20"/>
        </w:rPr>
        <w:t xml:space="preserve"> and may underweight the extremes reducing the potential benefit of bias</w:t>
      </w:r>
      <w:r w:rsidR="00262C8F" w:rsidRPr="000F3CBF">
        <w:rPr>
          <w:sz w:val="20"/>
          <w:szCs w:val="20"/>
        </w:rPr>
        <w:t xml:space="preserve">.  </w:t>
      </w:r>
      <w:r w:rsidR="00134C6E" w:rsidRPr="000F3CBF">
        <w:rPr>
          <w:sz w:val="20"/>
          <w:szCs w:val="20"/>
        </w:rPr>
        <w:t>Such comparisons</w:t>
      </w:r>
      <w:r w:rsidR="00F37C15">
        <w:rPr>
          <w:sz w:val="20"/>
          <w:szCs w:val="20"/>
        </w:rPr>
        <w:t xml:space="preserve"> also</w:t>
      </w:r>
      <w:r w:rsidR="00134C6E" w:rsidRPr="000F3CBF">
        <w:rPr>
          <w:sz w:val="20"/>
          <w:szCs w:val="20"/>
        </w:rPr>
        <w:t xml:space="preserve"> put the analyst’s reputation at risk.  </w:t>
      </w:r>
      <w:r w:rsidR="001D2A1B">
        <w:rPr>
          <w:sz w:val="20"/>
          <w:szCs w:val="20"/>
        </w:rPr>
        <w:t xml:space="preserve">The </w:t>
      </w:r>
      <w:r w:rsidR="00A7280E" w:rsidRPr="000F3CBF">
        <w:rPr>
          <w:sz w:val="20"/>
          <w:szCs w:val="20"/>
        </w:rPr>
        <w:t>results show</w:t>
      </w:r>
      <w:r w:rsidR="008911B4" w:rsidRPr="000F3CBF">
        <w:rPr>
          <w:sz w:val="20"/>
          <w:szCs w:val="20"/>
        </w:rPr>
        <w:t xml:space="preserve"> that optimism is decreasing in analyst following.  </w:t>
      </w:r>
      <w:r w:rsidR="00CC4E4F" w:rsidRPr="000F3CBF">
        <w:rPr>
          <w:sz w:val="20"/>
          <w:szCs w:val="20"/>
        </w:rPr>
        <w:t>Second</w:t>
      </w:r>
      <w:r w:rsidR="00262C8F" w:rsidRPr="000F3CBF">
        <w:rPr>
          <w:sz w:val="20"/>
          <w:szCs w:val="20"/>
        </w:rPr>
        <w:t>, at least in the disclosing sample, a user of the analyst’s report is aware of the analyst’s stock ownership</w:t>
      </w:r>
      <w:r w:rsidR="00CC4E4F" w:rsidRPr="000F3CBF">
        <w:rPr>
          <w:sz w:val="20"/>
          <w:szCs w:val="20"/>
        </w:rPr>
        <w:t>,</w:t>
      </w:r>
      <w:r w:rsidR="00262C8F" w:rsidRPr="000F3CBF">
        <w:rPr>
          <w:sz w:val="20"/>
          <w:szCs w:val="20"/>
        </w:rPr>
        <w:t xml:space="preserve"> which may reduce or eliminate the benefit of bias</w:t>
      </w:r>
      <w:r w:rsidR="00CC4E4F" w:rsidRPr="000F3CBF">
        <w:rPr>
          <w:sz w:val="20"/>
          <w:szCs w:val="20"/>
        </w:rPr>
        <w:t>,</w:t>
      </w:r>
      <w:r w:rsidR="0096372B" w:rsidRPr="000F3CBF">
        <w:rPr>
          <w:sz w:val="20"/>
          <w:szCs w:val="20"/>
        </w:rPr>
        <w:t xml:space="preserve"> as a user may rationally anticipate and adjust for </w:t>
      </w:r>
      <w:r w:rsidR="00A7280E" w:rsidRPr="000F3CBF">
        <w:rPr>
          <w:sz w:val="20"/>
          <w:szCs w:val="20"/>
        </w:rPr>
        <w:t xml:space="preserve">any </w:t>
      </w:r>
      <w:r w:rsidR="0096372B" w:rsidRPr="000F3CBF">
        <w:rPr>
          <w:sz w:val="20"/>
          <w:szCs w:val="20"/>
        </w:rPr>
        <w:t>potential conflict of interest</w:t>
      </w:r>
      <w:r w:rsidR="00262C8F" w:rsidRPr="000F3CBF">
        <w:rPr>
          <w:sz w:val="20"/>
          <w:szCs w:val="20"/>
        </w:rPr>
        <w:t xml:space="preserve">.  </w:t>
      </w:r>
    </w:p>
    <w:p w:rsidR="00EE7785" w:rsidRPr="000F3CBF" w:rsidRDefault="00903D89" w:rsidP="00601327">
      <w:pPr>
        <w:pStyle w:val="BodyTextIndent"/>
        <w:rPr>
          <w:sz w:val="20"/>
          <w:szCs w:val="20"/>
        </w:rPr>
      </w:pPr>
      <w:r w:rsidRPr="000F3CBF">
        <w:rPr>
          <w:sz w:val="20"/>
          <w:szCs w:val="20"/>
        </w:rPr>
        <w:t>Al</w:t>
      </w:r>
      <w:r w:rsidR="009549EB" w:rsidRPr="000F3CBF">
        <w:rPr>
          <w:sz w:val="20"/>
          <w:szCs w:val="20"/>
        </w:rPr>
        <w:t>though there is some concern about</w:t>
      </w:r>
      <w:r w:rsidRPr="000F3CBF">
        <w:rPr>
          <w:sz w:val="20"/>
          <w:szCs w:val="20"/>
        </w:rPr>
        <w:t xml:space="preserve"> optimistic forecasts by analysts around the time of their stock sale, the weight of evidence suggests that stock ownership does not affect earnings forecasts.</w:t>
      </w:r>
      <w:r w:rsidR="008538E0" w:rsidRPr="000F3CBF">
        <w:rPr>
          <w:sz w:val="20"/>
          <w:szCs w:val="20"/>
        </w:rPr>
        <w:t xml:space="preserve">  </w:t>
      </w:r>
      <w:r w:rsidR="00F37C15">
        <w:rPr>
          <w:sz w:val="20"/>
          <w:szCs w:val="20"/>
        </w:rPr>
        <w:t>D</w:t>
      </w:r>
      <w:r w:rsidR="00CC4E4F" w:rsidRPr="000F3CBF">
        <w:rPr>
          <w:sz w:val="20"/>
          <w:szCs w:val="20"/>
        </w:rPr>
        <w:t>isclosing-</w:t>
      </w:r>
      <w:r w:rsidR="00262C8F" w:rsidRPr="000F3CBF">
        <w:rPr>
          <w:sz w:val="20"/>
          <w:szCs w:val="20"/>
        </w:rPr>
        <w:t>analy</w:t>
      </w:r>
      <w:r w:rsidR="00CC4E4F" w:rsidRPr="000F3CBF">
        <w:rPr>
          <w:sz w:val="20"/>
          <w:szCs w:val="20"/>
        </w:rPr>
        <w:t>st</w:t>
      </w:r>
      <w:r w:rsidR="00262C8F" w:rsidRPr="000F3CBF">
        <w:rPr>
          <w:sz w:val="20"/>
          <w:szCs w:val="20"/>
        </w:rPr>
        <w:t xml:space="preserve"> forecasts are optimistic whether they are an owner or not.  Such behavior may arise from an incentive to curry favor</w:t>
      </w:r>
      <w:r w:rsidR="008911B4" w:rsidRPr="000F3CBF">
        <w:rPr>
          <w:sz w:val="20"/>
          <w:szCs w:val="20"/>
        </w:rPr>
        <w:t xml:space="preserve"> with the company’s management in</w:t>
      </w:r>
      <w:r w:rsidR="00262C8F" w:rsidRPr="000F3CBF">
        <w:rPr>
          <w:sz w:val="20"/>
          <w:szCs w:val="20"/>
        </w:rPr>
        <w:t xml:space="preserve"> an effort to extract private information in a pre-Regulation Fair Disclosure environment.  </w:t>
      </w:r>
    </w:p>
    <w:p w:rsidR="0047046D" w:rsidRPr="000F3CBF" w:rsidRDefault="00903D89" w:rsidP="00066341">
      <w:pPr>
        <w:pStyle w:val="BodyTextIndent"/>
        <w:rPr>
          <w:sz w:val="20"/>
          <w:szCs w:val="20"/>
        </w:rPr>
      </w:pPr>
      <w:r w:rsidRPr="000F3CBF">
        <w:rPr>
          <w:sz w:val="20"/>
          <w:szCs w:val="20"/>
        </w:rPr>
        <w:t xml:space="preserve">I conclude that </w:t>
      </w:r>
      <w:r w:rsidR="00EE7785" w:rsidRPr="000F3CBF">
        <w:rPr>
          <w:sz w:val="20"/>
          <w:szCs w:val="20"/>
        </w:rPr>
        <w:t>analyst stock ownership</w:t>
      </w:r>
      <w:r w:rsidR="001D2A1B">
        <w:rPr>
          <w:sz w:val="20"/>
          <w:szCs w:val="20"/>
        </w:rPr>
        <w:t>, on average, has little</w:t>
      </w:r>
      <w:r w:rsidR="00A7280E" w:rsidRPr="000F3CBF">
        <w:rPr>
          <w:sz w:val="20"/>
          <w:szCs w:val="20"/>
        </w:rPr>
        <w:t xml:space="preserve"> effect</w:t>
      </w:r>
      <w:r w:rsidR="001D2A1B">
        <w:rPr>
          <w:sz w:val="20"/>
          <w:szCs w:val="20"/>
        </w:rPr>
        <w:t xml:space="preserve"> on analyst recommendations or earnings forecasts</w:t>
      </w:r>
      <w:r w:rsidR="004408DB" w:rsidRPr="000F3CBF">
        <w:rPr>
          <w:sz w:val="20"/>
          <w:szCs w:val="20"/>
        </w:rPr>
        <w:t xml:space="preserve">.  </w:t>
      </w:r>
      <w:r w:rsidR="00D96D00" w:rsidRPr="000F3CBF">
        <w:rPr>
          <w:sz w:val="20"/>
          <w:szCs w:val="20"/>
        </w:rPr>
        <w:t xml:space="preserve">I find no evidence to support an inside view effect.  </w:t>
      </w:r>
      <w:r w:rsidR="00EF19DE" w:rsidRPr="000F3CBF">
        <w:rPr>
          <w:sz w:val="20"/>
          <w:szCs w:val="20"/>
        </w:rPr>
        <w:t>Unlike other incentives</w:t>
      </w:r>
      <w:r w:rsidR="00A7280E" w:rsidRPr="000F3CBF">
        <w:rPr>
          <w:sz w:val="20"/>
          <w:szCs w:val="20"/>
        </w:rPr>
        <w:t>,</w:t>
      </w:r>
      <w:r w:rsidR="00EF19DE" w:rsidRPr="000F3CBF">
        <w:rPr>
          <w:sz w:val="20"/>
          <w:szCs w:val="20"/>
        </w:rPr>
        <w:t xml:space="preserve"> such as underwriting and management access</w:t>
      </w:r>
      <w:r w:rsidR="00A7280E" w:rsidRPr="000F3CBF">
        <w:rPr>
          <w:sz w:val="20"/>
          <w:szCs w:val="20"/>
        </w:rPr>
        <w:t>,</w:t>
      </w:r>
      <w:r w:rsidR="00EF19DE" w:rsidRPr="000F3CBF">
        <w:rPr>
          <w:sz w:val="20"/>
          <w:szCs w:val="20"/>
        </w:rPr>
        <w:t xml:space="preserve"> the fact that all analysts are not owners may limit opportunistic behavior as users are able to</w:t>
      </w:r>
      <w:r w:rsidR="00A7280E" w:rsidRPr="000F3CBF">
        <w:rPr>
          <w:sz w:val="20"/>
          <w:szCs w:val="20"/>
        </w:rPr>
        <w:t xml:space="preserve"> compare report outputs across</w:t>
      </w:r>
      <w:r w:rsidR="00EF19DE" w:rsidRPr="000F3CBF">
        <w:rPr>
          <w:sz w:val="20"/>
          <w:szCs w:val="20"/>
        </w:rPr>
        <w:t xml:space="preserve"> analysts.  In contrast, </w:t>
      </w:r>
      <w:r w:rsidR="00CC4E4F" w:rsidRPr="000F3CBF">
        <w:rPr>
          <w:sz w:val="20"/>
          <w:szCs w:val="20"/>
        </w:rPr>
        <w:t xml:space="preserve">underwriters want to maintain management’s support and </w:t>
      </w:r>
      <w:r w:rsidR="00EF19DE" w:rsidRPr="000F3CBF">
        <w:rPr>
          <w:sz w:val="20"/>
          <w:szCs w:val="20"/>
        </w:rPr>
        <w:t>brokerage firms which are not currently underwriters are attempting to curry favor to become underwriters</w:t>
      </w:r>
      <w:r w:rsidR="00CC4E4F" w:rsidRPr="000F3CBF">
        <w:rPr>
          <w:sz w:val="20"/>
          <w:szCs w:val="20"/>
        </w:rPr>
        <w:t xml:space="preserve">.  </w:t>
      </w:r>
      <w:r w:rsidR="009549EB" w:rsidRPr="000F3CBF">
        <w:rPr>
          <w:sz w:val="20"/>
          <w:szCs w:val="20"/>
        </w:rPr>
        <w:t xml:space="preserve">Similarly, </w:t>
      </w:r>
      <w:r w:rsidR="00D83BF0">
        <w:rPr>
          <w:sz w:val="20"/>
          <w:szCs w:val="20"/>
        </w:rPr>
        <w:t>for many companies</w:t>
      </w:r>
      <w:r w:rsidR="00F37C15">
        <w:rPr>
          <w:sz w:val="20"/>
          <w:szCs w:val="20"/>
        </w:rPr>
        <w:t xml:space="preserve"> </w:t>
      </w:r>
      <w:r w:rsidR="009549EB" w:rsidRPr="000F3CBF">
        <w:rPr>
          <w:sz w:val="20"/>
          <w:szCs w:val="20"/>
        </w:rPr>
        <w:t>most, if not all, analysts</w:t>
      </w:r>
      <w:r w:rsidR="00EF19DE" w:rsidRPr="000F3CBF">
        <w:rPr>
          <w:sz w:val="20"/>
          <w:szCs w:val="20"/>
        </w:rPr>
        <w:t xml:space="preserve"> benefit from management access</w:t>
      </w:r>
      <w:r w:rsidR="00CC4E4F" w:rsidRPr="000F3CBF">
        <w:rPr>
          <w:sz w:val="20"/>
          <w:szCs w:val="20"/>
        </w:rPr>
        <w:t xml:space="preserve"> and</w:t>
      </w:r>
      <w:r w:rsidR="002C0B60" w:rsidRPr="000F3CBF">
        <w:rPr>
          <w:sz w:val="20"/>
          <w:szCs w:val="20"/>
        </w:rPr>
        <w:t xml:space="preserve"> inside</w:t>
      </w:r>
      <w:r w:rsidR="00CC4E4F" w:rsidRPr="000F3CBF">
        <w:rPr>
          <w:sz w:val="20"/>
          <w:szCs w:val="20"/>
        </w:rPr>
        <w:t xml:space="preserve"> information</w:t>
      </w:r>
      <w:r w:rsidR="00EF19DE" w:rsidRPr="000F3CBF">
        <w:rPr>
          <w:sz w:val="20"/>
          <w:szCs w:val="20"/>
        </w:rPr>
        <w:t xml:space="preserve"> and so</w:t>
      </w:r>
      <w:r w:rsidR="003F72D1" w:rsidRPr="000F3CBF">
        <w:rPr>
          <w:sz w:val="20"/>
          <w:szCs w:val="20"/>
        </w:rPr>
        <w:t>,</w:t>
      </w:r>
      <w:r w:rsidR="00EF19DE" w:rsidRPr="000F3CBF">
        <w:rPr>
          <w:sz w:val="20"/>
          <w:szCs w:val="20"/>
        </w:rPr>
        <w:t xml:space="preserve"> to the extent that these two incentive</w:t>
      </w:r>
      <w:r w:rsidR="005E37C1" w:rsidRPr="000F3CBF">
        <w:rPr>
          <w:sz w:val="20"/>
          <w:szCs w:val="20"/>
        </w:rPr>
        <w:t>s</w:t>
      </w:r>
      <w:r w:rsidR="00A7280E" w:rsidRPr="000F3CBF">
        <w:rPr>
          <w:sz w:val="20"/>
          <w:szCs w:val="20"/>
        </w:rPr>
        <w:t xml:space="preserve"> affect many or all</w:t>
      </w:r>
      <w:r w:rsidR="00EF19DE" w:rsidRPr="000F3CBF">
        <w:rPr>
          <w:sz w:val="20"/>
          <w:szCs w:val="20"/>
        </w:rPr>
        <w:t xml:space="preserve"> analysts</w:t>
      </w:r>
      <w:r w:rsidR="00A7280E" w:rsidRPr="000F3CBF">
        <w:rPr>
          <w:sz w:val="20"/>
          <w:szCs w:val="20"/>
        </w:rPr>
        <w:t>,</w:t>
      </w:r>
      <w:r w:rsidR="002C0B60" w:rsidRPr="000F3CBF">
        <w:rPr>
          <w:sz w:val="20"/>
          <w:szCs w:val="20"/>
        </w:rPr>
        <w:t xml:space="preserve"> the risk of being an</w:t>
      </w:r>
      <w:r w:rsidR="00A7280E" w:rsidRPr="000F3CBF">
        <w:rPr>
          <w:sz w:val="20"/>
          <w:szCs w:val="20"/>
        </w:rPr>
        <w:t xml:space="preserve"> outlier and</w:t>
      </w:r>
      <w:r w:rsidR="00D83BF0">
        <w:rPr>
          <w:sz w:val="20"/>
          <w:szCs w:val="20"/>
        </w:rPr>
        <w:t>,</w:t>
      </w:r>
      <w:r w:rsidR="00A7280E" w:rsidRPr="000F3CBF">
        <w:rPr>
          <w:sz w:val="20"/>
          <w:szCs w:val="20"/>
        </w:rPr>
        <w:t xml:space="preserve"> hence</w:t>
      </w:r>
      <w:r w:rsidR="00D83BF0">
        <w:rPr>
          <w:sz w:val="20"/>
          <w:szCs w:val="20"/>
        </w:rPr>
        <w:t>,</w:t>
      </w:r>
      <w:r w:rsidR="00A7280E" w:rsidRPr="000F3CBF">
        <w:rPr>
          <w:sz w:val="20"/>
          <w:szCs w:val="20"/>
        </w:rPr>
        <w:t xml:space="preserve"> damaging their</w:t>
      </w:r>
      <w:r w:rsidR="00EF19DE" w:rsidRPr="000F3CBF">
        <w:rPr>
          <w:sz w:val="20"/>
          <w:szCs w:val="20"/>
        </w:rPr>
        <w:t xml:space="preserve"> reputation</w:t>
      </w:r>
      <w:r w:rsidR="00A7280E" w:rsidRPr="000F3CBF">
        <w:rPr>
          <w:sz w:val="20"/>
          <w:szCs w:val="20"/>
        </w:rPr>
        <w:t>s</w:t>
      </w:r>
      <w:r w:rsidR="00EF19DE" w:rsidRPr="000F3CBF">
        <w:rPr>
          <w:sz w:val="20"/>
          <w:szCs w:val="20"/>
        </w:rPr>
        <w:t xml:space="preserve"> is lessened. </w:t>
      </w:r>
      <w:r w:rsidR="0080619C" w:rsidRPr="000F3CBF">
        <w:rPr>
          <w:sz w:val="20"/>
          <w:szCs w:val="20"/>
        </w:rPr>
        <w:t xml:space="preserve">Interestingly, Khorana, </w:t>
      </w:r>
      <w:proofErr w:type="spellStart"/>
      <w:r w:rsidR="0080619C" w:rsidRPr="000F3CBF">
        <w:rPr>
          <w:sz w:val="20"/>
          <w:szCs w:val="20"/>
        </w:rPr>
        <w:t>Servaes</w:t>
      </w:r>
      <w:proofErr w:type="spellEnd"/>
      <w:r w:rsidR="0080619C" w:rsidRPr="000F3CBF">
        <w:rPr>
          <w:sz w:val="20"/>
          <w:szCs w:val="20"/>
        </w:rPr>
        <w:t xml:space="preserve"> and Wedge, in their investigation of mutual fund manager’s ownership effect o</w:t>
      </w:r>
      <w:r w:rsidR="0080619C">
        <w:rPr>
          <w:sz w:val="20"/>
          <w:szCs w:val="20"/>
        </w:rPr>
        <w:t xml:space="preserve">n future fund performance, </w:t>
      </w:r>
      <w:r w:rsidR="0080619C" w:rsidRPr="000F3CBF">
        <w:rPr>
          <w:sz w:val="20"/>
          <w:szCs w:val="20"/>
        </w:rPr>
        <w:t xml:space="preserve">find a positive relation despite the fact that the absolute investment is modest (median $0, mean $96,663).  They conclude that “managerial ownership has desirable </w:t>
      </w:r>
      <w:r w:rsidR="0080619C" w:rsidRPr="000F3CBF">
        <w:rPr>
          <w:sz w:val="20"/>
          <w:szCs w:val="20"/>
        </w:rPr>
        <w:lastRenderedPageBreak/>
        <w:t>incentive alignment attributes for mutual fund investors.”</w:t>
      </w:r>
      <w:r w:rsidR="0080619C">
        <w:rPr>
          <w:sz w:val="20"/>
          <w:szCs w:val="20"/>
        </w:rPr>
        <w:t xml:space="preserve"> </w:t>
      </w:r>
      <w:r w:rsidRPr="000F3CBF">
        <w:rPr>
          <w:sz w:val="20"/>
          <w:szCs w:val="20"/>
        </w:rPr>
        <w:t>Whether regulators and brokerage firms acted appropriately in dealing with analyst stock ownership re</w:t>
      </w:r>
      <w:r w:rsidR="00E65333" w:rsidRPr="000F3CBF">
        <w:rPr>
          <w:sz w:val="20"/>
          <w:szCs w:val="20"/>
        </w:rPr>
        <w:t>mains open to future research.</w:t>
      </w:r>
    </w:p>
    <w:p w:rsidR="0047046D" w:rsidRPr="000F3CBF" w:rsidRDefault="0047046D" w:rsidP="00066341">
      <w:pPr>
        <w:pStyle w:val="BodyTextIndent"/>
        <w:rPr>
          <w:sz w:val="20"/>
          <w:szCs w:val="20"/>
        </w:rPr>
      </w:pPr>
      <w:r w:rsidRPr="000F3CBF">
        <w:rPr>
          <w:sz w:val="20"/>
          <w:szCs w:val="20"/>
        </w:rPr>
        <w:t xml:space="preserve">Some caveats are in order.  The tests applied have attempted to address the </w:t>
      </w:r>
      <w:r w:rsidR="00E02D26" w:rsidRPr="000F3CBF">
        <w:rPr>
          <w:sz w:val="20"/>
          <w:szCs w:val="20"/>
        </w:rPr>
        <w:t>fact that ownership is a choice.  T</w:t>
      </w:r>
      <w:r w:rsidRPr="000F3CBF">
        <w:rPr>
          <w:sz w:val="20"/>
          <w:szCs w:val="20"/>
        </w:rPr>
        <w:t>o the extent that the tests do so imperfectly</w:t>
      </w:r>
      <w:r w:rsidR="007D3537">
        <w:rPr>
          <w:sz w:val="20"/>
          <w:szCs w:val="20"/>
        </w:rPr>
        <w:t>,</w:t>
      </w:r>
      <w:r w:rsidRPr="000F3CBF">
        <w:rPr>
          <w:sz w:val="20"/>
          <w:szCs w:val="20"/>
        </w:rPr>
        <w:t xml:space="preserve"> then the results and interpretations could be affected.</w:t>
      </w:r>
      <w:r w:rsidR="00CC76DF" w:rsidRPr="000F3CBF">
        <w:rPr>
          <w:sz w:val="20"/>
          <w:szCs w:val="20"/>
        </w:rPr>
        <w:t xml:space="preserve">  </w:t>
      </w:r>
      <w:r w:rsidR="00154560" w:rsidRPr="000F3CBF">
        <w:rPr>
          <w:sz w:val="20"/>
          <w:szCs w:val="20"/>
        </w:rPr>
        <w:t xml:space="preserve">Moreover, since </w:t>
      </w:r>
      <w:r w:rsidR="00CC76DF" w:rsidRPr="000F3CBF">
        <w:rPr>
          <w:sz w:val="20"/>
          <w:szCs w:val="20"/>
        </w:rPr>
        <w:t>analyst stock ownership is not fully identified</w:t>
      </w:r>
      <w:r w:rsidR="001D2A1B">
        <w:rPr>
          <w:sz w:val="20"/>
          <w:szCs w:val="20"/>
        </w:rPr>
        <w:t xml:space="preserve"> in the 144 sample</w:t>
      </w:r>
      <w:r w:rsidR="00CC76DF" w:rsidRPr="000F3CBF">
        <w:rPr>
          <w:sz w:val="20"/>
          <w:szCs w:val="20"/>
        </w:rPr>
        <w:t xml:space="preserve">, </w:t>
      </w:r>
      <w:r w:rsidR="00154560" w:rsidRPr="000F3CBF">
        <w:rPr>
          <w:sz w:val="20"/>
          <w:szCs w:val="20"/>
        </w:rPr>
        <w:t>the results could be weakened due to</w:t>
      </w:r>
      <w:r w:rsidR="00CC76DF" w:rsidRPr="000F3CBF">
        <w:rPr>
          <w:sz w:val="20"/>
          <w:szCs w:val="20"/>
        </w:rPr>
        <w:t xml:space="preserve"> the misclassific</w:t>
      </w:r>
      <w:r w:rsidR="00154560" w:rsidRPr="000F3CBF">
        <w:rPr>
          <w:sz w:val="20"/>
          <w:szCs w:val="20"/>
        </w:rPr>
        <w:t>ation of control observations</w:t>
      </w:r>
      <w:r w:rsidR="00CC76DF" w:rsidRPr="000F3CBF">
        <w:rPr>
          <w:sz w:val="20"/>
          <w:szCs w:val="20"/>
        </w:rPr>
        <w:t>.</w:t>
      </w:r>
    </w:p>
    <w:p w:rsidR="00903D89" w:rsidRPr="00ED2CB6" w:rsidRDefault="00903D89" w:rsidP="00ED2CB6">
      <w:pPr>
        <w:pStyle w:val="BodyTextIndent"/>
        <w:ind w:firstLine="0"/>
        <w:rPr>
          <w:sz w:val="20"/>
          <w:szCs w:val="20"/>
        </w:rPr>
      </w:pPr>
      <w:r w:rsidRPr="00BD04E4">
        <w:br w:type="page"/>
      </w:r>
      <w:r w:rsidRPr="00ED2CB6">
        <w:rPr>
          <w:b/>
          <w:sz w:val="20"/>
          <w:szCs w:val="20"/>
        </w:rPr>
        <w:lastRenderedPageBreak/>
        <w:t>References</w:t>
      </w:r>
    </w:p>
    <w:p w:rsidR="00903D89" w:rsidRPr="00ED2CB6" w:rsidRDefault="00903D89">
      <w:pPr>
        <w:pStyle w:val="BodyTextIndent"/>
        <w:spacing w:line="240" w:lineRule="auto"/>
        <w:ind w:firstLine="0"/>
        <w:rPr>
          <w:sz w:val="20"/>
          <w:szCs w:val="20"/>
        </w:rPr>
      </w:pPr>
    </w:p>
    <w:p w:rsidR="00903D89" w:rsidRPr="00ED2CB6" w:rsidRDefault="00903D89">
      <w:pPr>
        <w:pStyle w:val="BodyTextIndent"/>
        <w:spacing w:line="240" w:lineRule="auto"/>
        <w:ind w:left="720" w:hanging="720"/>
        <w:rPr>
          <w:sz w:val="20"/>
          <w:szCs w:val="20"/>
        </w:rPr>
      </w:pPr>
      <w:proofErr w:type="spellStart"/>
      <w:r w:rsidRPr="00ED2CB6">
        <w:rPr>
          <w:sz w:val="20"/>
          <w:szCs w:val="20"/>
        </w:rPr>
        <w:t>Abarbanell</w:t>
      </w:r>
      <w:proofErr w:type="spellEnd"/>
      <w:r w:rsidRPr="00ED2CB6">
        <w:rPr>
          <w:sz w:val="20"/>
          <w:szCs w:val="20"/>
        </w:rPr>
        <w:t>, J.</w:t>
      </w:r>
      <w:r w:rsidR="00CD5880" w:rsidRPr="00ED2CB6">
        <w:rPr>
          <w:sz w:val="20"/>
          <w:szCs w:val="20"/>
        </w:rPr>
        <w:t>,</w:t>
      </w:r>
      <w:r w:rsidRPr="00ED2CB6">
        <w:rPr>
          <w:sz w:val="20"/>
          <w:szCs w:val="20"/>
        </w:rPr>
        <w:t xml:space="preserve"> and R. </w:t>
      </w:r>
      <w:proofErr w:type="spellStart"/>
      <w:r w:rsidRPr="00ED2CB6">
        <w:rPr>
          <w:sz w:val="20"/>
          <w:szCs w:val="20"/>
        </w:rPr>
        <w:t>Lehavy</w:t>
      </w:r>
      <w:proofErr w:type="spellEnd"/>
      <w:r w:rsidR="007D45F4" w:rsidRPr="00ED2CB6">
        <w:rPr>
          <w:sz w:val="20"/>
          <w:szCs w:val="20"/>
        </w:rPr>
        <w:t>, 2003</w:t>
      </w:r>
      <w:r w:rsidRPr="00ED2CB6">
        <w:rPr>
          <w:sz w:val="20"/>
          <w:szCs w:val="20"/>
        </w:rPr>
        <w:t>, Biased forecasts or biased earnings?  The role of reported earnings in explaining apparent bias and over/</w:t>
      </w:r>
      <w:proofErr w:type="spellStart"/>
      <w:r w:rsidRPr="00ED2CB6">
        <w:rPr>
          <w:sz w:val="20"/>
          <w:szCs w:val="20"/>
        </w:rPr>
        <w:t>underreaction</w:t>
      </w:r>
      <w:proofErr w:type="spellEnd"/>
      <w:r w:rsidRPr="00ED2CB6">
        <w:rPr>
          <w:sz w:val="20"/>
          <w:szCs w:val="20"/>
        </w:rPr>
        <w:t xml:space="preserve"> </w:t>
      </w:r>
      <w:r w:rsidR="00CD5880" w:rsidRPr="00ED2CB6">
        <w:rPr>
          <w:sz w:val="20"/>
          <w:szCs w:val="20"/>
        </w:rPr>
        <w:t>in analysts’ earnings forecasts,</w:t>
      </w:r>
      <w:r w:rsidRPr="00ED2CB6">
        <w:rPr>
          <w:sz w:val="20"/>
          <w:szCs w:val="20"/>
        </w:rPr>
        <w:t xml:space="preserve"> Journal of Accounting and Economics</w:t>
      </w:r>
      <w:r w:rsidR="007D45F4" w:rsidRPr="00ED2CB6">
        <w:rPr>
          <w:sz w:val="20"/>
          <w:szCs w:val="20"/>
        </w:rPr>
        <w:t xml:space="preserve">, </w:t>
      </w:r>
      <w:r w:rsidR="007D45F4" w:rsidRPr="00ED2CB6">
        <w:rPr>
          <w:rStyle w:val="medium-normal1"/>
          <w:rFonts w:ascii="Times New Roman" w:hAnsi="Times New Roman" w:cs="Times New Roman"/>
          <w:color w:val="000000"/>
        </w:rPr>
        <w:t>Vol. 36</w:t>
      </w:r>
      <w:r w:rsidR="007D45F4" w:rsidRPr="00ED2CB6">
        <w:rPr>
          <w:sz w:val="20"/>
          <w:szCs w:val="20"/>
        </w:rPr>
        <w:t>, pp 105-146</w:t>
      </w:r>
      <w:r w:rsidRPr="00ED2CB6">
        <w:rPr>
          <w:sz w:val="20"/>
          <w:szCs w:val="20"/>
        </w:rPr>
        <w:t>.</w:t>
      </w:r>
    </w:p>
    <w:p w:rsidR="00903D89" w:rsidRPr="00ED2CB6" w:rsidRDefault="00903D89">
      <w:pPr>
        <w:pStyle w:val="BodyTextIndent"/>
        <w:spacing w:line="240" w:lineRule="auto"/>
        <w:ind w:left="720" w:hanging="720"/>
        <w:rPr>
          <w:sz w:val="20"/>
          <w:szCs w:val="20"/>
        </w:rPr>
      </w:pPr>
    </w:p>
    <w:p w:rsidR="002F349F" w:rsidRPr="00ED2CB6" w:rsidRDefault="002F349F">
      <w:pPr>
        <w:pStyle w:val="BodyTextIndent"/>
        <w:spacing w:line="240" w:lineRule="auto"/>
        <w:ind w:left="720" w:hanging="720"/>
        <w:rPr>
          <w:sz w:val="20"/>
          <w:szCs w:val="20"/>
        </w:rPr>
      </w:pPr>
      <w:proofErr w:type="spellStart"/>
      <w:r w:rsidRPr="00ED2CB6">
        <w:rPr>
          <w:sz w:val="20"/>
          <w:szCs w:val="20"/>
        </w:rPr>
        <w:t>Boni</w:t>
      </w:r>
      <w:proofErr w:type="spellEnd"/>
      <w:r w:rsidRPr="00ED2CB6">
        <w:rPr>
          <w:sz w:val="20"/>
          <w:szCs w:val="20"/>
        </w:rPr>
        <w:t>, L. and K.L. Womack, 2002, Wall Street’s Credibility Problem: Misaligned Incentives and Dubious Fixes</w:t>
      </w:r>
      <w:proofErr w:type="gramStart"/>
      <w:r w:rsidRPr="00ED2CB6">
        <w:rPr>
          <w:sz w:val="20"/>
          <w:szCs w:val="20"/>
        </w:rPr>
        <w:t>?,</w:t>
      </w:r>
      <w:proofErr w:type="gramEnd"/>
      <w:r w:rsidRPr="00ED2CB6">
        <w:rPr>
          <w:sz w:val="20"/>
          <w:szCs w:val="20"/>
        </w:rPr>
        <w:t xml:space="preserve"> Brookings-Wharton Papers on Financial Services, 2002.</w:t>
      </w:r>
    </w:p>
    <w:p w:rsidR="002F349F" w:rsidRPr="00ED2CB6" w:rsidRDefault="002F349F">
      <w:pPr>
        <w:pStyle w:val="BodyTextIndent"/>
        <w:spacing w:line="240" w:lineRule="auto"/>
        <w:ind w:left="720" w:hanging="720"/>
        <w:rPr>
          <w:sz w:val="20"/>
          <w:szCs w:val="20"/>
        </w:rPr>
      </w:pPr>
    </w:p>
    <w:p w:rsidR="00903D89" w:rsidRPr="00ED2CB6" w:rsidRDefault="00903D89" w:rsidP="00087DCE">
      <w:pPr>
        <w:ind w:left="720" w:hanging="720"/>
        <w:rPr>
          <w:sz w:val="20"/>
          <w:szCs w:val="20"/>
        </w:rPr>
      </w:pPr>
      <w:r w:rsidRPr="00ED2CB6">
        <w:rPr>
          <w:sz w:val="20"/>
          <w:szCs w:val="20"/>
        </w:rPr>
        <w:t>Bradley, D. J., B. D. Jordan</w:t>
      </w:r>
      <w:r w:rsidR="00CD5880" w:rsidRPr="00ED2CB6">
        <w:rPr>
          <w:sz w:val="20"/>
          <w:szCs w:val="20"/>
        </w:rPr>
        <w:t>,</w:t>
      </w:r>
      <w:r w:rsidRPr="00ED2CB6">
        <w:rPr>
          <w:sz w:val="20"/>
          <w:szCs w:val="20"/>
        </w:rPr>
        <w:t xml:space="preserve"> and J. R. Ritter</w:t>
      </w:r>
      <w:r w:rsidR="00CD5880" w:rsidRPr="00ED2CB6">
        <w:rPr>
          <w:sz w:val="20"/>
          <w:szCs w:val="20"/>
        </w:rPr>
        <w:t>, 2003</w:t>
      </w:r>
      <w:r w:rsidRPr="00ED2CB6">
        <w:rPr>
          <w:sz w:val="20"/>
          <w:szCs w:val="20"/>
        </w:rPr>
        <w:t xml:space="preserve">, </w:t>
      </w:r>
      <w:proofErr w:type="gramStart"/>
      <w:r w:rsidRPr="00ED2CB6">
        <w:rPr>
          <w:sz w:val="20"/>
          <w:szCs w:val="20"/>
        </w:rPr>
        <w:t>The</w:t>
      </w:r>
      <w:proofErr w:type="gramEnd"/>
      <w:r w:rsidRPr="00ED2CB6">
        <w:rPr>
          <w:sz w:val="20"/>
          <w:szCs w:val="20"/>
        </w:rPr>
        <w:t xml:space="preserve"> quiet period goes out with a bang</w:t>
      </w:r>
      <w:r w:rsidR="00CD5880" w:rsidRPr="00ED2CB6">
        <w:rPr>
          <w:sz w:val="20"/>
          <w:szCs w:val="20"/>
        </w:rPr>
        <w:t>,</w:t>
      </w:r>
      <w:r w:rsidRPr="00ED2CB6">
        <w:rPr>
          <w:sz w:val="20"/>
          <w:szCs w:val="20"/>
        </w:rPr>
        <w:t xml:space="preserve"> Journal of Finance, Vol. 58, pp 1-36.</w:t>
      </w:r>
    </w:p>
    <w:p w:rsidR="00903D89" w:rsidRPr="00ED2CB6" w:rsidRDefault="00903D89">
      <w:pPr>
        <w:ind w:left="720" w:hanging="720"/>
        <w:rPr>
          <w:sz w:val="20"/>
          <w:szCs w:val="20"/>
        </w:rPr>
      </w:pPr>
    </w:p>
    <w:p w:rsidR="00903D89" w:rsidRPr="00ED2CB6" w:rsidRDefault="00903D89">
      <w:pPr>
        <w:ind w:left="720" w:hanging="720"/>
        <w:rPr>
          <w:sz w:val="20"/>
          <w:szCs w:val="20"/>
        </w:rPr>
      </w:pPr>
      <w:r w:rsidRPr="00ED2CB6">
        <w:rPr>
          <w:sz w:val="20"/>
          <w:szCs w:val="20"/>
        </w:rPr>
        <w:t>Brown, L. D.</w:t>
      </w:r>
      <w:r w:rsidR="00CD5880" w:rsidRPr="00ED2CB6">
        <w:rPr>
          <w:sz w:val="20"/>
          <w:szCs w:val="20"/>
        </w:rPr>
        <w:t>, 1999</w:t>
      </w:r>
      <w:r w:rsidRPr="00ED2CB6">
        <w:rPr>
          <w:sz w:val="20"/>
          <w:szCs w:val="20"/>
        </w:rPr>
        <w:t xml:space="preserve">, </w:t>
      </w:r>
      <w:proofErr w:type="gramStart"/>
      <w:r w:rsidRPr="00ED2CB6">
        <w:rPr>
          <w:sz w:val="20"/>
          <w:szCs w:val="20"/>
        </w:rPr>
        <w:t>Predicting</w:t>
      </w:r>
      <w:proofErr w:type="gramEnd"/>
      <w:r w:rsidRPr="00ED2CB6">
        <w:rPr>
          <w:sz w:val="20"/>
          <w:szCs w:val="20"/>
        </w:rPr>
        <w:t xml:space="preserve"> individual ana</w:t>
      </w:r>
      <w:r w:rsidR="00CD5880" w:rsidRPr="00ED2CB6">
        <w:rPr>
          <w:sz w:val="20"/>
          <w:szCs w:val="20"/>
        </w:rPr>
        <w:t>lyst earnings forecast accuracy,</w:t>
      </w:r>
      <w:r w:rsidRPr="00ED2CB6">
        <w:rPr>
          <w:sz w:val="20"/>
          <w:szCs w:val="20"/>
        </w:rPr>
        <w:t xml:space="preserve"> Working paper.</w:t>
      </w:r>
    </w:p>
    <w:p w:rsidR="00903D89" w:rsidRPr="00ED2CB6" w:rsidRDefault="00903D89">
      <w:pPr>
        <w:ind w:left="720" w:hanging="720"/>
        <w:rPr>
          <w:sz w:val="20"/>
          <w:szCs w:val="20"/>
        </w:rPr>
      </w:pPr>
    </w:p>
    <w:p w:rsidR="00903D89" w:rsidRPr="00ED2CB6" w:rsidRDefault="00903D89" w:rsidP="00087DCE">
      <w:pPr>
        <w:ind w:left="720" w:hanging="720"/>
        <w:rPr>
          <w:sz w:val="20"/>
          <w:szCs w:val="20"/>
        </w:rPr>
      </w:pPr>
      <w:r w:rsidRPr="00ED2CB6">
        <w:rPr>
          <w:sz w:val="20"/>
          <w:szCs w:val="20"/>
        </w:rPr>
        <w:t>Clement, M. B.</w:t>
      </w:r>
      <w:r w:rsidR="00CD5880" w:rsidRPr="00ED2CB6">
        <w:rPr>
          <w:sz w:val="20"/>
          <w:szCs w:val="20"/>
        </w:rPr>
        <w:t>, 1999</w:t>
      </w:r>
      <w:r w:rsidRPr="00ED2CB6">
        <w:rPr>
          <w:sz w:val="20"/>
          <w:szCs w:val="20"/>
        </w:rPr>
        <w:t>, Analyst forecast accuracy: Do ability, resources and portfolio complexity matter</w:t>
      </w:r>
      <w:proofErr w:type="gramStart"/>
      <w:r w:rsidRPr="00ED2CB6">
        <w:rPr>
          <w:sz w:val="20"/>
          <w:szCs w:val="20"/>
        </w:rPr>
        <w:t>?</w:t>
      </w:r>
      <w:r w:rsidR="00CD5880" w:rsidRPr="00ED2CB6">
        <w:rPr>
          <w:sz w:val="20"/>
          <w:szCs w:val="20"/>
        </w:rPr>
        <w:t>,</w:t>
      </w:r>
      <w:proofErr w:type="gramEnd"/>
      <w:r w:rsidRPr="00ED2CB6">
        <w:rPr>
          <w:sz w:val="20"/>
          <w:szCs w:val="20"/>
        </w:rPr>
        <w:t xml:space="preserve"> Journal of Accounting and Economics, 27, pp 285-303.</w:t>
      </w:r>
    </w:p>
    <w:p w:rsidR="00903D89" w:rsidRPr="00ED2CB6" w:rsidRDefault="00903D89">
      <w:pPr>
        <w:ind w:left="720" w:hanging="720"/>
        <w:rPr>
          <w:sz w:val="20"/>
          <w:szCs w:val="20"/>
        </w:rPr>
      </w:pPr>
    </w:p>
    <w:p w:rsidR="00903D89" w:rsidRPr="00ED2CB6" w:rsidRDefault="00903D89">
      <w:pPr>
        <w:ind w:left="720" w:hanging="720"/>
        <w:rPr>
          <w:sz w:val="20"/>
          <w:szCs w:val="20"/>
        </w:rPr>
      </w:pPr>
      <w:r w:rsidRPr="00ED2CB6">
        <w:rPr>
          <w:sz w:val="20"/>
          <w:szCs w:val="20"/>
        </w:rPr>
        <w:t>Cowan, L.,</w:t>
      </w:r>
      <w:r w:rsidR="00206AE2" w:rsidRPr="00ED2CB6">
        <w:rPr>
          <w:sz w:val="20"/>
          <w:szCs w:val="20"/>
        </w:rPr>
        <w:t xml:space="preserve"> </w:t>
      </w:r>
      <w:r w:rsidR="00CF3D84" w:rsidRPr="00ED2CB6">
        <w:rPr>
          <w:sz w:val="20"/>
          <w:szCs w:val="20"/>
        </w:rPr>
        <w:t>2002,</w:t>
      </w:r>
      <w:r w:rsidRPr="00ED2CB6">
        <w:rPr>
          <w:sz w:val="20"/>
          <w:szCs w:val="20"/>
        </w:rPr>
        <w:t xml:space="preserve"> Firms k</w:t>
      </w:r>
      <w:r w:rsidR="00CD5880" w:rsidRPr="00ED2CB6">
        <w:rPr>
          <w:sz w:val="20"/>
          <w:szCs w:val="20"/>
        </w:rPr>
        <w:t>eep policies on analysts' stock,</w:t>
      </w:r>
      <w:r w:rsidRPr="00ED2CB6">
        <w:rPr>
          <w:sz w:val="20"/>
          <w:szCs w:val="20"/>
        </w:rPr>
        <w:t xml:space="preserve"> Wall Street Journal, July 17, 2002.</w:t>
      </w:r>
    </w:p>
    <w:p w:rsidR="00903D89" w:rsidRPr="00ED2CB6" w:rsidRDefault="00903D89">
      <w:pPr>
        <w:ind w:left="720" w:hanging="720"/>
        <w:rPr>
          <w:sz w:val="20"/>
          <w:szCs w:val="20"/>
        </w:rPr>
      </w:pPr>
    </w:p>
    <w:p w:rsidR="00903D89" w:rsidRPr="00ED2CB6" w:rsidRDefault="00903D89" w:rsidP="00087DCE">
      <w:pPr>
        <w:ind w:left="720" w:hanging="720"/>
        <w:rPr>
          <w:b/>
          <w:sz w:val="20"/>
          <w:szCs w:val="20"/>
        </w:rPr>
      </w:pPr>
      <w:r w:rsidRPr="00ED2CB6">
        <w:rPr>
          <w:sz w:val="20"/>
          <w:szCs w:val="20"/>
        </w:rPr>
        <w:t>Das, S., C. B. Levine</w:t>
      </w:r>
      <w:r w:rsidR="00CD5880" w:rsidRPr="00ED2CB6">
        <w:rPr>
          <w:sz w:val="20"/>
          <w:szCs w:val="20"/>
        </w:rPr>
        <w:t>,</w:t>
      </w:r>
      <w:r w:rsidRPr="00ED2CB6">
        <w:rPr>
          <w:sz w:val="20"/>
          <w:szCs w:val="20"/>
        </w:rPr>
        <w:t xml:space="preserve"> and K. </w:t>
      </w:r>
      <w:proofErr w:type="spellStart"/>
      <w:r w:rsidRPr="00ED2CB6">
        <w:rPr>
          <w:sz w:val="20"/>
          <w:szCs w:val="20"/>
        </w:rPr>
        <w:t>Sivaramakrishnan</w:t>
      </w:r>
      <w:proofErr w:type="spellEnd"/>
      <w:r w:rsidR="00CD5880" w:rsidRPr="00ED2CB6">
        <w:rPr>
          <w:sz w:val="20"/>
          <w:szCs w:val="20"/>
        </w:rPr>
        <w:t>, 1998</w:t>
      </w:r>
      <w:r w:rsidRPr="00ED2CB6">
        <w:rPr>
          <w:sz w:val="20"/>
          <w:szCs w:val="20"/>
        </w:rPr>
        <w:t xml:space="preserve">, Earnings predictability and bias </w:t>
      </w:r>
      <w:r w:rsidR="00CD5880" w:rsidRPr="00ED2CB6">
        <w:rPr>
          <w:sz w:val="20"/>
          <w:szCs w:val="20"/>
        </w:rPr>
        <w:t>in analysts’ earnings forecasts,</w:t>
      </w:r>
      <w:r w:rsidRPr="00ED2CB6">
        <w:rPr>
          <w:sz w:val="20"/>
          <w:szCs w:val="20"/>
        </w:rPr>
        <w:t xml:space="preserve"> Accounting Review, Vol. 73 No. 2, pp 277-294.</w:t>
      </w:r>
    </w:p>
    <w:p w:rsidR="00903D89" w:rsidRPr="00ED2CB6" w:rsidRDefault="00903D89">
      <w:pPr>
        <w:ind w:left="720" w:hanging="720"/>
        <w:rPr>
          <w:sz w:val="20"/>
          <w:szCs w:val="20"/>
        </w:rPr>
      </w:pPr>
    </w:p>
    <w:p w:rsidR="00903D89" w:rsidRPr="00ED2CB6" w:rsidRDefault="00903D89" w:rsidP="00087DCE">
      <w:pPr>
        <w:ind w:left="720" w:hanging="720"/>
        <w:rPr>
          <w:sz w:val="20"/>
          <w:szCs w:val="20"/>
        </w:rPr>
      </w:pPr>
      <w:proofErr w:type="spellStart"/>
      <w:r w:rsidRPr="00ED2CB6">
        <w:rPr>
          <w:sz w:val="20"/>
          <w:szCs w:val="20"/>
        </w:rPr>
        <w:t>Fama</w:t>
      </w:r>
      <w:proofErr w:type="spellEnd"/>
      <w:r w:rsidRPr="00ED2CB6">
        <w:rPr>
          <w:sz w:val="20"/>
          <w:szCs w:val="20"/>
        </w:rPr>
        <w:t>, E. F.</w:t>
      </w:r>
      <w:r w:rsidR="00CD5880" w:rsidRPr="00ED2CB6">
        <w:rPr>
          <w:sz w:val="20"/>
          <w:szCs w:val="20"/>
        </w:rPr>
        <w:t>,</w:t>
      </w:r>
      <w:r w:rsidRPr="00ED2CB6">
        <w:rPr>
          <w:sz w:val="20"/>
          <w:szCs w:val="20"/>
        </w:rPr>
        <w:t xml:space="preserve"> and J. D. </w:t>
      </w:r>
      <w:proofErr w:type="spellStart"/>
      <w:r w:rsidRPr="00ED2CB6">
        <w:rPr>
          <w:sz w:val="20"/>
          <w:szCs w:val="20"/>
        </w:rPr>
        <w:t>MacBeth</w:t>
      </w:r>
      <w:proofErr w:type="spellEnd"/>
      <w:r w:rsidR="00CD5880" w:rsidRPr="00ED2CB6">
        <w:rPr>
          <w:sz w:val="20"/>
          <w:szCs w:val="20"/>
        </w:rPr>
        <w:t>, 1973</w:t>
      </w:r>
      <w:r w:rsidRPr="00ED2CB6">
        <w:rPr>
          <w:sz w:val="20"/>
          <w:szCs w:val="20"/>
        </w:rPr>
        <w:t>, Risk, return, a</w:t>
      </w:r>
      <w:r w:rsidR="00CD5880" w:rsidRPr="00ED2CB6">
        <w:rPr>
          <w:sz w:val="20"/>
          <w:szCs w:val="20"/>
        </w:rPr>
        <w:t>nd equilibrium: empirical tests,</w:t>
      </w:r>
      <w:r w:rsidRPr="00ED2CB6">
        <w:rPr>
          <w:sz w:val="20"/>
          <w:szCs w:val="20"/>
        </w:rPr>
        <w:t xml:space="preserve"> Journal of Political Economy, Vol. 81, Issue 3, May-Jun 1973, pp. 607-636.</w:t>
      </w:r>
    </w:p>
    <w:p w:rsidR="00903D89" w:rsidRPr="00ED2CB6" w:rsidRDefault="00903D89">
      <w:pPr>
        <w:ind w:left="720" w:hanging="720"/>
        <w:rPr>
          <w:sz w:val="20"/>
          <w:szCs w:val="20"/>
        </w:rPr>
      </w:pPr>
    </w:p>
    <w:p w:rsidR="00903D89" w:rsidRPr="00ED2CB6" w:rsidRDefault="00903D89">
      <w:pPr>
        <w:ind w:left="720" w:hanging="720"/>
        <w:rPr>
          <w:sz w:val="20"/>
          <w:szCs w:val="20"/>
        </w:rPr>
      </w:pPr>
      <w:r w:rsidRPr="00ED2CB6">
        <w:rPr>
          <w:sz w:val="20"/>
          <w:szCs w:val="20"/>
        </w:rPr>
        <w:t>Francis, J.</w:t>
      </w:r>
      <w:r w:rsidR="00CD5880" w:rsidRPr="00ED2CB6">
        <w:rPr>
          <w:sz w:val="20"/>
          <w:szCs w:val="20"/>
        </w:rPr>
        <w:t>,</w:t>
      </w:r>
      <w:r w:rsidRPr="00ED2CB6">
        <w:rPr>
          <w:sz w:val="20"/>
          <w:szCs w:val="20"/>
        </w:rPr>
        <w:t xml:space="preserve"> and D. </w:t>
      </w:r>
      <w:proofErr w:type="spellStart"/>
      <w:r w:rsidRPr="00ED2CB6">
        <w:rPr>
          <w:sz w:val="20"/>
          <w:szCs w:val="20"/>
        </w:rPr>
        <w:t>Philbrick</w:t>
      </w:r>
      <w:proofErr w:type="spellEnd"/>
      <w:r w:rsidR="00CD5880" w:rsidRPr="00ED2CB6">
        <w:rPr>
          <w:sz w:val="20"/>
          <w:szCs w:val="20"/>
        </w:rPr>
        <w:t>, 1993</w:t>
      </w:r>
      <w:r w:rsidRPr="00ED2CB6">
        <w:rPr>
          <w:sz w:val="20"/>
          <w:szCs w:val="20"/>
        </w:rPr>
        <w:t>, Analyst’s decisions as produ</w:t>
      </w:r>
      <w:r w:rsidR="00CD5880" w:rsidRPr="00ED2CB6">
        <w:rPr>
          <w:sz w:val="20"/>
          <w:szCs w:val="20"/>
        </w:rPr>
        <w:t>cts of a multi-task environment,</w:t>
      </w:r>
      <w:r w:rsidRPr="00ED2CB6">
        <w:rPr>
          <w:sz w:val="20"/>
          <w:szCs w:val="20"/>
        </w:rPr>
        <w:t xml:space="preserve"> Journal of Accounting Research Vol. 31, No. 2, pp. 216-230.</w:t>
      </w:r>
    </w:p>
    <w:p w:rsidR="00903D89" w:rsidRPr="00ED2CB6" w:rsidRDefault="00903D89">
      <w:pPr>
        <w:ind w:left="720" w:hanging="720"/>
        <w:rPr>
          <w:sz w:val="20"/>
          <w:szCs w:val="20"/>
        </w:rPr>
      </w:pPr>
    </w:p>
    <w:p w:rsidR="00903D89" w:rsidRPr="00ED2CB6" w:rsidRDefault="00903D89" w:rsidP="00DC5528">
      <w:pPr>
        <w:ind w:left="720" w:hanging="720"/>
        <w:rPr>
          <w:sz w:val="20"/>
          <w:szCs w:val="20"/>
        </w:rPr>
      </w:pPr>
      <w:r w:rsidRPr="00ED2CB6">
        <w:rPr>
          <w:sz w:val="20"/>
          <w:szCs w:val="20"/>
        </w:rPr>
        <w:t>Greene, W. H.</w:t>
      </w:r>
      <w:r w:rsidR="00CD5880" w:rsidRPr="00ED2CB6">
        <w:rPr>
          <w:sz w:val="20"/>
          <w:szCs w:val="20"/>
        </w:rPr>
        <w:t>, 2000. Econometric Analysis</w:t>
      </w:r>
      <w:r w:rsidRPr="00ED2CB6">
        <w:rPr>
          <w:sz w:val="20"/>
          <w:szCs w:val="20"/>
        </w:rPr>
        <w:t xml:space="preserve"> Fourth Edition, </w:t>
      </w:r>
      <w:r w:rsidR="00CD5880" w:rsidRPr="00ED2CB6">
        <w:rPr>
          <w:sz w:val="20"/>
          <w:szCs w:val="20"/>
        </w:rPr>
        <w:t>(Prentice Hall, New Jersey)</w:t>
      </w:r>
    </w:p>
    <w:p w:rsidR="00903D89" w:rsidRPr="00ED2CB6" w:rsidRDefault="00903D89">
      <w:pPr>
        <w:ind w:left="720" w:hanging="720"/>
        <w:rPr>
          <w:sz w:val="20"/>
          <w:szCs w:val="20"/>
        </w:rPr>
      </w:pPr>
    </w:p>
    <w:p w:rsidR="00903D89" w:rsidRDefault="00903D89" w:rsidP="00087DCE">
      <w:pPr>
        <w:ind w:left="720" w:hanging="720"/>
        <w:rPr>
          <w:sz w:val="20"/>
          <w:szCs w:val="20"/>
        </w:rPr>
      </w:pPr>
      <w:proofErr w:type="spellStart"/>
      <w:proofErr w:type="gramStart"/>
      <w:r w:rsidRPr="00ED2CB6">
        <w:rPr>
          <w:sz w:val="20"/>
          <w:szCs w:val="20"/>
        </w:rPr>
        <w:t>Gu</w:t>
      </w:r>
      <w:proofErr w:type="spellEnd"/>
      <w:proofErr w:type="gramEnd"/>
      <w:r w:rsidRPr="00ED2CB6">
        <w:rPr>
          <w:sz w:val="20"/>
          <w:szCs w:val="20"/>
        </w:rPr>
        <w:t>, Z.</w:t>
      </w:r>
      <w:r w:rsidR="00CD5880" w:rsidRPr="00ED2CB6">
        <w:rPr>
          <w:sz w:val="20"/>
          <w:szCs w:val="20"/>
        </w:rPr>
        <w:t>,</w:t>
      </w:r>
      <w:r w:rsidRPr="00ED2CB6">
        <w:rPr>
          <w:sz w:val="20"/>
          <w:szCs w:val="20"/>
        </w:rPr>
        <w:t xml:space="preserve"> and J. Wu</w:t>
      </w:r>
      <w:r w:rsidR="00CD5880" w:rsidRPr="00ED2CB6">
        <w:rPr>
          <w:sz w:val="20"/>
          <w:szCs w:val="20"/>
        </w:rPr>
        <w:t>, 2000</w:t>
      </w:r>
      <w:r w:rsidRPr="00ED2CB6">
        <w:rPr>
          <w:sz w:val="20"/>
          <w:szCs w:val="20"/>
        </w:rPr>
        <w:t xml:space="preserve">, Earnings </w:t>
      </w:r>
      <w:proofErr w:type="spellStart"/>
      <w:r w:rsidRPr="00ED2CB6">
        <w:rPr>
          <w:sz w:val="20"/>
          <w:szCs w:val="20"/>
        </w:rPr>
        <w:t>ske</w:t>
      </w:r>
      <w:r w:rsidR="00CD5880" w:rsidRPr="00ED2CB6">
        <w:rPr>
          <w:sz w:val="20"/>
          <w:szCs w:val="20"/>
        </w:rPr>
        <w:t>wness</w:t>
      </w:r>
      <w:proofErr w:type="spellEnd"/>
      <w:r w:rsidR="00CD5880" w:rsidRPr="00ED2CB6">
        <w:rPr>
          <w:sz w:val="20"/>
          <w:szCs w:val="20"/>
        </w:rPr>
        <w:t xml:space="preserve"> and analyst forecast bias,</w:t>
      </w:r>
      <w:r w:rsidRPr="00ED2CB6">
        <w:rPr>
          <w:sz w:val="20"/>
          <w:szCs w:val="20"/>
        </w:rPr>
        <w:t xml:space="preserve"> Journal of Accounting and Economics, Vol. 25, Issue 1, 2003.</w:t>
      </w:r>
    </w:p>
    <w:p w:rsidR="005135B2" w:rsidRDefault="005135B2" w:rsidP="00087DCE">
      <w:pPr>
        <w:ind w:left="720" w:hanging="720"/>
        <w:rPr>
          <w:sz w:val="20"/>
          <w:szCs w:val="20"/>
        </w:rPr>
      </w:pPr>
    </w:p>
    <w:p w:rsidR="005135B2" w:rsidRDefault="005135B2" w:rsidP="005135B2">
      <w:pPr>
        <w:ind w:left="720" w:hanging="720"/>
        <w:rPr>
          <w:sz w:val="20"/>
          <w:szCs w:val="20"/>
        </w:rPr>
      </w:pPr>
      <w:proofErr w:type="spellStart"/>
      <w:r>
        <w:rPr>
          <w:sz w:val="20"/>
          <w:szCs w:val="20"/>
        </w:rPr>
        <w:t>Gu</w:t>
      </w:r>
      <w:proofErr w:type="spellEnd"/>
      <w:r>
        <w:rPr>
          <w:sz w:val="20"/>
          <w:szCs w:val="20"/>
        </w:rPr>
        <w:t xml:space="preserve">, Z and J. Xue, 2008, The superiority and disciplining role of independent analysts,  </w:t>
      </w:r>
      <w:r w:rsidRPr="00ED2CB6">
        <w:rPr>
          <w:sz w:val="20"/>
          <w:szCs w:val="20"/>
        </w:rPr>
        <w:t xml:space="preserve">Journal of </w:t>
      </w:r>
      <w:r>
        <w:rPr>
          <w:sz w:val="20"/>
          <w:szCs w:val="20"/>
        </w:rPr>
        <w:t>Accounting and Economics, Vol. 45, Issues 2+3, 2008</w:t>
      </w:r>
      <w:r w:rsidRPr="00ED2CB6">
        <w:rPr>
          <w:sz w:val="20"/>
          <w:szCs w:val="20"/>
        </w:rPr>
        <w:t>.</w:t>
      </w:r>
    </w:p>
    <w:p w:rsidR="00903D89" w:rsidRPr="00ED2CB6" w:rsidRDefault="00903D89" w:rsidP="005135B2">
      <w:pPr>
        <w:rPr>
          <w:sz w:val="20"/>
          <w:szCs w:val="20"/>
        </w:rPr>
      </w:pPr>
    </w:p>
    <w:p w:rsidR="00903D89" w:rsidRPr="00ED2CB6" w:rsidRDefault="00903D89">
      <w:pPr>
        <w:ind w:left="720" w:hanging="720"/>
        <w:rPr>
          <w:sz w:val="20"/>
          <w:szCs w:val="20"/>
        </w:rPr>
      </w:pPr>
      <w:proofErr w:type="gramStart"/>
      <w:r w:rsidRPr="00ED2CB6">
        <w:rPr>
          <w:sz w:val="20"/>
          <w:szCs w:val="20"/>
        </w:rPr>
        <w:t>Jacob, J.</w:t>
      </w:r>
      <w:r w:rsidR="00CD5880" w:rsidRPr="00ED2CB6">
        <w:rPr>
          <w:sz w:val="20"/>
          <w:szCs w:val="20"/>
        </w:rPr>
        <w:t>,</w:t>
      </w:r>
      <w:r w:rsidRPr="00ED2CB6">
        <w:rPr>
          <w:sz w:val="20"/>
          <w:szCs w:val="20"/>
        </w:rPr>
        <w:t xml:space="preserve"> and T. Z. Lys</w:t>
      </w:r>
      <w:r w:rsidR="00CD5880" w:rsidRPr="00ED2CB6">
        <w:rPr>
          <w:sz w:val="20"/>
          <w:szCs w:val="20"/>
        </w:rPr>
        <w:t>, 1999</w:t>
      </w:r>
      <w:r w:rsidRPr="00ED2CB6">
        <w:rPr>
          <w:sz w:val="20"/>
          <w:szCs w:val="20"/>
        </w:rPr>
        <w:t>, Expertise in forecasting p</w:t>
      </w:r>
      <w:r w:rsidR="00CD5880" w:rsidRPr="00ED2CB6">
        <w:rPr>
          <w:sz w:val="20"/>
          <w:szCs w:val="20"/>
        </w:rPr>
        <w:t>erformance of security analysts,</w:t>
      </w:r>
      <w:r w:rsidRPr="00ED2CB6">
        <w:rPr>
          <w:sz w:val="20"/>
          <w:szCs w:val="20"/>
        </w:rPr>
        <w:t xml:space="preserve"> Journal of Accounting and Economics, vol. 28, 1999, pp 51-80.</w:t>
      </w:r>
      <w:proofErr w:type="gramEnd"/>
    </w:p>
    <w:p w:rsidR="00BA46CE" w:rsidRPr="00ED2CB6" w:rsidRDefault="00BA46CE">
      <w:pPr>
        <w:ind w:left="720" w:hanging="720"/>
        <w:rPr>
          <w:sz w:val="20"/>
          <w:szCs w:val="20"/>
        </w:rPr>
      </w:pPr>
    </w:p>
    <w:p w:rsidR="00BA46CE" w:rsidRPr="00ED2CB6" w:rsidRDefault="00BA46CE" w:rsidP="00BA46CE">
      <w:pPr>
        <w:pStyle w:val="Title"/>
        <w:rPr>
          <w:color w:val="000000"/>
          <w:sz w:val="20"/>
          <w:szCs w:val="20"/>
        </w:rPr>
      </w:pPr>
      <w:proofErr w:type="spellStart"/>
      <w:r w:rsidRPr="00ED2CB6">
        <w:rPr>
          <w:sz w:val="20"/>
          <w:szCs w:val="20"/>
        </w:rPr>
        <w:t>Ke</w:t>
      </w:r>
      <w:proofErr w:type="spellEnd"/>
      <w:r w:rsidRPr="00ED2CB6">
        <w:rPr>
          <w:sz w:val="20"/>
          <w:szCs w:val="20"/>
        </w:rPr>
        <w:t xml:space="preserve">, B and Y. Yu, 2006, </w:t>
      </w:r>
      <w:proofErr w:type="gramStart"/>
      <w:r w:rsidRPr="00ED2CB6">
        <w:rPr>
          <w:bCs/>
          <w:color w:val="000000"/>
          <w:sz w:val="20"/>
          <w:szCs w:val="20"/>
        </w:rPr>
        <w:t>The</w:t>
      </w:r>
      <w:proofErr w:type="gramEnd"/>
      <w:r w:rsidRPr="00ED2CB6">
        <w:rPr>
          <w:bCs/>
          <w:color w:val="000000"/>
          <w:sz w:val="20"/>
          <w:szCs w:val="20"/>
        </w:rPr>
        <w:t xml:space="preserve"> Effect of Issuing Biased Earnings Forecasts on </w:t>
      </w:r>
    </w:p>
    <w:p w:rsidR="00BA46CE" w:rsidRPr="00ED2CB6" w:rsidRDefault="00BA46CE" w:rsidP="00BA46CE">
      <w:pPr>
        <w:autoSpaceDE w:val="0"/>
        <w:autoSpaceDN w:val="0"/>
        <w:adjustRightInd w:val="0"/>
        <w:ind w:left="720" w:hanging="720"/>
        <w:rPr>
          <w:b/>
          <w:bCs/>
          <w:color w:val="000000"/>
          <w:sz w:val="20"/>
          <w:szCs w:val="20"/>
        </w:rPr>
      </w:pPr>
      <w:proofErr w:type="gramStart"/>
      <w:r w:rsidRPr="00ED2CB6">
        <w:rPr>
          <w:bCs/>
          <w:color w:val="000000"/>
          <w:sz w:val="20"/>
          <w:szCs w:val="20"/>
        </w:rPr>
        <w:t>Analysts’ Access to Management and Survival, Working paper.</w:t>
      </w:r>
      <w:proofErr w:type="gramEnd"/>
      <w:r w:rsidRPr="00ED2CB6">
        <w:rPr>
          <w:b/>
          <w:bCs/>
          <w:color w:val="000000"/>
          <w:sz w:val="20"/>
          <w:szCs w:val="20"/>
        </w:rPr>
        <w:t xml:space="preserve"> </w:t>
      </w:r>
    </w:p>
    <w:p w:rsidR="00BA46CE" w:rsidRPr="00ED2CB6" w:rsidRDefault="00BA46CE" w:rsidP="00BA46CE">
      <w:pPr>
        <w:autoSpaceDE w:val="0"/>
        <w:autoSpaceDN w:val="0"/>
        <w:adjustRightInd w:val="0"/>
        <w:ind w:left="720" w:hanging="720"/>
        <w:rPr>
          <w:b/>
          <w:bCs/>
          <w:color w:val="000000"/>
          <w:sz w:val="20"/>
          <w:szCs w:val="20"/>
        </w:rPr>
      </w:pPr>
    </w:p>
    <w:p w:rsidR="00903D89" w:rsidRPr="00ED2CB6" w:rsidRDefault="00903D89" w:rsidP="00BA46CE">
      <w:pPr>
        <w:ind w:left="720" w:hanging="720"/>
        <w:rPr>
          <w:sz w:val="20"/>
          <w:szCs w:val="20"/>
        </w:rPr>
      </w:pPr>
      <w:r w:rsidRPr="00ED2CB6">
        <w:rPr>
          <w:sz w:val="20"/>
          <w:szCs w:val="20"/>
        </w:rPr>
        <w:t>Keane, M. P.</w:t>
      </w:r>
      <w:r w:rsidR="00CD5880" w:rsidRPr="00ED2CB6">
        <w:rPr>
          <w:sz w:val="20"/>
          <w:szCs w:val="20"/>
        </w:rPr>
        <w:t>,</w:t>
      </w:r>
      <w:r w:rsidRPr="00ED2CB6">
        <w:rPr>
          <w:sz w:val="20"/>
          <w:szCs w:val="20"/>
        </w:rPr>
        <w:t xml:space="preserve"> and D. E. </w:t>
      </w:r>
      <w:proofErr w:type="spellStart"/>
      <w:r w:rsidRPr="00ED2CB6">
        <w:rPr>
          <w:sz w:val="20"/>
          <w:szCs w:val="20"/>
        </w:rPr>
        <w:t>Runkle</w:t>
      </w:r>
      <w:proofErr w:type="spellEnd"/>
      <w:r w:rsidR="00CD5880" w:rsidRPr="00ED2CB6">
        <w:rPr>
          <w:sz w:val="20"/>
          <w:szCs w:val="20"/>
        </w:rPr>
        <w:t>, 1998</w:t>
      </w:r>
      <w:r w:rsidRPr="00ED2CB6">
        <w:rPr>
          <w:sz w:val="20"/>
          <w:szCs w:val="20"/>
        </w:rPr>
        <w:t>, Are financial analysts’ forecasts of corporate profits rational? Journal of Political Economy, vol. 106 no. 4, pp 768-805.</w:t>
      </w:r>
    </w:p>
    <w:p w:rsidR="00903D89" w:rsidRPr="00ED2CB6" w:rsidRDefault="00903D89">
      <w:pPr>
        <w:ind w:left="720" w:hanging="720"/>
        <w:rPr>
          <w:sz w:val="20"/>
          <w:szCs w:val="20"/>
        </w:rPr>
      </w:pPr>
    </w:p>
    <w:p w:rsidR="005A47C6" w:rsidRPr="00ED2CB6" w:rsidRDefault="005A47C6">
      <w:pPr>
        <w:ind w:left="720" w:hanging="720"/>
        <w:rPr>
          <w:sz w:val="20"/>
          <w:szCs w:val="20"/>
        </w:rPr>
      </w:pPr>
      <w:proofErr w:type="gramStart"/>
      <w:r w:rsidRPr="00ED2CB6">
        <w:rPr>
          <w:sz w:val="20"/>
          <w:szCs w:val="20"/>
        </w:rPr>
        <w:t xml:space="preserve">Khorana, A, H. </w:t>
      </w:r>
      <w:proofErr w:type="spellStart"/>
      <w:r w:rsidRPr="00ED2CB6">
        <w:rPr>
          <w:sz w:val="20"/>
          <w:szCs w:val="20"/>
        </w:rPr>
        <w:t>Servaes</w:t>
      </w:r>
      <w:proofErr w:type="spellEnd"/>
      <w:r w:rsidRPr="00ED2CB6">
        <w:rPr>
          <w:sz w:val="20"/>
          <w:szCs w:val="20"/>
        </w:rPr>
        <w:t xml:space="preserve"> and L. Wedge, 2006, Portfolio Manger Ownership and Fund Performance, Working Paper, London Business School.</w:t>
      </w:r>
      <w:proofErr w:type="gramEnd"/>
    </w:p>
    <w:p w:rsidR="005A47C6" w:rsidRPr="00ED2CB6" w:rsidRDefault="005A47C6">
      <w:pPr>
        <w:ind w:left="720" w:hanging="720"/>
        <w:rPr>
          <w:sz w:val="20"/>
          <w:szCs w:val="20"/>
        </w:rPr>
      </w:pPr>
    </w:p>
    <w:p w:rsidR="00903D89" w:rsidRPr="00ED2CB6" w:rsidRDefault="00903D89">
      <w:pPr>
        <w:ind w:left="720" w:hanging="720"/>
        <w:rPr>
          <w:sz w:val="20"/>
          <w:szCs w:val="20"/>
        </w:rPr>
      </w:pPr>
      <w:proofErr w:type="gramStart"/>
      <w:r w:rsidRPr="00ED2CB6">
        <w:rPr>
          <w:sz w:val="20"/>
          <w:szCs w:val="20"/>
        </w:rPr>
        <w:t>Lim, T.</w:t>
      </w:r>
      <w:r w:rsidR="00CD5880" w:rsidRPr="00ED2CB6">
        <w:rPr>
          <w:sz w:val="20"/>
          <w:szCs w:val="20"/>
        </w:rPr>
        <w:t>, 2001</w:t>
      </w:r>
      <w:r w:rsidRPr="00ED2CB6">
        <w:rPr>
          <w:sz w:val="20"/>
          <w:szCs w:val="20"/>
        </w:rPr>
        <w:t>, Rational</w:t>
      </w:r>
      <w:r w:rsidR="00CD5880" w:rsidRPr="00ED2CB6">
        <w:rPr>
          <w:sz w:val="20"/>
          <w:szCs w:val="20"/>
        </w:rPr>
        <w:t>ity and analysts’ forecast bias,</w:t>
      </w:r>
      <w:r w:rsidRPr="00ED2CB6">
        <w:rPr>
          <w:sz w:val="20"/>
          <w:szCs w:val="20"/>
        </w:rPr>
        <w:t xml:space="preserve"> Journal of Finance, February 2001.</w:t>
      </w:r>
      <w:proofErr w:type="gramEnd"/>
    </w:p>
    <w:p w:rsidR="00903D89" w:rsidRPr="00ED2CB6" w:rsidRDefault="00903D89">
      <w:pPr>
        <w:ind w:left="720" w:hanging="720"/>
        <w:rPr>
          <w:sz w:val="20"/>
          <w:szCs w:val="20"/>
        </w:rPr>
      </w:pPr>
    </w:p>
    <w:p w:rsidR="00903D89" w:rsidRPr="00ED2CB6" w:rsidRDefault="00903D89">
      <w:pPr>
        <w:ind w:left="720" w:hanging="720"/>
        <w:rPr>
          <w:sz w:val="20"/>
          <w:szCs w:val="20"/>
        </w:rPr>
      </w:pPr>
      <w:proofErr w:type="gramStart"/>
      <w:r w:rsidRPr="00ED2CB6">
        <w:rPr>
          <w:sz w:val="20"/>
          <w:szCs w:val="20"/>
        </w:rPr>
        <w:lastRenderedPageBreak/>
        <w:t>Lin, H.</w:t>
      </w:r>
      <w:r w:rsidR="00CD5880" w:rsidRPr="00ED2CB6">
        <w:rPr>
          <w:sz w:val="20"/>
          <w:szCs w:val="20"/>
        </w:rPr>
        <w:t>,</w:t>
      </w:r>
      <w:r w:rsidRPr="00ED2CB6">
        <w:rPr>
          <w:sz w:val="20"/>
          <w:szCs w:val="20"/>
        </w:rPr>
        <w:t xml:space="preserve"> and M. </w:t>
      </w:r>
      <w:proofErr w:type="spellStart"/>
      <w:r w:rsidRPr="00ED2CB6">
        <w:rPr>
          <w:sz w:val="20"/>
          <w:szCs w:val="20"/>
        </w:rPr>
        <w:t>McNichols</w:t>
      </w:r>
      <w:proofErr w:type="spellEnd"/>
      <w:r w:rsidR="00CD5880" w:rsidRPr="00ED2CB6">
        <w:rPr>
          <w:sz w:val="20"/>
          <w:szCs w:val="20"/>
        </w:rPr>
        <w:t>, 1998</w:t>
      </w:r>
      <w:r w:rsidRPr="00ED2CB6">
        <w:rPr>
          <w:sz w:val="20"/>
          <w:szCs w:val="20"/>
        </w:rPr>
        <w:t>, Underwriting relationships, analysts’ earnings forecasts</w:t>
      </w:r>
      <w:r w:rsidR="00CD5880" w:rsidRPr="00ED2CB6">
        <w:rPr>
          <w:sz w:val="20"/>
          <w:szCs w:val="20"/>
        </w:rPr>
        <w:t xml:space="preserve"> and investment recommendations,</w:t>
      </w:r>
      <w:r w:rsidRPr="00ED2CB6">
        <w:rPr>
          <w:sz w:val="20"/>
          <w:szCs w:val="20"/>
        </w:rPr>
        <w:t xml:space="preserve"> Journal of Accounting and Economics, 25, pp 101-127.</w:t>
      </w:r>
      <w:proofErr w:type="gramEnd"/>
    </w:p>
    <w:p w:rsidR="00903D89" w:rsidRPr="00ED2CB6" w:rsidRDefault="00903D89">
      <w:pPr>
        <w:ind w:left="720" w:hanging="720"/>
        <w:rPr>
          <w:sz w:val="20"/>
          <w:szCs w:val="20"/>
        </w:rPr>
      </w:pPr>
    </w:p>
    <w:p w:rsidR="00903D89" w:rsidRPr="00ED2CB6" w:rsidRDefault="00903D89">
      <w:pPr>
        <w:ind w:left="720" w:hanging="720"/>
        <w:rPr>
          <w:sz w:val="20"/>
          <w:szCs w:val="20"/>
        </w:rPr>
      </w:pPr>
      <w:proofErr w:type="spellStart"/>
      <w:r w:rsidRPr="00ED2CB6">
        <w:rPr>
          <w:sz w:val="20"/>
          <w:szCs w:val="20"/>
        </w:rPr>
        <w:t>Loughran</w:t>
      </w:r>
      <w:proofErr w:type="spellEnd"/>
      <w:r w:rsidRPr="00ED2CB6">
        <w:rPr>
          <w:sz w:val="20"/>
          <w:szCs w:val="20"/>
        </w:rPr>
        <w:t>, T.</w:t>
      </w:r>
      <w:r w:rsidR="00CD5880" w:rsidRPr="00ED2CB6">
        <w:rPr>
          <w:sz w:val="20"/>
          <w:szCs w:val="20"/>
        </w:rPr>
        <w:t>,</w:t>
      </w:r>
      <w:r w:rsidRPr="00ED2CB6">
        <w:rPr>
          <w:sz w:val="20"/>
          <w:szCs w:val="20"/>
        </w:rPr>
        <w:t xml:space="preserve"> and J. R. Ritter</w:t>
      </w:r>
      <w:r w:rsidR="00CD5880" w:rsidRPr="00ED2CB6">
        <w:rPr>
          <w:sz w:val="20"/>
          <w:szCs w:val="20"/>
        </w:rPr>
        <w:t>, 2002</w:t>
      </w:r>
      <w:r w:rsidRPr="00ED2CB6">
        <w:rPr>
          <w:sz w:val="20"/>
          <w:szCs w:val="20"/>
        </w:rPr>
        <w:t xml:space="preserve">, Why has IPO </w:t>
      </w:r>
      <w:proofErr w:type="spellStart"/>
      <w:r w:rsidRPr="00ED2CB6">
        <w:rPr>
          <w:sz w:val="20"/>
          <w:szCs w:val="20"/>
        </w:rPr>
        <w:t>underpricing</w:t>
      </w:r>
      <w:proofErr w:type="spellEnd"/>
      <w:r w:rsidRPr="00ED2CB6">
        <w:rPr>
          <w:sz w:val="20"/>
          <w:szCs w:val="20"/>
        </w:rPr>
        <w:t xml:space="preserve"> changed over time</w:t>
      </w:r>
      <w:proofErr w:type="gramStart"/>
      <w:r w:rsidRPr="00ED2CB6">
        <w:rPr>
          <w:sz w:val="20"/>
          <w:szCs w:val="20"/>
        </w:rPr>
        <w:t>?</w:t>
      </w:r>
      <w:r w:rsidR="00CD5880" w:rsidRPr="00ED2CB6">
        <w:rPr>
          <w:sz w:val="20"/>
          <w:szCs w:val="20"/>
        </w:rPr>
        <w:t>,</w:t>
      </w:r>
      <w:proofErr w:type="gramEnd"/>
      <w:r w:rsidRPr="00ED2CB6">
        <w:rPr>
          <w:sz w:val="20"/>
          <w:szCs w:val="20"/>
        </w:rPr>
        <w:t xml:space="preserve"> Working Paper, August 2002.</w:t>
      </w:r>
    </w:p>
    <w:p w:rsidR="00903D89" w:rsidRPr="00ED2CB6" w:rsidRDefault="00903D89">
      <w:pPr>
        <w:rPr>
          <w:sz w:val="20"/>
          <w:szCs w:val="20"/>
        </w:rPr>
      </w:pPr>
    </w:p>
    <w:p w:rsidR="00903D89" w:rsidRPr="00ED2CB6" w:rsidRDefault="00903D89" w:rsidP="00087DCE">
      <w:pPr>
        <w:ind w:left="720" w:hanging="720"/>
        <w:rPr>
          <w:sz w:val="20"/>
          <w:szCs w:val="20"/>
        </w:rPr>
      </w:pPr>
      <w:r w:rsidRPr="00ED2CB6">
        <w:rPr>
          <w:sz w:val="20"/>
          <w:szCs w:val="20"/>
        </w:rPr>
        <w:t>Lys, T.</w:t>
      </w:r>
      <w:r w:rsidR="00CD5880" w:rsidRPr="00ED2CB6">
        <w:rPr>
          <w:sz w:val="20"/>
          <w:szCs w:val="20"/>
        </w:rPr>
        <w:t>,</w:t>
      </w:r>
      <w:r w:rsidRPr="00ED2CB6">
        <w:rPr>
          <w:sz w:val="20"/>
          <w:szCs w:val="20"/>
        </w:rPr>
        <w:t xml:space="preserve"> and L. Gilbert </w:t>
      </w:r>
      <w:proofErr w:type="spellStart"/>
      <w:r w:rsidRPr="00ED2CB6">
        <w:rPr>
          <w:sz w:val="20"/>
          <w:szCs w:val="20"/>
        </w:rPr>
        <w:t>Soo</w:t>
      </w:r>
      <w:proofErr w:type="spellEnd"/>
      <w:r w:rsidR="00CD5880" w:rsidRPr="00ED2CB6">
        <w:rPr>
          <w:sz w:val="20"/>
          <w:szCs w:val="20"/>
        </w:rPr>
        <w:t>, 1995</w:t>
      </w:r>
      <w:r w:rsidRPr="00ED2CB6">
        <w:rPr>
          <w:sz w:val="20"/>
          <w:szCs w:val="20"/>
        </w:rPr>
        <w:t>, Analysts' forecast precisi</w:t>
      </w:r>
      <w:r w:rsidR="00CD5880" w:rsidRPr="00ED2CB6">
        <w:rPr>
          <w:sz w:val="20"/>
          <w:szCs w:val="20"/>
        </w:rPr>
        <w:t>on as a response to competition,</w:t>
      </w:r>
      <w:r w:rsidRPr="00ED2CB6">
        <w:rPr>
          <w:sz w:val="20"/>
          <w:szCs w:val="20"/>
        </w:rPr>
        <w:t xml:space="preserve"> Journal of Accounting, Auditing &amp; Finance, pp.751-764.</w:t>
      </w:r>
    </w:p>
    <w:p w:rsidR="004C5FD7" w:rsidRPr="00ED2CB6" w:rsidRDefault="004C5FD7">
      <w:pPr>
        <w:ind w:left="720" w:hanging="720"/>
        <w:rPr>
          <w:sz w:val="20"/>
          <w:szCs w:val="20"/>
        </w:rPr>
      </w:pPr>
    </w:p>
    <w:p w:rsidR="004C5FD7" w:rsidRPr="00ED2CB6" w:rsidRDefault="004C5FD7" w:rsidP="00875139">
      <w:pPr>
        <w:autoSpaceDE w:val="0"/>
        <w:autoSpaceDN w:val="0"/>
        <w:adjustRightInd w:val="0"/>
        <w:ind w:left="720" w:hanging="720"/>
        <w:rPr>
          <w:sz w:val="20"/>
          <w:szCs w:val="20"/>
        </w:rPr>
      </w:pPr>
      <w:proofErr w:type="spellStart"/>
      <w:proofErr w:type="gramStart"/>
      <w:r w:rsidRPr="00ED2CB6">
        <w:rPr>
          <w:sz w:val="20"/>
          <w:szCs w:val="20"/>
        </w:rPr>
        <w:t>McNichols</w:t>
      </w:r>
      <w:proofErr w:type="spellEnd"/>
      <w:r w:rsidRPr="00ED2CB6">
        <w:rPr>
          <w:sz w:val="20"/>
          <w:szCs w:val="20"/>
        </w:rPr>
        <w:t xml:space="preserve"> M. and P. O’Brien.</w:t>
      </w:r>
      <w:proofErr w:type="gramEnd"/>
      <w:r w:rsidRPr="00ED2CB6">
        <w:rPr>
          <w:sz w:val="20"/>
          <w:szCs w:val="20"/>
        </w:rPr>
        <w:t xml:space="preserve"> </w:t>
      </w:r>
      <w:proofErr w:type="gramStart"/>
      <w:r w:rsidRPr="00ED2CB6">
        <w:rPr>
          <w:sz w:val="20"/>
          <w:szCs w:val="20"/>
        </w:rPr>
        <w:t xml:space="preserve">(1997). Self-selection and analyst coverage, </w:t>
      </w:r>
      <w:r w:rsidRPr="00ED2CB6">
        <w:rPr>
          <w:i/>
          <w:sz w:val="20"/>
          <w:szCs w:val="20"/>
        </w:rPr>
        <w:t>Journal of Accounting Research</w:t>
      </w:r>
      <w:r w:rsidRPr="00ED2CB6">
        <w:rPr>
          <w:sz w:val="20"/>
          <w:szCs w:val="20"/>
        </w:rPr>
        <w:t>, 35, 167-199.</w:t>
      </w:r>
      <w:proofErr w:type="gramEnd"/>
    </w:p>
    <w:p w:rsidR="004C5FD7" w:rsidRPr="00ED2CB6" w:rsidRDefault="004C5FD7">
      <w:pPr>
        <w:ind w:left="720" w:hanging="720"/>
        <w:rPr>
          <w:sz w:val="20"/>
          <w:szCs w:val="20"/>
        </w:rPr>
      </w:pPr>
    </w:p>
    <w:p w:rsidR="00903D89" w:rsidRPr="00ED2CB6" w:rsidRDefault="00903D89">
      <w:pPr>
        <w:ind w:left="720" w:hanging="720"/>
        <w:rPr>
          <w:sz w:val="20"/>
          <w:szCs w:val="20"/>
        </w:rPr>
      </w:pPr>
      <w:proofErr w:type="spellStart"/>
      <w:r w:rsidRPr="00ED2CB6">
        <w:rPr>
          <w:sz w:val="20"/>
          <w:szCs w:val="20"/>
        </w:rPr>
        <w:t>Michaely</w:t>
      </w:r>
      <w:proofErr w:type="spellEnd"/>
      <w:r w:rsidRPr="00ED2CB6">
        <w:rPr>
          <w:sz w:val="20"/>
          <w:szCs w:val="20"/>
        </w:rPr>
        <w:t>, R.</w:t>
      </w:r>
      <w:r w:rsidR="00CD5880" w:rsidRPr="00ED2CB6">
        <w:rPr>
          <w:sz w:val="20"/>
          <w:szCs w:val="20"/>
        </w:rPr>
        <w:t>,</w:t>
      </w:r>
      <w:r w:rsidRPr="00ED2CB6">
        <w:rPr>
          <w:sz w:val="20"/>
          <w:szCs w:val="20"/>
        </w:rPr>
        <w:t xml:space="preserve"> and K. L. Womack</w:t>
      </w:r>
      <w:r w:rsidR="00CD5880" w:rsidRPr="00ED2CB6">
        <w:rPr>
          <w:sz w:val="20"/>
          <w:szCs w:val="20"/>
        </w:rPr>
        <w:t>, 1999</w:t>
      </w:r>
      <w:r w:rsidRPr="00ED2CB6">
        <w:rPr>
          <w:sz w:val="20"/>
          <w:szCs w:val="20"/>
        </w:rPr>
        <w:t>, Conflict of interest and the credibility of unde</w:t>
      </w:r>
      <w:r w:rsidR="00CD5880" w:rsidRPr="00ED2CB6">
        <w:rPr>
          <w:sz w:val="20"/>
          <w:szCs w:val="20"/>
        </w:rPr>
        <w:t>rwriter analyst recommendations,</w:t>
      </w:r>
      <w:r w:rsidRPr="00ED2CB6">
        <w:rPr>
          <w:sz w:val="20"/>
          <w:szCs w:val="20"/>
        </w:rPr>
        <w:t xml:space="preserve"> Review of Financial Studies, Vol. 12 No. 4, pp. 653-686.</w:t>
      </w:r>
    </w:p>
    <w:p w:rsidR="00903D89" w:rsidRPr="00ED2CB6" w:rsidRDefault="00903D89">
      <w:pPr>
        <w:ind w:left="720" w:hanging="720"/>
        <w:rPr>
          <w:sz w:val="20"/>
          <w:szCs w:val="20"/>
        </w:rPr>
      </w:pPr>
    </w:p>
    <w:p w:rsidR="00903D89" w:rsidRPr="00ED2CB6" w:rsidRDefault="00903D89">
      <w:pPr>
        <w:ind w:left="720" w:hanging="720"/>
        <w:rPr>
          <w:sz w:val="20"/>
          <w:szCs w:val="20"/>
        </w:rPr>
      </w:pPr>
      <w:r w:rsidRPr="00ED2CB6">
        <w:rPr>
          <w:sz w:val="20"/>
          <w:szCs w:val="20"/>
        </w:rPr>
        <w:t>Mikhail, M. B., B. R. Walther</w:t>
      </w:r>
      <w:r w:rsidR="00CD5880" w:rsidRPr="00ED2CB6">
        <w:rPr>
          <w:sz w:val="20"/>
          <w:szCs w:val="20"/>
        </w:rPr>
        <w:t>,</w:t>
      </w:r>
      <w:r w:rsidRPr="00ED2CB6">
        <w:rPr>
          <w:sz w:val="20"/>
          <w:szCs w:val="20"/>
        </w:rPr>
        <w:t xml:space="preserve"> and R. H. Willis</w:t>
      </w:r>
      <w:r w:rsidR="00CD5880" w:rsidRPr="00ED2CB6">
        <w:rPr>
          <w:sz w:val="20"/>
          <w:szCs w:val="20"/>
        </w:rPr>
        <w:t>, 1997</w:t>
      </w:r>
      <w:r w:rsidRPr="00ED2CB6">
        <w:rPr>
          <w:sz w:val="20"/>
          <w:szCs w:val="20"/>
        </w:rPr>
        <w:t>, Do security analysts improve their performance with experience?</w:t>
      </w:r>
      <w:r w:rsidR="00CD5880" w:rsidRPr="00ED2CB6">
        <w:rPr>
          <w:sz w:val="20"/>
          <w:szCs w:val="20"/>
        </w:rPr>
        <w:t>,</w:t>
      </w:r>
      <w:r w:rsidRPr="00ED2CB6">
        <w:rPr>
          <w:sz w:val="20"/>
          <w:szCs w:val="20"/>
        </w:rPr>
        <w:t xml:space="preserve"> Journal of Accounting Research, Vol. 35 Supplement, pp 131-157.</w:t>
      </w:r>
    </w:p>
    <w:p w:rsidR="00903D89" w:rsidRPr="00ED2CB6" w:rsidRDefault="00903D89">
      <w:pPr>
        <w:ind w:left="720" w:hanging="720"/>
        <w:rPr>
          <w:sz w:val="20"/>
          <w:szCs w:val="20"/>
        </w:rPr>
      </w:pPr>
    </w:p>
    <w:p w:rsidR="002F349F" w:rsidRPr="00ED2CB6" w:rsidRDefault="002F349F">
      <w:pPr>
        <w:ind w:left="720" w:hanging="720"/>
        <w:rPr>
          <w:sz w:val="20"/>
          <w:szCs w:val="20"/>
        </w:rPr>
      </w:pPr>
      <w:r w:rsidRPr="00ED2CB6">
        <w:rPr>
          <w:sz w:val="20"/>
          <w:szCs w:val="20"/>
        </w:rPr>
        <w:t xml:space="preserve">Morgan, J and P.C. </w:t>
      </w:r>
      <w:proofErr w:type="spellStart"/>
      <w:r w:rsidRPr="00ED2CB6">
        <w:rPr>
          <w:sz w:val="20"/>
          <w:szCs w:val="20"/>
        </w:rPr>
        <w:t>Stocken</w:t>
      </w:r>
      <w:proofErr w:type="spellEnd"/>
      <w:r w:rsidRPr="00ED2CB6">
        <w:rPr>
          <w:sz w:val="20"/>
          <w:szCs w:val="20"/>
        </w:rPr>
        <w:t>, 2003, An analysis of stock recommendations, RAND Journal of Economics, Vol. 34 Spring 2003, pp. 183-203.</w:t>
      </w:r>
    </w:p>
    <w:p w:rsidR="002F349F" w:rsidRPr="00ED2CB6" w:rsidRDefault="002F349F">
      <w:pPr>
        <w:ind w:left="720" w:hanging="720"/>
        <w:rPr>
          <w:sz w:val="20"/>
          <w:szCs w:val="20"/>
        </w:rPr>
      </w:pPr>
    </w:p>
    <w:p w:rsidR="00903D89" w:rsidRPr="00ED2CB6" w:rsidRDefault="00903D89">
      <w:pPr>
        <w:ind w:left="720" w:hanging="720"/>
        <w:rPr>
          <w:sz w:val="20"/>
          <w:szCs w:val="20"/>
        </w:rPr>
      </w:pPr>
      <w:r w:rsidRPr="00ED2CB6">
        <w:rPr>
          <w:sz w:val="20"/>
          <w:szCs w:val="20"/>
        </w:rPr>
        <w:t>O’Brien, P. C.</w:t>
      </w:r>
      <w:r w:rsidR="00CD5880" w:rsidRPr="00ED2CB6">
        <w:rPr>
          <w:sz w:val="20"/>
          <w:szCs w:val="20"/>
        </w:rPr>
        <w:t>, 1988</w:t>
      </w:r>
      <w:r w:rsidRPr="00ED2CB6">
        <w:rPr>
          <w:sz w:val="20"/>
          <w:szCs w:val="20"/>
        </w:rPr>
        <w:t>, Analysts’ for</w:t>
      </w:r>
      <w:r w:rsidR="00CD5880" w:rsidRPr="00ED2CB6">
        <w:rPr>
          <w:sz w:val="20"/>
          <w:szCs w:val="20"/>
        </w:rPr>
        <w:t>ecasts as earnings expectations,</w:t>
      </w:r>
      <w:r w:rsidRPr="00ED2CB6">
        <w:rPr>
          <w:sz w:val="20"/>
          <w:szCs w:val="20"/>
        </w:rPr>
        <w:t xml:space="preserve"> Journal of Accounting and Economics, 10, pp 53-83.</w:t>
      </w:r>
    </w:p>
    <w:p w:rsidR="00903D89" w:rsidRPr="00ED2CB6" w:rsidRDefault="00903D89">
      <w:pPr>
        <w:ind w:left="720" w:hanging="720"/>
        <w:rPr>
          <w:sz w:val="20"/>
          <w:szCs w:val="20"/>
        </w:rPr>
      </w:pPr>
    </w:p>
    <w:p w:rsidR="00903D89" w:rsidRPr="00ED2CB6" w:rsidRDefault="00903D89">
      <w:pPr>
        <w:ind w:left="720" w:hanging="720"/>
        <w:rPr>
          <w:sz w:val="20"/>
          <w:szCs w:val="20"/>
        </w:rPr>
      </w:pPr>
      <w:proofErr w:type="spellStart"/>
      <w:r w:rsidRPr="00ED2CB6">
        <w:rPr>
          <w:sz w:val="20"/>
          <w:szCs w:val="20"/>
        </w:rPr>
        <w:t>Schack</w:t>
      </w:r>
      <w:proofErr w:type="spellEnd"/>
      <w:r w:rsidRPr="00ED2CB6">
        <w:rPr>
          <w:sz w:val="20"/>
          <w:szCs w:val="20"/>
        </w:rPr>
        <w:t>, J.</w:t>
      </w:r>
      <w:r w:rsidR="00CD5880" w:rsidRPr="00ED2CB6">
        <w:rPr>
          <w:sz w:val="20"/>
          <w:szCs w:val="20"/>
        </w:rPr>
        <w:t>, 2001</w:t>
      </w:r>
      <w:r w:rsidRPr="00ED2CB6">
        <w:rPr>
          <w:sz w:val="20"/>
          <w:szCs w:val="20"/>
        </w:rPr>
        <w:t>, Should analysts own stocks they cover</w:t>
      </w:r>
      <w:proofErr w:type="gramStart"/>
      <w:r w:rsidRPr="00ED2CB6">
        <w:rPr>
          <w:sz w:val="20"/>
          <w:szCs w:val="20"/>
        </w:rPr>
        <w:t>?</w:t>
      </w:r>
      <w:r w:rsidR="00CD5880" w:rsidRPr="00ED2CB6">
        <w:rPr>
          <w:sz w:val="20"/>
          <w:szCs w:val="20"/>
        </w:rPr>
        <w:t>,</w:t>
      </w:r>
      <w:proofErr w:type="gramEnd"/>
      <w:r w:rsidRPr="00ED2CB6">
        <w:rPr>
          <w:sz w:val="20"/>
          <w:szCs w:val="20"/>
        </w:rPr>
        <w:t xml:space="preserve"> Institutional Investor, Issue 4, pp 60-71.</w:t>
      </w:r>
    </w:p>
    <w:p w:rsidR="00903D89" w:rsidRPr="00ED2CB6" w:rsidRDefault="00903D89">
      <w:pPr>
        <w:ind w:left="720" w:hanging="720"/>
        <w:rPr>
          <w:sz w:val="20"/>
          <w:szCs w:val="20"/>
        </w:rPr>
      </w:pPr>
    </w:p>
    <w:p w:rsidR="00903D89" w:rsidRPr="00ED2CB6" w:rsidRDefault="00903D89">
      <w:pPr>
        <w:ind w:left="720" w:hanging="720"/>
        <w:rPr>
          <w:sz w:val="20"/>
          <w:szCs w:val="20"/>
        </w:rPr>
      </w:pPr>
      <w:r w:rsidRPr="00ED2CB6">
        <w:rPr>
          <w:sz w:val="20"/>
          <w:szCs w:val="20"/>
        </w:rPr>
        <w:t>Schrand, C.</w:t>
      </w:r>
      <w:r w:rsidR="00CD5880" w:rsidRPr="00ED2CB6">
        <w:rPr>
          <w:sz w:val="20"/>
          <w:szCs w:val="20"/>
        </w:rPr>
        <w:t>,</w:t>
      </w:r>
      <w:r w:rsidRPr="00ED2CB6">
        <w:rPr>
          <w:sz w:val="20"/>
          <w:szCs w:val="20"/>
        </w:rPr>
        <w:t xml:space="preserve"> and R. E. </w:t>
      </w:r>
      <w:proofErr w:type="spellStart"/>
      <w:r w:rsidRPr="00ED2CB6">
        <w:rPr>
          <w:sz w:val="20"/>
          <w:szCs w:val="20"/>
        </w:rPr>
        <w:t>Verrecchia</w:t>
      </w:r>
      <w:proofErr w:type="spellEnd"/>
      <w:r w:rsidR="00CD5880" w:rsidRPr="00ED2CB6">
        <w:rPr>
          <w:sz w:val="20"/>
          <w:szCs w:val="20"/>
        </w:rPr>
        <w:t>, 2002</w:t>
      </w:r>
      <w:r w:rsidRPr="00ED2CB6">
        <w:rPr>
          <w:sz w:val="20"/>
          <w:szCs w:val="20"/>
        </w:rPr>
        <w:t xml:space="preserve">, Disclosure choice and cost of capital: evidence from </w:t>
      </w:r>
      <w:proofErr w:type="spellStart"/>
      <w:r w:rsidRPr="00ED2CB6">
        <w:rPr>
          <w:sz w:val="20"/>
          <w:szCs w:val="20"/>
        </w:rPr>
        <w:t>underpric</w:t>
      </w:r>
      <w:r w:rsidR="00CD5880" w:rsidRPr="00ED2CB6">
        <w:rPr>
          <w:sz w:val="20"/>
          <w:szCs w:val="20"/>
        </w:rPr>
        <w:t>ing</w:t>
      </w:r>
      <w:proofErr w:type="spellEnd"/>
      <w:r w:rsidR="00CD5880" w:rsidRPr="00ED2CB6">
        <w:rPr>
          <w:sz w:val="20"/>
          <w:szCs w:val="20"/>
        </w:rPr>
        <w:t xml:space="preserve"> in initial public offerings,</w:t>
      </w:r>
      <w:r w:rsidRPr="00ED2CB6">
        <w:rPr>
          <w:sz w:val="20"/>
          <w:szCs w:val="20"/>
        </w:rPr>
        <w:t xml:space="preserve"> Working Paper University of Pennsylvania.</w:t>
      </w:r>
    </w:p>
    <w:p w:rsidR="00903D89" w:rsidRPr="00ED2CB6" w:rsidRDefault="00903D89">
      <w:pPr>
        <w:ind w:left="720" w:hanging="720"/>
        <w:rPr>
          <w:sz w:val="20"/>
          <w:szCs w:val="20"/>
        </w:rPr>
      </w:pPr>
    </w:p>
    <w:p w:rsidR="00903D89" w:rsidRPr="00ED2CB6" w:rsidRDefault="00903D89">
      <w:pPr>
        <w:ind w:left="720" w:hanging="720"/>
        <w:rPr>
          <w:sz w:val="20"/>
          <w:szCs w:val="20"/>
        </w:rPr>
      </w:pPr>
      <w:proofErr w:type="gramStart"/>
      <w:r w:rsidRPr="00ED2CB6">
        <w:rPr>
          <w:sz w:val="20"/>
          <w:szCs w:val="20"/>
        </w:rPr>
        <w:t>Securities and Exchange Commission</w:t>
      </w:r>
      <w:r w:rsidR="00CD5880" w:rsidRPr="00ED2CB6">
        <w:rPr>
          <w:sz w:val="20"/>
          <w:szCs w:val="20"/>
        </w:rPr>
        <w:t>, 2001</w:t>
      </w:r>
      <w:r w:rsidRPr="00ED2CB6">
        <w:rPr>
          <w:sz w:val="20"/>
          <w:szCs w:val="20"/>
        </w:rPr>
        <w:t>, Analyzing Analyst Recomme</w:t>
      </w:r>
      <w:r w:rsidR="00CD5880" w:rsidRPr="00ED2CB6">
        <w:rPr>
          <w:sz w:val="20"/>
          <w:szCs w:val="20"/>
        </w:rPr>
        <w:t>ndations,</w:t>
      </w:r>
      <w:r w:rsidRPr="00ED2CB6">
        <w:rPr>
          <w:sz w:val="20"/>
          <w:szCs w:val="20"/>
        </w:rPr>
        <w:t xml:space="preserve"> www.sec.gov, 7/31/2001.</w:t>
      </w:r>
      <w:proofErr w:type="gramEnd"/>
    </w:p>
    <w:p w:rsidR="00903D89" w:rsidRPr="00ED2CB6" w:rsidRDefault="00903D89">
      <w:pPr>
        <w:ind w:left="720" w:hanging="720"/>
        <w:rPr>
          <w:sz w:val="20"/>
          <w:szCs w:val="20"/>
        </w:rPr>
      </w:pPr>
    </w:p>
    <w:p w:rsidR="005F22C4" w:rsidRPr="00ED2CB6" w:rsidRDefault="00903D89" w:rsidP="00ED2CB6">
      <w:pPr>
        <w:ind w:left="720" w:hanging="720"/>
        <w:rPr>
          <w:sz w:val="20"/>
          <w:szCs w:val="20"/>
        </w:rPr>
      </w:pPr>
      <w:r w:rsidRPr="00ED2CB6">
        <w:rPr>
          <w:sz w:val="20"/>
          <w:szCs w:val="20"/>
        </w:rPr>
        <w:t xml:space="preserve">Securities and Exchange Commission, </w:t>
      </w:r>
      <w:r w:rsidR="00CD5880" w:rsidRPr="00ED2CB6">
        <w:rPr>
          <w:sz w:val="20"/>
          <w:szCs w:val="20"/>
        </w:rPr>
        <w:t xml:space="preserve">2002, </w:t>
      </w:r>
      <w:r w:rsidRPr="00ED2CB6">
        <w:rPr>
          <w:sz w:val="20"/>
          <w:szCs w:val="20"/>
        </w:rPr>
        <w:t xml:space="preserve">Rule 144: Selling Restricted and Control Securities. </w:t>
      </w:r>
      <w:proofErr w:type="gramStart"/>
      <w:r w:rsidRPr="00ED2CB6">
        <w:rPr>
          <w:sz w:val="20"/>
          <w:szCs w:val="20"/>
        </w:rPr>
        <w:t>www.sec.gov, 1/22/02.</w:t>
      </w:r>
      <w:proofErr w:type="gramEnd"/>
    </w:p>
    <w:p w:rsidR="00903D89" w:rsidRPr="00ED2CB6" w:rsidRDefault="00903D89">
      <w:pPr>
        <w:ind w:left="720" w:hanging="720"/>
        <w:rPr>
          <w:sz w:val="20"/>
          <w:szCs w:val="20"/>
        </w:rPr>
      </w:pPr>
    </w:p>
    <w:p w:rsidR="00903D89" w:rsidRPr="00ED2CB6" w:rsidRDefault="00903D89">
      <w:pPr>
        <w:ind w:left="720" w:hanging="720"/>
        <w:rPr>
          <w:sz w:val="20"/>
          <w:szCs w:val="20"/>
        </w:rPr>
      </w:pPr>
      <w:proofErr w:type="gramStart"/>
      <w:r w:rsidRPr="00ED2CB6">
        <w:rPr>
          <w:sz w:val="20"/>
          <w:szCs w:val="20"/>
        </w:rPr>
        <w:t xml:space="preserve">Securities and Exchange Commission, </w:t>
      </w:r>
      <w:r w:rsidR="00CD5880" w:rsidRPr="00ED2CB6">
        <w:rPr>
          <w:sz w:val="20"/>
          <w:szCs w:val="20"/>
        </w:rPr>
        <w:t xml:space="preserve">2002, </w:t>
      </w:r>
      <w:r w:rsidRPr="00ED2CB6">
        <w:rPr>
          <w:sz w:val="20"/>
          <w:szCs w:val="20"/>
        </w:rPr>
        <w:t>Regulation Analyst Certification.</w:t>
      </w:r>
      <w:proofErr w:type="gramEnd"/>
      <w:r w:rsidRPr="00ED2CB6">
        <w:rPr>
          <w:sz w:val="20"/>
          <w:szCs w:val="20"/>
        </w:rPr>
        <w:t xml:space="preserve"> www.sec.gov, August, 2002.</w:t>
      </w:r>
    </w:p>
    <w:p w:rsidR="00903D89" w:rsidRPr="00ED2CB6" w:rsidRDefault="00903D89">
      <w:pPr>
        <w:ind w:left="720" w:hanging="720"/>
        <w:rPr>
          <w:sz w:val="20"/>
          <w:szCs w:val="20"/>
        </w:rPr>
      </w:pPr>
    </w:p>
    <w:p w:rsidR="00206AE2" w:rsidRPr="00ED2CB6" w:rsidRDefault="00206AE2" w:rsidP="00206AE2">
      <w:pPr>
        <w:ind w:left="720" w:hanging="720"/>
        <w:rPr>
          <w:sz w:val="20"/>
          <w:szCs w:val="20"/>
        </w:rPr>
      </w:pPr>
      <w:r w:rsidRPr="00ED2CB6">
        <w:rPr>
          <w:sz w:val="20"/>
          <w:szCs w:val="20"/>
        </w:rPr>
        <w:t xml:space="preserve">Solomon, Deborah, 2005, “Judge </w:t>
      </w:r>
      <w:proofErr w:type="gramStart"/>
      <w:r w:rsidRPr="00ED2CB6">
        <w:rPr>
          <w:sz w:val="20"/>
          <w:szCs w:val="20"/>
        </w:rPr>
        <w:t>lets</w:t>
      </w:r>
      <w:proofErr w:type="gramEnd"/>
      <w:r w:rsidRPr="00ED2CB6">
        <w:rPr>
          <w:sz w:val="20"/>
          <w:szCs w:val="20"/>
        </w:rPr>
        <w:t xml:space="preserve"> SEC proceed with suit against analyst”, Wall Street Journal, April 13, 2005.</w:t>
      </w:r>
    </w:p>
    <w:p w:rsidR="00206AE2" w:rsidRPr="00ED2CB6" w:rsidRDefault="00206AE2">
      <w:pPr>
        <w:ind w:left="720" w:hanging="720"/>
        <w:rPr>
          <w:sz w:val="20"/>
          <w:szCs w:val="20"/>
        </w:rPr>
      </w:pPr>
    </w:p>
    <w:p w:rsidR="00646D70" w:rsidRPr="00ED2CB6" w:rsidRDefault="00646D70">
      <w:pPr>
        <w:ind w:left="720" w:hanging="720"/>
        <w:rPr>
          <w:sz w:val="20"/>
          <w:szCs w:val="20"/>
        </w:rPr>
      </w:pPr>
      <w:proofErr w:type="spellStart"/>
      <w:r w:rsidRPr="00ED2CB6">
        <w:rPr>
          <w:sz w:val="20"/>
          <w:szCs w:val="20"/>
        </w:rPr>
        <w:t>Thurm</w:t>
      </w:r>
      <w:proofErr w:type="spellEnd"/>
      <w:r w:rsidRPr="00ED2CB6">
        <w:rPr>
          <w:sz w:val="20"/>
          <w:szCs w:val="20"/>
        </w:rPr>
        <w:t xml:space="preserve">, S., 2001, </w:t>
      </w:r>
      <w:proofErr w:type="gramStart"/>
      <w:r w:rsidRPr="00ED2CB6">
        <w:rPr>
          <w:sz w:val="20"/>
          <w:szCs w:val="20"/>
        </w:rPr>
        <w:t>When</w:t>
      </w:r>
      <w:proofErr w:type="gramEnd"/>
      <w:r w:rsidRPr="00ED2CB6">
        <w:rPr>
          <w:sz w:val="20"/>
          <w:szCs w:val="20"/>
        </w:rPr>
        <w:t xml:space="preserve"> do Analysts Cover Their Own Interests? – Conflicts Arise When Researchers Report on Companies in Which They Have Stakes, Wall Street Journal, </w:t>
      </w:r>
      <w:proofErr w:type="gramStart"/>
      <w:r w:rsidRPr="00ED2CB6">
        <w:rPr>
          <w:sz w:val="20"/>
          <w:szCs w:val="20"/>
        </w:rPr>
        <w:t>December</w:t>
      </w:r>
      <w:proofErr w:type="gramEnd"/>
      <w:r w:rsidRPr="00ED2CB6">
        <w:rPr>
          <w:sz w:val="20"/>
          <w:szCs w:val="20"/>
        </w:rPr>
        <w:t xml:space="preserve"> 10, 2001.</w:t>
      </w:r>
    </w:p>
    <w:p w:rsidR="00646D70" w:rsidRPr="00ED2CB6" w:rsidRDefault="00646D70">
      <w:pPr>
        <w:ind w:left="720" w:hanging="720"/>
        <w:rPr>
          <w:sz w:val="20"/>
          <w:szCs w:val="20"/>
        </w:rPr>
      </w:pPr>
    </w:p>
    <w:p w:rsidR="00903D89" w:rsidRPr="00ED2CB6" w:rsidRDefault="00903D89">
      <w:pPr>
        <w:ind w:left="720" w:hanging="720"/>
        <w:rPr>
          <w:sz w:val="20"/>
          <w:szCs w:val="20"/>
        </w:rPr>
      </w:pPr>
      <w:r w:rsidRPr="00ED2CB6">
        <w:rPr>
          <w:sz w:val="20"/>
          <w:szCs w:val="20"/>
        </w:rPr>
        <w:t xml:space="preserve">Unger, L. S., </w:t>
      </w:r>
      <w:r w:rsidR="00CD5880" w:rsidRPr="00ED2CB6">
        <w:rPr>
          <w:sz w:val="20"/>
          <w:szCs w:val="20"/>
        </w:rPr>
        <w:t xml:space="preserve">2001, </w:t>
      </w:r>
      <w:r w:rsidRPr="00ED2CB6">
        <w:rPr>
          <w:sz w:val="20"/>
          <w:szCs w:val="20"/>
        </w:rPr>
        <w:t>Written Testimony Concerning Conflicts of Interest Faced by Brokerage Fi</w:t>
      </w:r>
      <w:r w:rsidR="00CD5880" w:rsidRPr="00ED2CB6">
        <w:rPr>
          <w:sz w:val="20"/>
          <w:szCs w:val="20"/>
        </w:rPr>
        <w:t>rms and Their Research Analysts,</w:t>
      </w:r>
      <w:r w:rsidRPr="00ED2CB6">
        <w:rPr>
          <w:sz w:val="20"/>
          <w:szCs w:val="20"/>
        </w:rPr>
        <w:t xml:space="preserve"> www.sec.gov, July 2001.</w:t>
      </w:r>
    </w:p>
    <w:p w:rsidR="00903D89" w:rsidRPr="00ED2CB6" w:rsidRDefault="00903D89">
      <w:pPr>
        <w:ind w:left="1440" w:hanging="720"/>
        <w:rPr>
          <w:sz w:val="20"/>
          <w:szCs w:val="20"/>
        </w:rPr>
      </w:pPr>
    </w:p>
    <w:p w:rsidR="004F130A" w:rsidRPr="00704B59" w:rsidRDefault="007915BE" w:rsidP="006C412A">
      <w:pPr>
        <w:rPr>
          <w:b/>
          <w:sz w:val="20"/>
          <w:szCs w:val="20"/>
        </w:rPr>
      </w:pPr>
      <w:r w:rsidRPr="00BD04E4">
        <w:br w:type="page"/>
      </w:r>
      <w:r w:rsidR="004F130A" w:rsidRPr="00704B59">
        <w:rPr>
          <w:b/>
          <w:sz w:val="20"/>
          <w:szCs w:val="20"/>
        </w:rPr>
        <w:lastRenderedPageBreak/>
        <w:t>Figure 1</w:t>
      </w:r>
    </w:p>
    <w:p w:rsidR="004F130A" w:rsidRPr="00704B59" w:rsidRDefault="004F130A" w:rsidP="004F130A">
      <w:pPr>
        <w:rPr>
          <w:b/>
          <w:sz w:val="20"/>
          <w:szCs w:val="20"/>
        </w:rPr>
      </w:pPr>
      <w:r w:rsidRPr="00704B59">
        <w:rPr>
          <w:b/>
          <w:sz w:val="20"/>
          <w:szCs w:val="20"/>
        </w:rPr>
        <w:t>Form 144 time line for non-insiders</w:t>
      </w:r>
    </w:p>
    <w:p w:rsidR="004F130A" w:rsidRPr="00BD04E4" w:rsidRDefault="004F130A" w:rsidP="004F130A"/>
    <w:p w:rsidR="004F130A" w:rsidRPr="00BD04E4" w:rsidRDefault="004F130A" w:rsidP="004F130A"/>
    <w:p w:rsidR="004F130A" w:rsidRPr="00BD04E4" w:rsidRDefault="004F130A" w:rsidP="004F130A"/>
    <w:p w:rsidR="004F130A" w:rsidRPr="00BD04E4" w:rsidRDefault="004F130A" w:rsidP="004F130A"/>
    <w:p w:rsidR="004F130A" w:rsidRPr="00BD04E4" w:rsidRDefault="004F130A" w:rsidP="004F130A"/>
    <w:p w:rsidR="004F130A" w:rsidRPr="00BD04E4" w:rsidRDefault="00915317" w:rsidP="004F130A">
      <w:r>
        <w:rPr>
          <w:noProof/>
        </w:rPr>
        <w:pict>
          <v:shapetype id="_x0000_t202" coordsize="21600,21600" o:spt="202" path="m,l,21600r21600,l21600,xe">
            <v:stroke joinstyle="miter"/>
            <v:path gradientshapeok="t" o:connecttype="rect"/>
          </v:shapetype>
          <v:shape id="_x0000_s1165" type="#_x0000_t202" style="position:absolute;margin-left:3in;margin-top:139.9pt;width:2in;height:27pt;z-index:2" stroked="f">
            <v:textbox style="mso-next-textbox:#_x0000_s1165">
              <w:txbxContent>
                <w:p w:rsidR="00236622" w:rsidRDefault="00236622" w:rsidP="004F130A">
                  <w:r>
                    <w:t>Cross-Sectional Testing</w:t>
                  </w:r>
                </w:p>
              </w:txbxContent>
            </v:textbox>
            <w10:wrap side="left"/>
          </v:shape>
        </w:pict>
      </w:r>
      <w:r>
        <w:pict>
          <v:group id="_x0000_s1148" editas="canvas" style="width:414pt;height:162pt;mso-position-horizontal-relative:char;mso-position-vertical-relative:line" coordorigin="2813,1200" coordsize="6901,27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9" type="#_x0000_t75" style="position:absolute;left:2813;top:1200;width:6901;height:2774" o:preferrelative="f">
              <v:fill o:detectmouseclick="t"/>
              <v:path o:extrusionok="t" o:connecttype="none"/>
              <o:lock v:ext="edit" text="t"/>
            </v:shape>
            <v:line id="_x0000_s1150" style="position:absolute" from="3420,2593" to="9270,2593"/>
            <v:line id="_x0000_s1151" style="position:absolute" from="6270,2439" to="6270,2902"/>
            <v:shape id="_x0000_s1152" type="#_x0000_t202" style="position:absolute;left:5820;top:3056;width:1050;height:358" strokecolor="white">
              <v:textbox style="mso-next-textbox:#_x0000_s1152">
                <w:txbxContent>
                  <w:p w:rsidR="00236622" w:rsidRDefault="00236622" w:rsidP="004F130A">
                    <w:r>
                      <w:t>IPO Date</w:t>
                    </w:r>
                  </w:p>
                </w:txbxContent>
              </v:textbox>
            </v:shape>
            <v:line id="_x0000_s1153" style="position:absolute" from="8064,2461" to="8064,2461"/>
            <v:line id="_x0000_s1154" style="position:absolute" from="8064,2586" to="8064,2586"/>
            <v:line id="_x0000_s1155" style="position:absolute" from="8814,2433" to="8814,2895"/>
            <v:line id="_x0000_s1156" style="position:absolute" from="4463,2433" to="4463,2895"/>
            <v:shape id="_x0000_s1157" type="#_x0000_t202" style="position:absolute;left:2963;top:3006;width:2400;height:358" strokecolor="white">
              <v:textbox style="mso-next-textbox:#_x0000_s1157">
                <w:txbxContent>
                  <w:p w:rsidR="00236622" w:rsidRDefault="00236622" w:rsidP="004F130A">
                    <w:r>
                      <w:t>Restricted Stock Purchase</w:t>
                    </w:r>
                  </w:p>
                  <w:p w:rsidR="00236622" w:rsidRDefault="00236622" w:rsidP="004F130A"/>
                </w:txbxContent>
              </v:textbox>
            </v:shape>
            <v:shape id="_x0000_s1158" type="#_x0000_t202" style="position:absolute;left:8214;top:3049;width:1049;height:358" strokecolor="white">
              <v:textbox style="mso-next-textbox:#_x0000_s1158">
                <w:txbxContent>
                  <w:p w:rsidR="00236622" w:rsidRDefault="00236622" w:rsidP="004F130A">
                    <w:smartTag w:uri="urn:schemas-microsoft-com:office:smarttags" w:element="place">
                      <w:smartTag w:uri="urn:schemas-microsoft-com:office:smarttags" w:element="City">
                        <w:r>
                          <w:t>Sale</w:t>
                        </w:r>
                      </w:smartTag>
                    </w:smartTag>
                    <w:r>
                      <w:t xml:space="preserve"> Date</w:t>
                    </w:r>
                  </w:p>
                </w:txbxContent>
              </v:textbox>
            </v:shape>
            <v:line id="_x0000_s1159" style="position:absolute" from="4463,2124" to="7613,2124">
              <v:stroke startarrow="block" endarrow="block"/>
            </v:line>
            <v:shape id="_x0000_s1160" type="#_x0000_t202" style="position:absolute;left:5063;top:1662;width:2400;height:355" strokecolor="white">
              <v:textbox style="mso-next-textbox:#_x0000_s1160">
                <w:txbxContent>
                  <w:p w:rsidR="00236622" w:rsidRDefault="00236622" w:rsidP="004F130A">
                    <w:r>
                      <w:t>Required Holding Period</w:t>
                    </w:r>
                  </w:p>
                </w:txbxContent>
              </v:textbox>
            </v:shape>
            <v:line id="_x0000_s1161" style="position:absolute" from="7613,2125" to="9564,2126">
              <v:stroke startarrow="block" endarrow="block"/>
            </v:line>
            <v:shape id="_x0000_s1162" type="#_x0000_t202" style="position:absolute;left:7613;top:1662;width:1805;height:358" strokecolor="white">
              <v:textbox style="mso-next-textbox:#_x0000_s1162">
                <w:txbxContent>
                  <w:p w:rsidR="00236622" w:rsidRDefault="00236622" w:rsidP="004F130A">
                    <w:r>
                      <w:t>Form 144 required</w:t>
                    </w:r>
                  </w:p>
                </w:txbxContent>
              </v:textbox>
            </v:shape>
            <v:shape id="_x0000_s1163" type="#_x0000_t202" style="position:absolute;left:2963;top:2433;width:450;height:358" strokecolor="white">
              <v:textbox style="mso-next-textbox:#_x0000_s1163" inset="0,,0">
                <w:txbxContent>
                  <w:p w:rsidR="00236622" w:rsidRDefault="00236622" w:rsidP="004F130A">
                    <w:r>
                      <w:t>Time</w:t>
                    </w:r>
                  </w:p>
                </w:txbxContent>
              </v:textbox>
            </v:shape>
            <v:line id="_x0000_s1164" style="position:absolute" from="6263,3512" to="8814,3512">
              <v:stroke startarrow="block" endarrow="block"/>
            </v:line>
            <w10:wrap type="none"/>
            <w10:anchorlock/>
          </v:group>
        </w:pict>
      </w:r>
    </w:p>
    <w:p w:rsidR="004F130A" w:rsidRPr="00BD04E4" w:rsidRDefault="004F130A" w:rsidP="004F130A"/>
    <w:p w:rsidR="004F130A" w:rsidRPr="00BD04E4" w:rsidRDefault="004F130A" w:rsidP="004F130A"/>
    <w:p w:rsidR="004F130A" w:rsidRPr="00BD04E4" w:rsidRDefault="004F130A" w:rsidP="004F130A"/>
    <w:p w:rsidR="004F130A" w:rsidRPr="00704B59" w:rsidRDefault="004F130A" w:rsidP="00FA09A8">
      <w:pPr>
        <w:spacing w:line="480" w:lineRule="auto"/>
        <w:rPr>
          <w:sz w:val="20"/>
          <w:szCs w:val="20"/>
        </w:rPr>
      </w:pPr>
      <w:r w:rsidRPr="00704B59">
        <w:rPr>
          <w:sz w:val="20"/>
          <w:szCs w:val="20"/>
        </w:rPr>
        <w:t>Restricted stock is an unregistered security issued by a company in a non-public transaction. SEC Rule 144 requires filing Form 144 for non-insiders who sell their restricted stock in a public market during the 1</w:t>
      </w:r>
      <w:r w:rsidRPr="00704B59">
        <w:rPr>
          <w:sz w:val="20"/>
          <w:szCs w:val="20"/>
          <w:vertAlign w:val="superscript"/>
        </w:rPr>
        <w:t>st</w:t>
      </w:r>
      <w:r w:rsidRPr="00704B59">
        <w:rPr>
          <w:sz w:val="20"/>
          <w:szCs w:val="20"/>
        </w:rPr>
        <w:t xml:space="preserve"> year after the required holding period.</w:t>
      </w:r>
    </w:p>
    <w:p w:rsidR="004F130A" w:rsidRPr="00704B59" w:rsidRDefault="004F130A" w:rsidP="004F130A">
      <w:pPr>
        <w:rPr>
          <w:sz w:val="20"/>
          <w:szCs w:val="20"/>
        </w:rPr>
      </w:pPr>
      <w:r w:rsidRPr="00704B59">
        <w:rPr>
          <w:sz w:val="20"/>
          <w:szCs w:val="20"/>
        </w:rPr>
        <w:t>Required Holding Period:</w:t>
      </w:r>
    </w:p>
    <w:p w:rsidR="004F130A" w:rsidRPr="00704B59" w:rsidRDefault="004F130A" w:rsidP="004F130A">
      <w:pPr>
        <w:rPr>
          <w:sz w:val="20"/>
          <w:szCs w:val="20"/>
        </w:rPr>
      </w:pPr>
      <w:r w:rsidRPr="00704B59">
        <w:rPr>
          <w:sz w:val="20"/>
          <w:szCs w:val="20"/>
        </w:rPr>
        <w:tab/>
      </w:r>
      <w:proofErr w:type="gramStart"/>
      <w:r w:rsidRPr="00704B59">
        <w:rPr>
          <w:sz w:val="20"/>
          <w:szCs w:val="20"/>
        </w:rPr>
        <w:t>Pre April 29, 1997 – 2 years.</w:t>
      </w:r>
      <w:proofErr w:type="gramEnd"/>
    </w:p>
    <w:p w:rsidR="004F130A" w:rsidRPr="00704B59" w:rsidRDefault="004F130A" w:rsidP="004F130A">
      <w:pPr>
        <w:rPr>
          <w:sz w:val="20"/>
          <w:szCs w:val="20"/>
        </w:rPr>
      </w:pPr>
      <w:r w:rsidRPr="00704B59">
        <w:rPr>
          <w:sz w:val="20"/>
          <w:szCs w:val="20"/>
        </w:rPr>
        <w:tab/>
      </w:r>
      <w:proofErr w:type="gramStart"/>
      <w:r w:rsidRPr="00704B59">
        <w:rPr>
          <w:sz w:val="20"/>
          <w:szCs w:val="20"/>
        </w:rPr>
        <w:t>After April 29, 1997 – 1 year.</w:t>
      </w:r>
      <w:proofErr w:type="gramEnd"/>
    </w:p>
    <w:p w:rsidR="004F130A" w:rsidRPr="00BD04E4" w:rsidRDefault="004F130A" w:rsidP="004F130A">
      <w:pPr>
        <w:rPr>
          <w:b/>
        </w:rPr>
      </w:pPr>
    </w:p>
    <w:p w:rsidR="00903D89" w:rsidRPr="00BD04E4" w:rsidRDefault="004F130A" w:rsidP="00E5192C">
      <w:pPr>
        <w:pStyle w:val="Heading7"/>
        <w:ind w:left="720"/>
        <w:rPr>
          <w:sz w:val="24"/>
        </w:rPr>
      </w:pPr>
      <w:r w:rsidRPr="00BD04E4">
        <w:rPr>
          <w:b w:val="0"/>
        </w:rPr>
        <w:br w:type="page"/>
      </w:r>
      <w:r w:rsidR="00E817C9">
        <w:rPr>
          <w:sz w:val="24"/>
        </w:rPr>
        <w:lastRenderedPageBreak/>
        <w:t>Table 1</w:t>
      </w:r>
    </w:p>
    <w:p w:rsidR="00903D89" w:rsidRDefault="00446A4C" w:rsidP="00E5192C">
      <w:pPr>
        <w:ind w:left="720"/>
        <w:rPr>
          <w:b/>
        </w:rPr>
      </w:pPr>
      <w:r>
        <w:rPr>
          <w:b/>
        </w:rPr>
        <w:t>Descriptive Statistics</w:t>
      </w:r>
    </w:p>
    <w:p w:rsidR="004F130A" w:rsidRPr="00BD04E4" w:rsidRDefault="004F130A" w:rsidP="00E5192C">
      <w:pPr>
        <w:ind w:left="720"/>
        <w:rPr>
          <w:b/>
        </w:rPr>
      </w:pPr>
    </w:p>
    <w:p w:rsidR="00446A4C" w:rsidRPr="002861C0" w:rsidRDefault="00446A4C" w:rsidP="00446A4C">
      <w:pPr>
        <w:pStyle w:val="BodyText"/>
        <w:ind w:left="720"/>
        <w:rPr>
          <w:b/>
          <w:sz w:val="20"/>
          <w:szCs w:val="20"/>
        </w:rPr>
      </w:pPr>
      <w:r w:rsidRPr="002861C0">
        <w:rPr>
          <w:b/>
          <w:sz w:val="20"/>
          <w:szCs w:val="20"/>
        </w:rPr>
        <w:t>PANEL A:  Market Value of Equity at IPO – Form 144 Sample vs. Broad IPO sample</w:t>
      </w:r>
    </w:p>
    <w:p w:rsidR="00446A4C" w:rsidRDefault="00446A4C" w:rsidP="00E5192C">
      <w:pPr>
        <w:ind w:left="720"/>
        <w:rPr>
          <w:sz w:val="20"/>
          <w:szCs w:val="20"/>
        </w:rPr>
      </w:pPr>
    </w:p>
    <w:p w:rsidR="00903D89" w:rsidRDefault="00903D89" w:rsidP="00446A4C">
      <w:pPr>
        <w:ind w:left="720"/>
        <w:rPr>
          <w:sz w:val="20"/>
          <w:szCs w:val="20"/>
        </w:rPr>
      </w:pPr>
      <w:r w:rsidRPr="002F3DD0">
        <w:rPr>
          <w:sz w:val="20"/>
          <w:szCs w:val="20"/>
        </w:rPr>
        <w:t xml:space="preserve">I construct the </w:t>
      </w:r>
      <w:r w:rsidR="00446A4C">
        <w:rPr>
          <w:sz w:val="20"/>
          <w:szCs w:val="20"/>
        </w:rPr>
        <w:t xml:space="preserve">Form 144 </w:t>
      </w:r>
      <w:r w:rsidRPr="002F3DD0">
        <w:rPr>
          <w:sz w:val="20"/>
          <w:szCs w:val="20"/>
        </w:rPr>
        <w:t>sample by matching analyst names</w:t>
      </w:r>
      <w:r w:rsidR="00340867">
        <w:rPr>
          <w:sz w:val="20"/>
          <w:szCs w:val="20"/>
        </w:rPr>
        <w:t xml:space="preserve"> from IBES</w:t>
      </w:r>
      <w:r w:rsidRPr="002F3DD0">
        <w:rPr>
          <w:sz w:val="20"/>
          <w:szCs w:val="20"/>
        </w:rPr>
        <w:t xml:space="preserve"> to SEC Form 144 filings from 1987 to 2001. </w:t>
      </w:r>
      <w:r w:rsidR="00CD307D">
        <w:rPr>
          <w:sz w:val="20"/>
          <w:szCs w:val="20"/>
        </w:rPr>
        <w:t xml:space="preserve"> </w:t>
      </w:r>
      <w:r w:rsidRPr="002F3DD0">
        <w:rPr>
          <w:sz w:val="20"/>
          <w:szCs w:val="20"/>
        </w:rPr>
        <w:t>The SEC requires Form 144 for the sale of restricted stock if the stock is sold within a specified timeframe.  There are 51 instances in which an analyst own</w:t>
      </w:r>
      <w:r w:rsidR="0033348F" w:rsidRPr="002F3DD0">
        <w:rPr>
          <w:sz w:val="20"/>
          <w:szCs w:val="20"/>
        </w:rPr>
        <w:t>s</w:t>
      </w:r>
      <w:r w:rsidRPr="002F3DD0">
        <w:rPr>
          <w:sz w:val="20"/>
          <w:szCs w:val="20"/>
        </w:rPr>
        <w:t xml:space="preserve"> restricted stock and appear</w:t>
      </w:r>
      <w:r w:rsidR="0033348F" w:rsidRPr="002F3DD0">
        <w:rPr>
          <w:sz w:val="20"/>
          <w:szCs w:val="20"/>
        </w:rPr>
        <w:t>s</w:t>
      </w:r>
      <w:r w:rsidRPr="002F3DD0">
        <w:rPr>
          <w:sz w:val="20"/>
          <w:szCs w:val="20"/>
        </w:rPr>
        <w:t xml:space="preserve"> as an analyst for that company in the IBES database. </w:t>
      </w:r>
      <w:r w:rsidR="00DD61FC">
        <w:rPr>
          <w:sz w:val="20"/>
          <w:szCs w:val="20"/>
        </w:rPr>
        <w:t xml:space="preserve"> </w:t>
      </w:r>
      <w:r w:rsidR="00DD61FC" w:rsidRPr="002F3DD0">
        <w:rPr>
          <w:sz w:val="20"/>
          <w:szCs w:val="20"/>
        </w:rPr>
        <w:t>The sample represents 49 different companies and 43 an</w:t>
      </w:r>
      <w:r w:rsidR="00156229">
        <w:rPr>
          <w:sz w:val="20"/>
          <w:szCs w:val="20"/>
        </w:rPr>
        <w:t>alysts from 30 brokerage firms.</w:t>
      </w:r>
    </w:p>
    <w:p w:rsidR="00446A4C" w:rsidRPr="00446A4C" w:rsidRDefault="00446A4C" w:rsidP="00446A4C">
      <w:pPr>
        <w:ind w:left="720"/>
        <w:rPr>
          <w:sz w:val="20"/>
          <w:szCs w:val="20"/>
        </w:rPr>
      </w:pPr>
    </w:p>
    <w:p w:rsidR="00E01451" w:rsidRPr="002F3DD0" w:rsidRDefault="00E01451" w:rsidP="00E5192C">
      <w:pPr>
        <w:ind w:left="720"/>
        <w:rPr>
          <w:b/>
          <w:sz w:val="20"/>
          <w:szCs w:val="20"/>
        </w:rPr>
      </w:pPr>
      <w:r w:rsidRPr="002F3DD0">
        <w:rPr>
          <w:sz w:val="20"/>
          <w:szCs w:val="20"/>
        </w:rPr>
        <w:t>This panel compares market value of equity at the time of the IP</w:t>
      </w:r>
      <w:r w:rsidR="002861C0">
        <w:rPr>
          <w:sz w:val="20"/>
          <w:szCs w:val="20"/>
        </w:rPr>
        <w:t>O for the 49 companies</w:t>
      </w:r>
      <w:r w:rsidRPr="002F3DD0">
        <w:rPr>
          <w:sz w:val="20"/>
          <w:szCs w:val="20"/>
        </w:rPr>
        <w:t xml:space="preserve"> versus a broad IPO sample, obtained from Schrand and </w:t>
      </w:r>
      <w:proofErr w:type="spellStart"/>
      <w:r w:rsidRPr="002F3DD0">
        <w:rPr>
          <w:sz w:val="20"/>
          <w:szCs w:val="20"/>
        </w:rPr>
        <w:t>Verrecchia</w:t>
      </w:r>
      <w:proofErr w:type="spellEnd"/>
      <w:r w:rsidRPr="002F3DD0">
        <w:rPr>
          <w:sz w:val="20"/>
          <w:szCs w:val="20"/>
        </w:rPr>
        <w:t xml:space="preserve"> (2002).  Market value of equity is the product of the offering price and the number of s</w:t>
      </w:r>
      <w:r w:rsidR="00D21B52">
        <w:rPr>
          <w:sz w:val="20"/>
          <w:szCs w:val="20"/>
        </w:rPr>
        <w:t>hares outstanding immediately following</w:t>
      </w:r>
      <w:r w:rsidRPr="002F3DD0">
        <w:rPr>
          <w:sz w:val="20"/>
          <w:szCs w:val="20"/>
        </w:rPr>
        <w:t xml:space="preserve"> the offering.  Schrand and </w:t>
      </w:r>
      <w:proofErr w:type="spellStart"/>
      <w:r w:rsidRPr="002F3DD0">
        <w:rPr>
          <w:sz w:val="20"/>
          <w:szCs w:val="20"/>
        </w:rPr>
        <w:t>Verrecchia</w:t>
      </w:r>
      <w:proofErr w:type="spellEnd"/>
      <w:r w:rsidRPr="002F3DD0">
        <w:rPr>
          <w:sz w:val="20"/>
          <w:szCs w:val="20"/>
        </w:rPr>
        <w:t>, 2002 (S&amp;V) include firm commitment IPOs from 1990 to 1999 on SDC excluding non-ordinary shares, closed-end mutual funds, “penny stocks”, financial firms, spin-offs and firms with data discrepancies.  Owning analyst sample companies are also excluded from the S&amp;V group.</w:t>
      </w:r>
      <w:r>
        <w:rPr>
          <w:sz w:val="20"/>
          <w:szCs w:val="20"/>
        </w:rPr>
        <w:t xml:space="preserve">  Respectively, superscripts </w:t>
      </w:r>
      <w:proofErr w:type="gramStart"/>
      <w:r>
        <w:rPr>
          <w:sz w:val="20"/>
          <w:szCs w:val="20"/>
        </w:rPr>
        <w:t>a and</w:t>
      </w:r>
      <w:proofErr w:type="gramEnd"/>
      <w:r>
        <w:rPr>
          <w:sz w:val="20"/>
          <w:szCs w:val="20"/>
        </w:rPr>
        <w:t xml:space="preserve"> b denote statistical significance between sample and comparison firms at the 5% and 1% level.</w:t>
      </w:r>
    </w:p>
    <w:p w:rsidR="00E01451" w:rsidRPr="00BD04E4" w:rsidRDefault="00E01451"/>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116"/>
        <w:gridCol w:w="1130"/>
        <w:gridCol w:w="1261"/>
        <w:gridCol w:w="1190"/>
        <w:gridCol w:w="1261"/>
        <w:gridCol w:w="1116"/>
      </w:tblGrid>
      <w:tr w:rsidR="00903D89" w:rsidRPr="00BD04E4">
        <w:trPr>
          <w:jc w:val="center"/>
        </w:trPr>
        <w:tc>
          <w:tcPr>
            <w:tcW w:w="1368" w:type="dxa"/>
          </w:tcPr>
          <w:p w:rsidR="00903D89" w:rsidRPr="002F3DD0" w:rsidRDefault="00903D89">
            <w:pPr>
              <w:rPr>
                <w:b/>
                <w:sz w:val="20"/>
                <w:szCs w:val="20"/>
              </w:rPr>
            </w:pPr>
            <w:r w:rsidRPr="002F3DD0">
              <w:rPr>
                <w:b/>
                <w:sz w:val="20"/>
                <w:szCs w:val="20"/>
              </w:rPr>
              <w:t>$ million</w:t>
            </w:r>
          </w:p>
        </w:tc>
        <w:tc>
          <w:tcPr>
            <w:tcW w:w="1368" w:type="dxa"/>
          </w:tcPr>
          <w:p w:rsidR="00903D89" w:rsidRPr="002F3DD0" w:rsidRDefault="00903D89">
            <w:pPr>
              <w:jc w:val="center"/>
              <w:rPr>
                <w:b/>
                <w:sz w:val="20"/>
                <w:szCs w:val="20"/>
              </w:rPr>
            </w:pPr>
            <w:r w:rsidRPr="002F3DD0">
              <w:rPr>
                <w:b/>
                <w:sz w:val="20"/>
                <w:szCs w:val="20"/>
              </w:rPr>
              <w:t>N</w:t>
            </w:r>
          </w:p>
        </w:tc>
        <w:tc>
          <w:tcPr>
            <w:tcW w:w="1368" w:type="dxa"/>
          </w:tcPr>
          <w:p w:rsidR="00903D89" w:rsidRPr="002F3DD0" w:rsidRDefault="00903D89">
            <w:pPr>
              <w:jc w:val="center"/>
              <w:rPr>
                <w:b/>
                <w:sz w:val="20"/>
                <w:szCs w:val="20"/>
              </w:rPr>
            </w:pPr>
            <w:r w:rsidRPr="002F3DD0">
              <w:rPr>
                <w:b/>
                <w:sz w:val="20"/>
                <w:szCs w:val="20"/>
              </w:rPr>
              <w:t xml:space="preserve">Mean          </w:t>
            </w:r>
          </w:p>
        </w:tc>
        <w:tc>
          <w:tcPr>
            <w:tcW w:w="1368" w:type="dxa"/>
          </w:tcPr>
          <w:p w:rsidR="00903D89" w:rsidRPr="002F3DD0" w:rsidRDefault="00903D89">
            <w:pPr>
              <w:jc w:val="center"/>
              <w:rPr>
                <w:b/>
                <w:sz w:val="20"/>
                <w:szCs w:val="20"/>
              </w:rPr>
            </w:pPr>
            <w:r w:rsidRPr="002F3DD0">
              <w:rPr>
                <w:b/>
                <w:sz w:val="20"/>
                <w:szCs w:val="20"/>
              </w:rPr>
              <w:t>25</w:t>
            </w:r>
            <w:r w:rsidRPr="002F3DD0">
              <w:rPr>
                <w:b/>
                <w:sz w:val="20"/>
                <w:szCs w:val="20"/>
                <w:vertAlign w:val="superscript"/>
              </w:rPr>
              <w:t>th</w:t>
            </w:r>
            <w:r w:rsidRPr="002F3DD0">
              <w:rPr>
                <w:b/>
                <w:sz w:val="20"/>
                <w:szCs w:val="20"/>
              </w:rPr>
              <w:t xml:space="preserve"> Percentile</w:t>
            </w:r>
          </w:p>
        </w:tc>
        <w:tc>
          <w:tcPr>
            <w:tcW w:w="1368" w:type="dxa"/>
          </w:tcPr>
          <w:p w:rsidR="00903D89" w:rsidRPr="002F3DD0" w:rsidRDefault="00903D89">
            <w:pPr>
              <w:jc w:val="center"/>
              <w:rPr>
                <w:b/>
                <w:sz w:val="20"/>
                <w:szCs w:val="20"/>
              </w:rPr>
            </w:pPr>
            <w:r w:rsidRPr="002F3DD0">
              <w:rPr>
                <w:b/>
                <w:sz w:val="20"/>
                <w:szCs w:val="20"/>
              </w:rPr>
              <w:t>Median</w:t>
            </w:r>
          </w:p>
        </w:tc>
        <w:tc>
          <w:tcPr>
            <w:tcW w:w="1368" w:type="dxa"/>
          </w:tcPr>
          <w:p w:rsidR="00903D89" w:rsidRPr="002F3DD0" w:rsidRDefault="00903D89">
            <w:pPr>
              <w:jc w:val="center"/>
              <w:rPr>
                <w:b/>
                <w:sz w:val="20"/>
                <w:szCs w:val="20"/>
              </w:rPr>
            </w:pPr>
            <w:r w:rsidRPr="002F3DD0">
              <w:rPr>
                <w:b/>
                <w:sz w:val="20"/>
                <w:szCs w:val="20"/>
              </w:rPr>
              <w:t>75</w:t>
            </w:r>
            <w:r w:rsidRPr="002F3DD0">
              <w:rPr>
                <w:b/>
                <w:sz w:val="20"/>
                <w:szCs w:val="20"/>
                <w:vertAlign w:val="superscript"/>
              </w:rPr>
              <w:t>th</w:t>
            </w:r>
            <w:r w:rsidRPr="002F3DD0">
              <w:rPr>
                <w:b/>
                <w:sz w:val="20"/>
                <w:szCs w:val="20"/>
              </w:rPr>
              <w:t xml:space="preserve"> Percentile</w:t>
            </w:r>
          </w:p>
        </w:tc>
        <w:tc>
          <w:tcPr>
            <w:tcW w:w="1368" w:type="dxa"/>
          </w:tcPr>
          <w:p w:rsidR="00903D89" w:rsidRPr="002F3DD0" w:rsidRDefault="00903D89">
            <w:pPr>
              <w:jc w:val="center"/>
              <w:rPr>
                <w:b/>
                <w:sz w:val="20"/>
                <w:szCs w:val="20"/>
              </w:rPr>
            </w:pPr>
            <w:r w:rsidRPr="002F3DD0">
              <w:rPr>
                <w:b/>
                <w:sz w:val="20"/>
                <w:szCs w:val="20"/>
              </w:rPr>
              <w:t>Std. Dev.</w:t>
            </w:r>
          </w:p>
        </w:tc>
      </w:tr>
      <w:tr w:rsidR="00903D89" w:rsidRPr="00BD04E4">
        <w:trPr>
          <w:jc w:val="center"/>
        </w:trPr>
        <w:tc>
          <w:tcPr>
            <w:tcW w:w="1368" w:type="dxa"/>
          </w:tcPr>
          <w:p w:rsidR="00903D89" w:rsidRPr="002F3DD0" w:rsidRDefault="00903D89">
            <w:pPr>
              <w:rPr>
                <w:sz w:val="20"/>
                <w:szCs w:val="20"/>
              </w:rPr>
            </w:pPr>
            <w:r w:rsidRPr="002F3DD0">
              <w:rPr>
                <w:sz w:val="20"/>
                <w:szCs w:val="20"/>
              </w:rPr>
              <w:t>Sample Companies</w:t>
            </w:r>
          </w:p>
        </w:tc>
        <w:tc>
          <w:tcPr>
            <w:tcW w:w="1368" w:type="dxa"/>
          </w:tcPr>
          <w:p w:rsidR="00903D89" w:rsidRPr="002F3DD0" w:rsidRDefault="00903D89">
            <w:pPr>
              <w:jc w:val="right"/>
              <w:rPr>
                <w:sz w:val="20"/>
                <w:szCs w:val="20"/>
              </w:rPr>
            </w:pPr>
            <w:r w:rsidRPr="002F3DD0">
              <w:rPr>
                <w:sz w:val="20"/>
                <w:szCs w:val="20"/>
              </w:rPr>
              <w:t>49</w:t>
            </w:r>
          </w:p>
        </w:tc>
        <w:tc>
          <w:tcPr>
            <w:tcW w:w="1368" w:type="dxa"/>
          </w:tcPr>
          <w:p w:rsidR="00903D89" w:rsidRPr="002F3DD0" w:rsidRDefault="00903D89">
            <w:pPr>
              <w:jc w:val="right"/>
              <w:rPr>
                <w:sz w:val="20"/>
                <w:szCs w:val="20"/>
                <w:vertAlign w:val="superscript"/>
              </w:rPr>
            </w:pPr>
            <w:r w:rsidRPr="002F3DD0">
              <w:rPr>
                <w:sz w:val="20"/>
                <w:szCs w:val="20"/>
              </w:rPr>
              <w:t>718</w:t>
            </w:r>
            <w:r w:rsidR="002F3DD0" w:rsidRPr="002F3DD0">
              <w:rPr>
                <w:sz w:val="20"/>
                <w:szCs w:val="20"/>
                <w:vertAlign w:val="superscript"/>
              </w:rPr>
              <w:t>a</w:t>
            </w:r>
          </w:p>
        </w:tc>
        <w:tc>
          <w:tcPr>
            <w:tcW w:w="1368" w:type="dxa"/>
          </w:tcPr>
          <w:p w:rsidR="00903D89" w:rsidRPr="002F3DD0" w:rsidRDefault="00903D89">
            <w:pPr>
              <w:jc w:val="right"/>
              <w:rPr>
                <w:sz w:val="20"/>
                <w:szCs w:val="20"/>
              </w:rPr>
            </w:pPr>
            <w:r w:rsidRPr="002F3DD0">
              <w:rPr>
                <w:sz w:val="20"/>
                <w:szCs w:val="20"/>
              </w:rPr>
              <w:t>149</w:t>
            </w:r>
          </w:p>
        </w:tc>
        <w:tc>
          <w:tcPr>
            <w:tcW w:w="1368" w:type="dxa"/>
          </w:tcPr>
          <w:p w:rsidR="00903D89" w:rsidRPr="002F3DD0" w:rsidRDefault="00903D89">
            <w:pPr>
              <w:jc w:val="right"/>
              <w:rPr>
                <w:sz w:val="20"/>
                <w:szCs w:val="20"/>
                <w:vertAlign w:val="superscript"/>
              </w:rPr>
            </w:pPr>
            <w:r w:rsidRPr="002F3DD0">
              <w:rPr>
                <w:sz w:val="20"/>
                <w:szCs w:val="20"/>
              </w:rPr>
              <w:t>312</w:t>
            </w:r>
            <w:r w:rsidR="002F3DD0" w:rsidRPr="002F3DD0">
              <w:rPr>
                <w:sz w:val="20"/>
                <w:szCs w:val="20"/>
                <w:vertAlign w:val="superscript"/>
              </w:rPr>
              <w:t>b</w:t>
            </w:r>
          </w:p>
        </w:tc>
        <w:tc>
          <w:tcPr>
            <w:tcW w:w="1368" w:type="dxa"/>
          </w:tcPr>
          <w:p w:rsidR="00903D89" w:rsidRPr="002F3DD0" w:rsidRDefault="00903D89">
            <w:pPr>
              <w:jc w:val="right"/>
              <w:rPr>
                <w:sz w:val="20"/>
                <w:szCs w:val="20"/>
              </w:rPr>
            </w:pPr>
            <w:r w:rsidRPr="002F3DD0">
              <w:rPr>
                <w:sz w:val="20"/>
                <w:szCs w:val="20"/>
              </w:rPr>
              <w:t>477</w:t>
            </w:r>
          </w:p>
        </w:tc>
        <w:tc>
          <w:tcPr>
            <w:tcW w:w="1368" w:type="dxa"/>
          </w:tcPr>
          <w:p w:rsidR="00903D89" w:rsidRPr="002F3DD0" w:rsidRDefault="00903D89">
            <w:pPr>
              <w:jc w:val="right"/>
              <w:rPr>
                <w:sz w:val="20"/>
                <w:szCs w:val="20"/>
              </w:rPr>
            </w:pPr>
            <w:r w:rsidRPr="002F3DD0">
              <w:rPr>
                <w:sz w:val="20"/>
                <w:szCs w:val="20"/>
              </w:rPr>
              <w:t>1,761</w:t>
            </w:r>
          </w:p>
        </w:tc>
      </w:tr>
      <w:tr w:rsidR="00903D89" w:rsidRPr="00BD04E4">
        <w:trPr>
          <w:jc w:val="center"/>
        </w:trPr>
        <w:tc>
          <w:tcPr>
            <w:tcW w:w="1368" w:type="dxa"/>
          </w:tcPr>
          <w:p w:rsidR="00903D89" w:rsidRPr="002F3DD0" w:rsidRDefault="00903D89">
            <w:pPr>
              <w:rPr>
                <w:sz w:val="20"/>
                <w:szCs w:val="20"/>
              </w:rPr>
            </w:pPr>
            <w:r w:rsidRPr="002F3DD0">
              <w:rPr>
                <w:sz w:val="20"/>
                <w:szCs w:val="20"/>
              </w:rPr>
              <w:t>S&amp;V Sample</w:t>
            </w:r>
          </w:p>
        </w:tc>
        <w:tc>
          <w:tcPr>
            <w:tcW w:w="1368" w:type="dxa"/>
          </w:tcPr>
          <w:p w:rsidR="00903D89" w:rsidRPr="002F3DD0" w:rsidRDefault="00903D89">
            <w:pPr>
              <w:jc w:val="right"/>
              <w:rPr>
                <w:sz w:val="20"/>
                <w:szCs w:val="20"/>
              </w:rPr>
            </w:pPr>
            <w:r w:rsidRPr="002F3DD0">
              <w:rPr>
                <w:sz w:val="20"/>
                <w:szCs w:val="20"/>
              </w:rPr>
              <w:t>2,490</w:t>
            </w:r>
          </w:p>
        </w:tc>
        <w:tc>
          <w:tcPr>
            <w:tcW w:w="1368" w:type="dxa"/>
          </w:tcPr>
          <w:p w:rsidR="00903D89" w:rsidRPr="002F3DD0" w:rsidRDefault="00903D89">
            <w:pPr>
              <w:jc w:val="right"/>
              <w:rPr>
                <w:sz w:val="20"/>
                <w:szCs w:val="20"/>
              </w:rPr>
            </w:pPr>
            <w:r w:rsidRPr="002F3DD0">
              <w:rPr>
                <w:sz w:val="20"/>
                <w:szCs w:val="20"/>
              </w:rPr>
              <w:t>191</w:t>
            </w:r>
          </w:p>
        </w:tc>
        <w:tc>
          <w:tcPr>
            <w:tcW w:w="1368" w:type="dxa"/>
          </w:tcPr>
          <w:p w:rsidR="00903D89" w:rsidRPr="002F3DD0" w:rsidRDefault="00903D89">
            <w:pPr>
              <w:jc w:val="right"/>
              <w:rPr>
                <w:sz w:val="20"/>
                <w:szCs w:val="20"/>
              </w:rPr>
            </w:pPr>
            <w:r w:rsidRPr="002F3DD0">
              <w:rPr>
                <w:sz w:val="20"/>
                <w:szCs w:val="20"/>
              </w:rPr>
              <w:t>65</w:t>
            </w:r>
          </w:p>
        </w:tc>
        <w:tc>
          <w:tcPr>
            <w:tcW w:w="1368" w:type="dxa"/>
          </w:tcPr>
          <w:p w:rsidR="00903D89" w:rsidRPr="002F3DD0" w:rsidRDefault="00903D89">
            <w:pPr>
              <w:jc w:val="right"/>
              <w:rPr>
                <w:sz w:val="20"/>
                <w:szCs w:val="20"/>
              </w:rPr>
            </w:pPr>
            <w:r w:rsidRPr="002F3DD0">
              <w:rPr>
                <w:sz w:val="20"/>
                <w:szCs w:val="20"/>
              </w:rPr>
              <w:t>112</w:t>
            </w:r>
          </w:p>
        </w:tc>
        <w:tc>
          <w:tcPr>
            <w:tcW w:w="1368" w:type="dxa"/>
          </w:tcPr>
          <w:p w:rsidR="00903D89" w:rsidRPr="002F3DD0" w:rsidRDefault="00903D89">
            <w:pPr>
              <w:jc w:val="right"/>
              <w:rPr>
                <w:sz w:val="20"/>
                <w:szCs w:val="20"/>
              </w:rPr>
            </w:pPr>
            <w:r w:rsidRPr="002F3DD0">
              <w:rPr>
                <w:sz w:val="20"/>
                <w:szCs w:val="20"/>
              </w:rPr>
              <w:t>203</w:t>
            </w:r>
          </w:p>
        </w:tc>
        <w:tc>
          <w:tcPr>
            <w:tcW w:w="1368" w:type="dxa"/>
          </w:tcPr>
          <w:p w:rsidR="00903D89" w:rsidRPr="002F3DD0" w:rsidRDefault="00903D89">
            <w:pPr>
              <w:jc w:val="right"/>
              <w:rPr>
                <w:sz w:val="20"/>
                <w:szCs w:val="20"/>
              </w:rPr>
            </w:pPr>
            <w:r w:rsidRPr="002F3DD0">
              <w:rPr>
                <w:sz w:val="20"/>
                <w:szCs w:val="20"/>
              </w:rPr>
              <w:t>273</w:t>
            </w:r>
          </w:p>
        </w:tc>
      </w:tr>
    </w:tbl>
    <w:p w:rsidR="00903D89" w:rsidRPr="00BD04E4" w:rsidRDefault="00903D89"/>
    <w:p w:rsidR="00446A4C" w:rsidRPr="002861C0" w:rsidRDefault="00446A4C" w:rsidP="00446A4C">
      <w:pPr>
        <w:ind w:left="720"/>
        <w:rPr>
          <w:b/>
          <w:sz w:val="20"/>
          <w:szCs w:val="20"/>
        </w:rPr>
      </w:pPr>
      <w:r w:rsidRPr="002861C0">
        <w:rPr>
          <w:b/>
          <w:sz w:val="20"/>
          <w:szCs w:val="20"/>
        </w:rPr>
        <w:t xml:space="preserve">PANEL B:  Market Value of Equity:  </w:t>
      </w:r>
      <w:proofErr w:type="spellStart"/>
      <w:r w:rsidRPr="002861C0">
        <w:rPr>
          <w:b/>
          <w:sz w:val="20"/>
          <w:szCs w:val="20"/>
        </w:rPr>
        <w:t>Compustat</w:t>
      </w:r>
      <w:proofErr w:type="spellEnd"/>
      <w:r w:rsidRPr="002861C0">
        <w:rPr>
          <w:b/>
          <w:sz w:val="20"/>
          <w:szCs w:val="20"/>
        </w:rPr>
        <w:t xml:space="preserve"> versus </w:t>
      </w:r>
      <w:r w:rsidR="002861C0" w:rsidRPr="002861C0">
        <w:rPr>
          <w:b/>
          <w:sz w:val="20"/>
          <w:szCs w:val="20"/>
        </w:rPr>
        <w:t>D</w:t>
      </w:r>
      <w:r w:rsidRPr="002861C0">
        <w:rPr>
          <w:b/>
          <w:sz w:val="20"/>
          <w:szCs w:val="20"/>
        </w:rPr>
        <w:t>isclosing sample companies</w:t>
      </w:r>
    </w:p>
    <w:p w:rsidR="004F130A" w:rsidRPr="00BD04E4" w:rsidRDefault="004F130A" w:rsidP="00446A4C">
      <w:pPr>
        <w:rPr>
          <w:b/>
        </w:rPr>
      </w:pPr>
    </w:p>
    <w:p w:rsidR="00E01451" w:rsidRDefault="00446A4C" w:rsidP="00E5192C">
      <w:pPr>
        <w:ind w:left="720"/>
        <w:rPr>
          <w:sz w:val="20"/>
          <w:szCs w:val="20"/>
        </w:rPr>
      </w:pPr>
      <w:r>
        <w:rPr>
          <w:sz w:val="20"/>
          <w:szCs w:val="20"/>
        </w:rPr>
        <w:t>I obtain the Disclosing</w:t>
      </w:r>
      <w:r w:rsidR="00903D89" w:rsidRPr="00410B18">
        <w:rPr>
          <w:sz w:val="20"/>
          <w:szCs w:val="20"/>
        </w:rPr>
        <w:t xml:space="preserve"> sample from analyst ownership disclosures in the written reports of one of the few brokerage firms that historically required such disclosures.  I identify the 41 eq</w:t>
      </w:r>
      <w:r w:rsidR="00D21B52">
        <w:rPr>
          <w:sz w:val="20"/>
          <w:szCs w:val="20"/>
        </w:rPr>
        <w:t>uity analysts employed at this disclosing firm</w:t>
      </w:r>
      <w:r w:rsidR="00903D89" w:rsidRPr="00410B18">
        <w:rPr>
          <w:sz w:val="20"/>
          <w:szCs w:val="20"/>
        </w:rPr>
        <w:t xml:space="preserve"> as those that issued earnings forecasts during 1998, as reported on IBES. </w:t>
      </w:r>
      <w:r w:rsidR="00CD307D">
        <w:rPr>
          <w:sz w:val="20"/>
          <w:szCs w:val="20"/>
        </w:rPr>
        <w:t xml:space="preserve"> </w:t>
      </w:r>
      <w:r w:rsidR="00903D89" w:rsidRPr="00410B18">
        <w:rPr>
          <w:sz w:val="20"/>
          <w:szCs w:val="20"/>
        </w:rPr>
        <w:t xml:space="preserve">I review all reports written by these analysts, which are compiled by </w:t>
      </w:r>
      <w:proofErr w:type="spellStart"/>
      <w:r w:rsidR="00903D89" w:rsidRPr="00410B18">
        <w:rPr>
          <w:sz w:val="20"/>
          <w:szCs w:val="20"/>
        </w:rPr>
        <w:t>Investext</w:t>
      </w:r>
      <w:proofErr w:type="spellEnd"/>
      <w:r w:rsidR="00903D89" w:rsidRPr="00410B18">
        <w:rPr>
          <w:sz w:val="20"/>
          <w:szCs w:val="20"/>
        </w:rPr>
        <w:t xml:space="preserve"> and span 1993 through 2001, for ownership disclosures. Th</w:t>
      </w:r>
      <w:r w:rsidR="00145B0F">
        <w:rPr>
          <w:sz w:val="20"/>
          <w:szCs w:val="20"/>
        </w:rPr>
        <w:t>ere is analyst ownership for</w:t>
      </w:r>
      <w:r w:rsidR="009D4DFA" w:rsidRPr="00410B18">
        <w:rPr>
          <w:sz w:val="20"/>
          <w:szCs w:val="20"/>
        </w:rPr>
        <w:t xml:space="preserve"> </w:t>
      </w:r>
      <w:r w:rsidR="00145B0F">
        <w:rPr>
          <w:sz w:val="20"/>
          <w:szCs w:val="20"/>
        </w:rPr>
        <w:t>103 companies</w:t>
      </w:r>
      <w:r w:rsidR="002861C0">
        <w:rPr>
          <w:sz w:val="20"/>
          <w:szCs w:val="20"/>
        </w:rPr>
        <w:t xml:space="preserve"> included</w:t>
      </w:r>
      <w:r w:rsidR="00903D89" w:rsidRPr="00410B18">
        <w:rPr>
          <w:sz w:val="20"/>
          <w:szCs w:val="20"/>
        </w:rPr>
        <w:t xml:space="preserve"> the sample.</w:t>
      </w:r>
    </w:p>
    <w:p w:rsidR="00E01451" w:rsidRDefault="00E01451" w:rsidP="00E5192C">
      <w:pPr>
        <w:ind w:left="720"/>
        <w:rPr>
          <w:sz w:val="20"/>
          <w:szCs w:val="20"/>
        </w:rPr>
      </w:pPr>
    </w:p>
    <w:p w:rsidR="009D4DFA" w:rsidRDefault="00C25037" w:rsidP="00446A4C">
      <w:pPr>
        <w:ind w:left="720"/>
        <w:rPr>
          <w:sz w:val="20"/>
          <w:szCs w:val="20"/>
        </w:rPr>
      </w:pPr>
      <w:r>
        <w:rPr>
          <w:sz w:val="20"/>
          <w:szCs w:val="20"/>
        </w:rPr>
        <w:t xml:space="preserve">This table </w:t>
      </w:r>
      <w:r w:rsidRPr="00C25037">
        <w:rPr>
          <w:sz w:val="20"/>
          <w:szCs w:val="20"/>
        </w:rPr>
        <w:t>compares the yearly</w:t>
      </w:r>
      <w:r w:rsidR="002861C0">
        <w:rPr>
          <w:sz w:val="20"/>
          <w:szCs w:val="20"/>
        </w:rPr>
        <w:t xml:space="preserve"> market value of equity of the 103</w:t>
      </w:r>
      <w:r w:rsidRPr="00C25037">
        <w:rPr>
          <w:sz w:val="20"/>
          <w:szCs w:val="20"/>
        </w:rPr>
        <w:t xml:space="preserve"> companies</w:t>
      </w:r>
      <w:r w:rsidR="00D21B52">
        <w:rPr>
          <w:sz w:val="20"/>
          <w:szCs w:val="20"/>
        </w:rPr>
        <w:t xml:space="preserve"> (where appropriate)</w:t>
      </w:r>
      <w:r w:rsidRPr="00C25037">
        <w:rPr>
          <w:sz w:val="20"/>
          <w:szCs w:val="20"/>
        </w:rPr>
        <w:t xml:space="preserve"> to the entire </w:t>
      </w:r>
      <w:proofErr w:type="spellStart"/>
      <w:r w:rsidRPr="00C25037">
        <w:rPr>
          <w:sz w:val="20"/>
          <w:szCs w:val="20"/>
        </w:rPr>
        <w:t>Compustat</w:t>
      </w:r>
      <w:proofErr w:type="spellEnd"/>
      <w:r w:rsidRPr="00C25037">
        <w:rPr>
          <w:sz w:val="20"/>
          <w:szCs w:val="20"/>
        </w:rPr>
        <w:t xml:space="preserve"> database.</w:t>
      </w:r>
      <w:r w:rsidR="00446A4C">
        <w:rPr>
          <w:sz w:val="20"/>
          <w:szCs w:val="20"/>
        </w:rPr>
        <w:t xml:space="preserve">  </w:t>
      </w:r>
      <w:r>
        <w:rPr>
          <w:sz w:val="20"/>
          <w:szCs w:val="20"/>
        </w:rPr>
        <w:t xml:space="preserve">Superscript </w:t>
      </w:r>
      <w:proofErr w:type="gramStart"/>
      <w:r>
        <w:rPr>
          <w:sz w:val="20"/>
          <w:szCs w:val="20"/>
        </w:rPr>
        <w:t>a denotes</w:t>
      </w:r>
      <w:proofErr w:type="gramEnd"/>
      <w:r>
        <w:rPr>
          <w:sz w:val="20"/>
          <w:szCs w:val="20"/>
        </w:rPr>
        <w:t xml:space="preserve"> statistical significance between sample and comparison firms at the 5% level</w:t>
      </w:r>
      <w:r w:rsidRPr="00410B18">
        <w:rPr>
          <w:sz w:val="20"/>
          <w:szCs w:val="20"/>
        </w:rPr>
        <w:t>.</w:t>
      </w:r>
    </w:p>
    <w:p w:rsidR="00903D89" w:rsidRPr="00BD04E4" w:rsidRDefault="00903D89"/>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1806"/>
        <w:gridCol w:w="1806"/>
        <w:gridCol w:w="1806"/>
        <w:gridCol w:w="1806"/>
      </w:tblGrid>
      <w:tr w:rsidR="00903D89" w:rsidRPr="00BD04E4">
        <w:trPr>
          <w:jc w:val="center"/>
        </w:trPr>
        <w:tc>
          <w:tcPr>
            <w:tcW w:w="1128" w:type="dxa"/>
          </w:tcPr>
          <w:p w:rsidR="00903D89" w:rsidRPr="00410B18" w:rsidRDefault="00903D89">
            <w:pPr>
              <w:jc w:val="center"/>
              <w:rPr>
                <w:b/>
                <w:sz w:val="20"/>
                <w:szCs w:val="20"/>
              </w:rPr>
            </w:pPr>
            <w:r w:rsidRPr="00410B18">
              <w:rPr>
                <w:b/>
                <w:sz w:val="20"/>
                <w:szCs w:val="20"/>
              </w:rPr>
              <w:t>Year</w:t>
            </w:r>
          </w:p>
        </w:tc>
        <w:tc>
          <w:tcPr>
            <w:tcW w:w="3612" w:type="dxa"/>
            <w:gridSpan w:val="2"/>
          </w:tcPr>
          <w:p w:rsidR="00903D89" w:rsidRPr="00410B18" w:rsidRDefault="00903D89">
            <w:pPr>
              <w:jc w:val="center"/>
              <w:rPr>
                <w:b/>
                <w:sz w:val="20"/>
                <w:szCs w:val="20"/>
              </w:rPr>
            </w:pPr>
            <w:proofErr w:type="spellStart"/>
            <w:r w:rsidRPr="00410B18">
              <w:rPr>
                <w:b/>
                <w:sz w:val="20"/>
                <w:szCs w:val="20"/>
              </w:rPr>
              <w:t>Compustat</w:t>
            </w:r>
            <w:proofErr w:type="spellEnd"/>
          </w:p>
        </w:tc>
        <w:tc>
          <w:tcPr>
            <w:tcW w:w="3612" w:type="dxa"/>
            <w:gridSpan w:val="2"/>
          </w:tcPr>
          <w:p w:rsidR="00903D89" w:rsidRPr="00410B18" w:rsidRDefault="00903D89">
            <w:pPr>
              <w:jc w:val="center"/>
              <w:rPr>
                <w:b/>
                <w:sz w:val="20"/>
                <w:szCs w:val="20"/>
              </w:rPr>
            </w:pPr>
            <w:r w:rsidRPr="00410B18">
              <w:rPr>
                <w:b/>
                <w:sz w:val="20"/>
                <w:szCs w:val="20"/>
              </w:rPr>
              <w:t>Sample companies</w:t>
            </w:r>
          </w:p>
        </w:tc>
      </w:tr>
      <w:tr w:rsidR="00903D89" w:rsidRPr="00BD04E4">
        <w:trPr>
          <w:jc w:val="center"/>
        </w:trPr>
        <w:tc>
          <w:tcPr>
            <w:tcW w:w="1128" w:type="dxa"/>
          </w:tcPr>
          <w:p w:rsidR="00903D89" w:rsidRPr="00410B18" w:rsidRDefault="00903D89">
            <w:pPr>
              <w:jc w:val="right"/>
              <w:rPr>
                <w:snapToGrid w:val="0"/>
                <w:color w:val="000000"/>
                <w:sz w:val="20"/>
                <w:szCs w:val="20"/>
              </w:rPr>
            </w:pPr>
          </w:p>
        </w:tc>
        <w:tc>
          <w:tcPr>
            <w:tcW w:w="1806" w:type="dxa"/>
          </w:tcPr>
          <w:p w:rsidR="00903D89" w:rsidRPr="00410B18" w:rsidRDefault="00903D89">
            <w:pPr>
              <w:jc w:val="center"/>
              <w:rPr>
                <w:b/>
                <w:snapToGrid w:val="0"/>
                <w:color w:val="000000"/>
                <w:sz w:val="20"/>
                <w:szCs w:val="20"/>
              </w:rPr>
            </w:pPr>
            <w:r w:rsidRPr="00410B18">
              <w:rPr>
                <w:b/>
                <w:snapToGrid w:val="0"/>
                <w:color w:val="000000"/>
                <w:sz w:val="20"/>
                <w:szCs w:val="20"/>
              </w:rPr>
              <w:t>Mean</w:t>
            </w:r>
          </w:p>
        </w:tc>
        <w:tc>
          <w:tcPr>
            <w:tcW w:w="1806" w:type="dxa"/>
          </w:tcPr>
          <w:p w:rsidR="00903D89" w:rsidRPr="00410B18" w:rsidRDefault="00903D89">
            <w:pPr>
              <w:jc w:val="center"/>
              <w:rPr>
                <w:b/>
                <w:snapToGrid w:val="0"/>
                <w:color w:val="000000"/>
                <w:sz w:val="20"/>
                <w:szCs w:val="20"/>
              </w:rPr>
            </w:pPr>
            <w:r w:rsidRPr="00410B18">
              <w:rPr>
                <w:b/>
                <w:snapToGrid w:val="0"/>
                <w:color w:val="000000"/>
                <w:sz w:val="20"/>
                <w:szCs w:val="20"/>
              </w:rPr>
              <w:t>Median</w:t>
            </w:r>
          </w:p>
        </w:tc>
        <w:tc>
          <w:tcPr>
            <w:tcW w:w="1806" w:type="dxa"/>
          </w:tcPr>
          <w:p w:rsidR="00903D89" w:rsidRPr="00410B18" w:rsidRDefault="00903D89">
            <w:pPr>
              <w:jc w:val="center"/>
              <w:rPr>
                <w:b/>
                <w:snapToGrid w:val="0"/>
                <w:color w:val="000000"/>
                <w:sz w:val="20"/>
                <w:szCs w:val="20"/>
              </w:rPr>
            </w:pPr>
            <w:r w:rsidRPr="00410B18">
              <w:rPr>
                <w:b/>
                <w:snapToGrid w:val="0"/>
                <w:color w:val="000000"/>
                <w:sz w:val="20"/>
                <w:szCs w:val="20"/>
              </w:rPr>
              <w:t>Mean</w:t>
            </w:r>
          </w:p>
        </w:tc>
        <w:tc>
          <w:tcPr>
            <w:tcW w:w="1806" w:type="dxa"/>
          </w:tcPr>
          <w:p w:rsidR="00903D89" w:rsidRPr="00410B18" w:rsidRDefault="00903D89">
            <w:pPr>
              <w:jc w:val="center"/>
              <w:rPr>
                <w:b/>
                <w:snapToGrid w:val="0"/>
                <w:color w:val="000000"/>
                <w:sz w:val="20"/>
                <w:szCs w:val="20"/>
              </w:rPr>
            </w:pPr>
            <w:r w:rsidRPr="00410B18">
              <w:rPr>
                <w:b/>
                <w:snapToGrid w:val="0"/>
                <w:color w:val="000000"/>
                <w:sz w:val="20"/>
                <w:szCs w:val="20"/>
              </w:rPr>
              <w:t>Median</w:t>
            </w:r>
          </w:p>
        </w:tc>
      </w:tr>
      <w:tr w:rsidR="00903D89" w:rsidRPr="00BD04E4">
        <w:trPr>
          <w:jc w:val="center"/>
        </w:trPr>
        <w:tc>
          <w:tcPr>
            <w:tcW w:w="1128" w:type="dxa"/>
          </w:tcPr>
          <w:p w:rsidR="00903D89" w:rsidRPr="00410B18" w:rsidRDefault="00903D89">
            <w:pPr>
              <w:jc w:val="right"/>
              <w:rPr>
                <w:snapToGrid w:val="0"/>
                <w:color w:val="000000"/>
                <w:sz w:val="20"/>
                <w:szCs w:val="20"/>
              </w:rPr>
            </w:pPr>
            <w:r w:rsidRPr="00410B18">
              <w:rPr>
                <w:snapToGrid w:val="0"/>
                <w:color w:val="000000"/>
                <w:sz w:val="20"/>
                <w:szCs w:val="20"/>
              </w:rPr>
              <w:t>1993</w:t>
            </w:r>
          </w:p>
        </w:tc>
        <w:tc>
          <w:tcPr>
            <w:tcW w:w="1806" w:type="dxa"/>
            <w:vAlign w:val="bottom"/>
          </w:tcPr>
          <w:p w:rsidR="00903D89" w:rsidRPr="00410B18" w:rsidRDefault="00903D89">
            <w:pPr>
              <w:jc w:val="right"/>
              <w:rPr>
                <w:sz w:val="20"/>
                <w:szCs w:val="20"/>
              </w:rPr>
            </w:pPr>
            <w:r w:rsidRPr="00410B18">
              <w:rPr>
                <w:sz w:val="20"/>
                <w:szCs w:val="20"/>
              </w:rPr>
              <w:t xml:space="preserve">        865</w:t>
            </w:r>
            <w:r w:rsidR="00410B18">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83</w:t>
            </w:r>
            <w:r w:rsidR="00C25037">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4,724 </w:t>
            </w:r>
          </w:p>
        </w:tc>
        <w:tc>
          <w:tcPr>
            <w:tcW w:w="1806" w:type="dxa"/>
            <w:vAlign w:val="bottom"/>
          </w:tcPr>
          <w:p w:rsidR="00903D89" w:rsidRPr="00410B18" w:rsidRDefault="00903D89">
            <w:pPr>
              <w:jc w:val="right"/>
              <w:rPr>
                <w:sz w:val="20"/>
                <w:szCs w:val="20"/>
              </w:rPr>
            </w:pPr>
            <w:r w:rsidRPr="00410B18">
              <w:rPr>
                <w:sz w:val="20"/>
                <w:szCs w:val="20"/>
              </w:rPr>
              <w:t xml:space="preserve">        428 </w:t>
            </w:r>
          </w:p>
        </w:tc>
      </w:tr>
      <w:tr w:rsidR="00903D89" w:rsidRPr="00BD04E4">
        <w:trPr>
          <w:jc w:val="center"/>
        </w:trPr>
        <w:tc>
          <w:tcPr>
            <w:tcW w:w="1128" w:type="dxa"/>
          </w:tcPr>
          <w:p w:rsidR="00903D89" w:rsidRPr="00410B18" w:rsidRDefault="00903D89">
            <w:pPr>
              <w:jc w:val="right"/>
              <w:rPr>
                <w:snapToGrid w:val="0"/>
                <w:color w:val="000000"/>
                <w:sz w:val="20"/>
                <w:szCs w:val="20"/>
              </w:rPr>
            </w:pPr>
            <w:r w:rsidRPr="00410B18">
              <w:rPr>
                <w:snapToGrid w:val="0"/>
                <w:color w:val="000000"/>
                <w:sz w:val="20"/>
                <w:szCs w:val="20"/>
              </w:rPr>
              <w:t>1994</w:t>
            </w:r>
          </w:p>
        </w:tc>
        <w:tc>
          <w:tcPr>
            <w:tcW w:w="1806" w:type="dxa"/>
            <w:vAlign w:val="bottom"/>
          </w:tcPr>
          <w:p w:rsidR="00903D89" w:rsidRPr="00410B18" w:rsidRDefault="00903D89">
            <w:pPr>
              <w:jc w:val="right"/>
              <w:rPr>
                <w:sz w:val="20"/>
                <w:szCs w:val="20"/>
              </w:rPr>
            </w:pPr>
            <w:r w:rsidRPr="00410B18">
              <w:rPr>
                <w:sz w:val="20"/>
                <w:szCs w:val="20"/>
              </w:rPr>
              <w:t xml:space="preserve">        855</w:t>
            </w:r>
            <w:r w:rsidR="00410B18">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78</w:t>
            </w:r>
            <w:r w:rsidR="00C25037">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4,426 </w:t>
            </w:r>
          </w:p>
        </w:tc>
        <w:tc>
          <w:tcPr>
            <w:tcW w:w="1806" w:type="dxa"/>
            <w:vAlign w:val="bottom"/>
          </w:tcPr>
          <w:p w:rsidR="00903D89" w:rsidRPr="00410B18" w:rsidRDefault="00903D89">
            <w:pPr>
              <w:jc w:val="right"/>
              <w:rPr>
                <w:sz w:val="20"/>
                <w:szCs w:val="20"/>
              </w:rPr>
            </w:pPr>
            <w:r w:rsidRPr="00410B18">
              <w:rPr>
                <w:sz w:val="20"/>
                <w:szCs w:val="20"/>
              </w:rPr>
              <w:t xml:space="preserve">        240 </w:t>
            </w:r>
          </w:p>
        </w:tc>
      </w:tr>
      <w:tr w:rsidR="00903D89" w:rsidRPr="00BD04E4">
        <w:trPr>
          <w:jc w:val="center"/>
        </w:trPr>
        <w:tc>
          <w:tcPr>
            <w:tcW w:w="1128" w:type="dxa"/>
          </w:tcPr>
          <w:p w:rsidR="00903D89" w:rsidRPr="00410B18" w:rsidRDefault="00903D89">
            <w:pPr>
              <w:jc w:val="right"/>
              <w:rPr>
                <w:snapToGrid w:val="0"/>
                <w:color w:val="000000"/>
                <w:sz w:val="20"/>
                <w:szCs w:val="20"/>
              </w:rPr>
            </w:pPr>
            <w:r w:rsidRPr="00410B18">
              <w:rPr>
                <w:snapToGrid w:val="0"/>
                <w:color w:val="000000"/>
                <w:sz w:val="20"/>
                <w:szCs w:val="20"/>
              </w:rPr>
              <w:t>1995</w:t>
            </w:r>
          </w:p>
        </w:tc>
        <w:tc>
          <w:tcPr>
            <w:tcW w:w="1806" w:type="dxa"/>
            <w:vAlign w:val="bottom"/>
          </w:tcPr>
          <w:p w:rsidR="00903D89" w:rsidRPr="00410B18" w:rsidRDefault="00903D89">
            <w:pPr>
              <w:jc w:val="right"/>
              <w:rPr>
                <w:sz w:val="20"/>
                <w:szCs w:val="20"/>
              </w:rPr>
            </w:pPr>
            <w:r w:rsidRPr="00410B18">
              <w:rPr>
                <w:sz w:val="20"/>
                <w:szCs w:val="20"/>
              </w:rPr>
              <w:t xml:space="preserve">     1,034</w:t>
            </w:r>
            <w:r w:rsidR="00410B18">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89</w:t>
            </w:r>
            <w:r w:rsidR="00C25037" w:rsidRPr="00C25037">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6,158 </w:t>
            </w:r>
          </w:p>
        </w:tc>
        <w:tc>
          <w:tcPr>
            <w:tcW w:w="1806" w:type="dxa"/>
            <w:vAlign w:val="bottom"/>
          </w:tcPr>
          <w:p w:rsidR="00903D89" w:rsidRPr="00410B18" w:rsidRDefault="00903D89">
            <w:pPr>
              <w:jc w:val="right"/>
              <w:rPr>
                <w:sz w:val="20"/>
                <w:szCs w:val="20"/>
              </w:rPr>
            </w:pPr>
            <w:r w:rsidRPr="00410B18">
              <w:rPr>
                <w:sz w:val="20"/>
                <w:szCs w:val="20"/>
              </w:rPr>
              <w:t xml:space="preserve">        406 </w:t>
            </w:r>
          </w:p>
        </w:tc>
      </w:tr>
      <w:tr w:rsidR="00903D89" w:rsidRPr="00BD04E4">
        <w:trPr>
          <w:jc w:val="center"/>
        </w:trPr>
        <w:tc>
          <w:tcPr>
            <w:tcW w:w="1128" w:type="dxa"/>
          </w:tcPr>
          <w:p w:rsidR="00903D89" w:rsidRPr="00410B18" w:rsidRDefault="00903D89">
            <w:pPr>
              <w:jc w:val="right"/>
              <w:rPr>
                <w:snapToGrid w:val="0"/>
                <w:color w:val="000000"/>
                <w:sz w:val="20"/>
                <w:szCs w:val="20"/>
              </w:rPr>
            </w:pPr>
            <w:r w:rsidRPr="00410B18">
              <w:rPr>
                <w:snapToGrid w:val="0"/>
                <w:color w:val="000000"/>
                <w:sz w:val="20"/>
                <w:szCs w:val="20"/>
              </w:rPr>
              <w:t>1996</w:t>
            </w:r>
          </w:p>
        </w:tc>
        <w:tc>
          <w:tcPr>
            <w:tcW w:w="1806" w:type="dxa"/>
            <w:vAlign w:val="bottom"/>
          </w:tcPr>
          <w:p w:rsidR="00903D89" w:rsidRPr="00410B18" w:rsidRDefault="00903D89">
            <w:pPr>
              <w:jc w:val="right"/>
              <w:rPr>
                <w:sz w:val="20"/>
                <w:szCs w:val="20"/>
              </w:rPr>
            </w:pPr>
            <w:r w:rsidRPr="00410B18">
              <w:rPr>
                <w:sz w:val="20"/>
                <w:szCs w:val="20"/>
              </w:rPr>
              <w:t xml:space="preserve">     1,190</w:t>
            </w:r>
            <w:r w:rsidR="00410B18">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100</w:t>
            </w:r>
            <w:r w:rsidR="00C25037" w:rsidRPr="00C25037">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8,087 </w:t>
            </w:r>
          </w:p>
        </w:tc>
        <w:tc>
          <w:tcPr>
            <w:tcW w:w="1806" w:type="dxa"/>
            <w:vAlign w:val="bottom"/>
          </w:tcPr>
          <w:p w:rsidR="00903D89" w:rsidRPr="00410B18" w:rsidRDefault="00903D89">
            <w:pPr>
              <w:jc w:val="right"/>
              <w:rPr>
                <w:sz w:val="20"/>
                <w:szCs w:val="20"/>
              </w:rPr>
            </w:pPr>
            <w:r w:rsidRPr="00410B18">
              <w:rPr>
                <w:sz w:val="20"/>
                <w:szCs w:val="20"/>
              </w:rPr>
              <w:t xml:space="preserve">        579 </w:t>
            </w:r>
          </w:p>
        </w:tc>
      </w:tr>
      <w:tr w:rsidR="00903D89" w:rsidRPr="00BD04E4">
        <w:trPr>
          <w:jc w:val="center"/>
        </w:trPr>
        <w:tc>
          <w:tcPr>
            <w:tcW w:w="1128" w:type="dxa"/>
          </w:tcPr>
          <w:p w:rsidR="00903D89" w:rsidRPr="00410B18" w:rsidRDefault="00903D89">
            <w:pPr>
              <w:jc w:val="right"/>
              <w:rPr>
                <w:snapToGrid w:val="0"/>
                <w:color w:val="000000"/>
                <w:sz w:val="20"/>
                <w:szCs w:val="20"/>
              </w:rPr>
            </w:pPr>
            <w:r w:rsidRPr="00410B18">
              <w:rPr>
                <w:snapToGrid w:val="0"/>
                <w:color w:val="000000"/>
                <w:sz w:val="20"/>
                <w:szCs w:val="20"/>
              </w:rPr>
              <w:t>1997</w:t>
            </w:r>
          </w:p>
        </w:tc>
        <w:tc>
          <w:tcPr>
            <w:tcW w:w="1806" w:type="dxa"/>
            <w:vAlign w:val="bottom"/>
          </w:tcPr>
          <w:p w:rsidR="00903D89" w:rsidRPr="00410B18" w:rsidRDefault="00903D89">
            <w:pPr>
              <w:jc w:val="right"/>
              <w:rPr>
                <w:sz w:val="20"/>
                <w:szCs w:val="20"/>
              </w:rPr>
            </w:pPr>
            <w:r w:rsidRPr="00410B18">
              <w:rPr>
                <w:sz w:val="20"/>
                <w:szCs w:val="20"/>
              </w:rPr>
              <w:t xml:space="preserve">     1,533</w:t>
            </w:r>
            <w:r w:rsidR="00410B18" w:rsidRPr="00410B18">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116</w:t>
            </w:r>
            <w:r w:rsidR="00C25037" w:rsidRPr="00C25037">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10,215 </w:t>
            </w:r>
          </w:p>
        </w:tc>
        <w:tc>
          <w:tcPr>
            <w:tcW w:w="1806" w:type="dxa"/>
            <w:vAlign w:val="bottom"/>
          </w:tcPr>
          <w:p w:rsidR="00903D89" w:rsidRPr="00410B18" w:rsidRDefault="00903D89">
            <w:pPr>
              <w:jc w:val="right"/>
              <w:rPr>
                <w:sz w:val="20"/>
                <w:szCs w:val="20"/>
              </w:rPr>
            </w:pPr>
            <w:r w:rsidRPr="00410B18">
              <w:rPr>
                <w:sz w:val="20"/>
                <w:szCs w:val="20"/>
              </w:rPr>
              <w:t xml:space="preserve">        467 </w:t>
            </w:r>
          </w:p>
        </w:tc>
      </w:tr>
      <w:tr w:rsidR="00903D89" w:rsidRPr="00BD04E4">
        <w:trPr>
          <w:jc w:val="center"/>
        </w:trPr>
        <w:tc>
          <w:tcPr>
            <w:tcW w:w="1128" w:type="dxa"/>
          </w:tcPr>
          <w:p w:rsidR="00903D89" w:rsidRPr="00410B18" w:rsidRDefault="00903D89">
            <w:pPr>
              <w:jc w:val="right"/>
              <w:rPr>
                <w:snapToGrid w:val="0"/>
                <w:color w:val="000000"/>
                <w:sz w:val="20"/>
                <w:szCs w:val="20"/>
              </w:rPr>
            </w:pPr>
            <w:r w:rsidRPr="00410B18">
              <w:rPr>
                <w:snapToGrid w:val="0"/>
                <w:color w:val="000000"/>
                <w:sz w:val="20"/>
                <w:szCs w:val="20"/>
              </w:rPr>
              <w:t>1998</w:t>
            </w:r>
          </w:p>
        </w:tc>
        <w:tc>
          <w:tcPr>
            <w:tcW w:w="1806" w:type="dxa"/>
            <w:vAlign w:val="bottom"/>
          </w:tcPr>
          <w:p w:rsidR="00903D89" w:rsidRPr="00410B18" w:rsidRDefault="00903D89">
            <w:pPr>
              <w:jc w:val="right"/>
              <w:rPr>
                <w:sz w:val="20"/>
                <w:szCs w:val="20"/>
              </w:rPr>
            </w:pPr>
            <w:r w:rsidRPr="00410B18">
              <w:rPr>
                <w:sz w:val="20"/>
                <w:szCs w:val="20"/>
              </w:rPr>
              <w:t xml:space="preserve">     1,867</w:t>
            </w:r>
            <w:r w:rsidR="00410B18" w:rsidRPr="00410B18">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98</w:t>
            </w:r>
            <w:r w:rsidR="00C25037" w:rsidRPr="00C25037">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14,464 </w:t>
            </w:r>
          </w:p>
        </w:tc>
        <w:tc>
          <w:tcPr>
            <w:tcW w:w="1806" w:type="dxa"/>
            <w:vAlign w:val="bottom"/>
          </w:tcPr>
          <w:p w:rsidR="00903D89" w:rsidRPr="00410B18" w:rsidRDefault="00903D89">
            <w:pPr>
              <w:jc w:val="right"/>
              <w:rPr>
                <w:sz w:val="20"/>
                <w:szCs w:val="20"/>
              </w:rPr>
            </w:pPr>
            <w:r w:rsidRPr="00410B18">
              <w:rPr>
                <w:sz w:val="20"/>
                <w:szCs w:val="20"/>
              </w:rPr>
              <w:t xml:space="preserve">        529 </w:t>
            </w:r>
          </w:p>
        </w:tc>
      </w:tr>
      <w:tr w:rsidR="00903D89" w:rsidRPr="00BD04E4">
        <w:trPr>
          <w:jc w:val="center"/>
        </w:trPr>
        <w:tc>
          <w:tcPr>
            <w:tcW w:w="1128" w:type="dxa"/>
          </w:tcPr>
          <w:p w:rsidR="00903D89" w:rsidRPr="00410B18" w:rsidRDefault="00903D89">
            <w:pPr>
              <w:jc w:val="right"/>
              <w:rPr>
                <w:snapToGrid w:val="0"/>
                <w:color w:val="000000"/>
                <w:sz w:val="20"/>
                <w:szCs w:val="20"/>
              </w:rPr>
            </w:pPr>
            <w:r w:rsidRPr="00410B18">
              <w:rPr>
                <w:snapToGrid w:val="0"/>
                <w:color w:val="000000"/>
                <w:sz w:val="20"/>
                <w:szCs w:val="20"/>
              </w:rPr>
              <w:t>1999</w:t>
            </w:r>
          </w:p>
        </w:tc>
        <w:tc>
          <w:tcPr>
            <w:tcW w:w="1806" w:type="dxa"/>
            <w:vAlign w:val="bottom"/>
          </w:tcPr>
          <w:p w:rsidR="00903D89" w:rsidRPr="00410B18" w:rsidRDefault="00903D89">
            <w:pPr>
              <w:jc w:val="right"/>
              <w:rPr>
                <w:sz w:val="20"/>
                <w:szCs w:val="20"/>
              </w:rPr>
            </w:pPr>
            <w:r w:rsidRPr="00410B18">
              <w:rPr>
                <w:sz w:val="20"/>
                <w:szCs w:val="20"/>
              </w:rPr>
              <w:t xml:space="preserve">     2,615</w:t>
            </w:r>
            <w:r w:rsidR="00410B18">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104</w:t>
            </w:r>
            <w:r w:rsidR="00C25037" w:rsidRPr="00C25037">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21,036 </w:t>
            </w:r>
          </w:p>
        </w:tc>
        <w:tc>
          <w:tcPr>
            <w:tcW w:w="1806" w:type="dxa"/>
            <w:vAlign w:val="bottom"/>
          </w:tcPr>
          <w:p w:rsidR="00903D89" w:rsidRPr="00410B18" w:rsidRDefault="00903D89">
            <w:pPr>
              <w:jc w:val="right"/>
              <w:rPr>
                <w:sz w:val="20"/>
                <w:szCs w:val="20"/>
              </w:rPr>
            </w:pPr>
            <w:r w:rsidRPr="00410B18">
              <w:rPr>
                <w:sz w:val="20"/>
                <w:szCs w:val="20"/>
              </w:rPr>
              <w:t xml:space="preserve">     1,117 </w:t>
            </w:r>
          </w:p>
        </w:tc>
      </w:tr>
      <w:tr w:rsidR="00903D89" w:rsidRPr="00BD04E4">
        <w:trPr>
          <w:jc w:val="center"/>
        </w:trPr>
        <w:tc>
          <w:tcPr>
            <w:tcW w:w="1128" w:type="dxa"/>
          </w:tcPr>
          <w:p w:rsidR="00903D89" w:rsidRPr="00410B18" w:rsidRDefault="00903D89">
            <w:pPr>
              <w:jc w:val="right"/>
              <w:rPr>
                <w:snapToGrid w:val="0"/>
                <w:color w:val="000000"/>
                <w:sz w:val="20"/>
                <w:szCs w:val="20"/>
              </w:rPr>
            </w:pPr>
            <w:r w:rsidRPr="00410B18">
              <w:rPr>
                <w:snapToGrid w:val="0"/>
                <w:color w:val="000000"/>
                <w:sz w:val="20"/>
                <w:szCs w:val="20"/>
              </w:rPr>
              <w:t>2000</w:t>
            </w:r>
          </w:p>
        </w:tc>
        <w:tc>
          <w:tcPr>
            <w:tcW w:w="1806" w:type="dxa"/>
            <w:vAlign w:val="bottom"/>
          </w:tcPr>
          <w:p w:rsidR="00903D89" w:rsidRPr="00410B18" w:rsidRDefault="00903D89">
            <w:pPr>
              <w:jc w:val="right"/>
              <w:rPr>
                <w:sz w:val="20"/>
                <w:szCs w:val="20"/>
              </w:rPr>
            </w:pPr>
            <w:r w:rsidRPr="00410B18">
              <w:rPr>
                <w:sz w:val="20"/>
                <w:szCs w:val="20"/>
              </w:rPr>
              <w:t xml:space="preserve">     2,466</w:t>
            </w:r>
            <w:r w:rsidR="00410B18" w:rsidRPr="00410B18">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84 </w:t>
            </w:r>
            <w:r w:rsidR="00C25037" w:rsidRPr="00C25037">
              <w:rPr>
                <w:sz w:val="20"/>
                <w:szCs w:val="20"/>
                <w:vertAlign w:val="superscript"/>
              </w:rPr>
              <w:t>a</w:t>
            </w:r>
          </w:p>
        </w:tc>
        <w:tc>
          <w:tcPr>
            <w:tcW w:w="1806" w:type="dxa"/>
            <w:vAlign w:val="bottom"/>
          </w:tcPr>
          <w:p w:rsidR="00903D89" w:rsidRPr="00410B18" w:rsidRDefault="00903D89">
            <w:pPr>
              <w:jc w:val="right"/>
              <w:rPr>
                <w:sz w:val="20"/>
                <w:szCs w:val="20"/>
              </w:rPr>
            </w:pPr>
            <w:r w:rsidRPr="00410B18">
              <w:rPr>
                <w:sz w:val="20"/>
                <w:szCs w:val="20"/>
              </w:rPr>
              <w:t xml:space="preserve">    23,118 </w:t>
            </w:r>
          </w:p>
        </w:tc>
        <w:tc>
          <w:tcPr>
            <w:tcW w:w="1806" w:type="dxa"/>
            <w:vAlign w:val="bottom"/>
          </w:tcPr>
          <w:p w:rsidR="00903D89" w:rsidRPr="00410B18" w:rsidRDefault="00903D89">
            <w:pPr>
              <w:jc w:val="right"/>
              <w:rPr>
                <w:sz w:val="20"/>
                <w:szCs w:val="20"/>
              </w:rPr>
            </w:pPr>
            <w:r w:rsidRPr="00410B18">
              <w:rPr>
                <w:sz w:val="20"/>
                <w:szCs w:val="20"/>
              </w:rPr>
              <w:t xml:space="preserve">        651 </w:t>
            </w:r>
          </w:p>
        </w:tc>
      </w:tr>
      <w:tr w:rsidR="00903D89" w:rsidRPr="00BD04E4">
        <w:trPr>
          <w:jc w:val="center"/>
        </w:trPr>
        <w:tc>
          <w:tcPr>
            <w:tcW w:w="1128" w:type="dxa"/>
          </w:tcPr>
          <w:p w:rsidR="00903D89" w:rsidRPr="00410B18" w:rsidRDefault="00903D89">
            <w:pPr>
              <w:jc w:val="right"/>
              <w:rPr>
                <w:snapToGrid w:val="0"/>
                <w:color w:val="000000"/>
                <w:sz w:val="20"/>
                <w:szCs w:val="20"/>
              </w:rPr>
            </w:pPr>
            <w:r w:rsidRPr="00410B18">
              <w:rPr>
                <w:snapToGrid w:val="0"/>
                <w:color w:val="000000"/>
                <w:sz w:val="20"/>
                <w:szCs w:val="20"/>
              </w:rPr>
              <w:t>2001</w:t>
            </w:r>
          </w:p>
        </w:tc>
        <w:tc>
          <w:tcPr>
            <w:tcW w:w="1806" w:type="dxa"/>
            <w:vAlign w:val="bottom"/>
          </w:tcPr>
          <w:p w:rsidR="00903D89" w:rsidRPr="00410B18" w:rsidRDefault="00903D89">
            <w:pPr>
              <w:jc w:val="right"/>
              <w:rPr>
                <w:sz w:val="20"/>
                <w:szCs w:val="20"/>
              </w:rPr>
            </w:pPr>
            <w:r w:rsidRPr="00410B18">
              <w:rPr>
                <w:sz w:val="20"/>
                <w:szCs w:val="20"/>
              </w:rPr>
              <w:t xml:space="preserve">     2,186</w:t>
            </w:r>
            <w:r w:rsidR="00410B18" w:rsidRPr="00410B18">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93</w:t>
            </w:r>
            <w:r w:rsidR="00C25037" w:rsidRPr="00C25037">
              <w:rPr>
                <w:sz w:val="20"/>
                <w:szCs w:val="20"/>
                <w:vertAlign w:val="superscript"/>
              </w:rPr>
              <w:t>a</w:t>
            </w:r>
            <w:r w:rsidRPr="00410B18">
              <w:rPr>
                <w:sz w:val="20"/>
                <w:szCs w:val="20"/>
              </w:rPr>
              <w:t xml:space="preserve"> </w:t>
            </w:r>
          </w:p>
        </w:tc>
        <w:tc>
          <w:tcPr>
            <w:tcW w:w="1806" w:type="dxa"/>
            <w:vAlign w:val="bottom"/>
          </w:tcPr>
          <w:p w:rsidR="00903D89" w:rsidRPr="00410B18" w:rsidRDefault="00903D89">
            <w:pPr>
              <w:jc w:val="right"/>
              <w:rPr>
                <w:sz w:val="20"/>
                <w:szCs w:val="20"/>
              </w:rPr>
            </w:pPr>
            <w:r w:rsidRPr="00410B18">
              <w:rPr>
                <w:sz w:val="20"/>
                <w:szCs w:val="20"/>
              </w:rPr>
              <w:t xml:space="preserve">    18,147 </w:t>
            </w:r>
          </w:p>
        </w:tc>
        <w:tc>
          <w:tcPr>
            <w:tcW w:w="1806" w:type="dxa"/>
            <w:vAlign w:val="bottom"/>
          </w:tcPr>
          <w:p w:rsidR="00903D89" w:rsidRPr="00410B18" w:rsidRDefault="00903D89">
            <w:pPr>
              <w:jc w:val="right"/>
              <w:rPr>
                <w:sz w:val="20"/>
                <w:szCs w:val="20"/>
              </w:rPr>
            </w:pPr>
            <w:r w:rsidRPr="00410B18">
              <w:rPr>
                <w:sz w:val="20"/>
                <w:szCs w:val="20"/>
              </w:rPr>
              <w:t xml:space="preserve">        470 </w:t>
            </w:r>
          </w:p>
        </w:tc>
      </w:tr>
    </w:tbl>
    <w:p w:rsidR="00903D89" w:rsidRPr="00BD04E4" w:rsidRDefault="004C2F22">
      <w:r w:rsidRPr="00BD04E4">
        <w:lastRenderedPageBreak/>
        <w:br w:type="page"/>
      </w:r>
    </w:p>
    <w:p w:rsidR="00903D89" w:rsidRPr="00BD04E4" w:rsidRDefault="00E817C9" w:rsidP="00E5192C">
      <w:pPr>
        <w:pStyle w:val="Heading7"/>
        <w:ind w:left="720"/>
        <w:rPr>
          <w:sz w:val="24"/>
        </w:rPr>
      </w:pPr>
      <w:r>
        <w:rPr>
          <w:sz w:val="24"/>
        </w:rPr>
        <w:lastRenderedPageBreak/>
        <w:t>Table 2</w:t>
      </w:r>
    </w:p>
    <w:p w:rsidR="00903D89" w:rsidRDefault="00903D89" w:rsidP="00E5192C">
      <w:pPr>
        <w:ind w:left="720"/>
        <w:rPr>
          <w:b/>
        </w:rPr>
      </w:pPr>
      <w:r w:rsidRPr="00BD04E4">
        <w:rPr>
          <w:b/>
        </w:rPr>
        <w:t>Analyst Recommendations</w:t>
      </w:r>
    </w:p>
    <w:p w:rsidR="004F130A" w:rsidRPr="00BD04E4" w:rsidRDefault="004F130A" w:rsidP="00E5192C">
      <w:pPr>
        <w:ind w:left="720"/>
        <w:rPr>
          <w:b/>
        </w:rPr>
      </w:pPr>
    </w:p>
    <w:p w:rsidR="003128C0" w:rsidRDefault="00C25037" w:rsidP="00E5192C">
      <w:pPr>
        <w:ind w:left="720"/>
        <w:rPr>
          <w:sz w:val="20"/>
          <w:szCs w:val="20"/>
        </w:rPr>
      </w:pPr>
      <w:r>
        <w:rPr>
          <w:sz w:val="20"/>
          <w:szCs w:val="20"/>
        </w:rPr>
        <w:t>This table compares owning-analyst reco</w:t>
      </w:r>
      <w:r w:rsidR="00145B0F">
        <w:rPr>
          <w:sz w:val="20"/>
          <w:szCs w:val="20"/>
        </w:rPr>
        <w:t xml:space="preserve">mmendation levels to non-owning </w:t>
      </w:r>
      <w:r>
        <w:rPr>
          <w:sz w:val="20"/>
          <w:szCs w:val="20"/>
        </w:rPr>
        <w:t xml:space="preserve">analyst recommendations.  </w:t>
      </w:r>
      <w:r w:rsidR="00903D89" w:rsidRPr="00C25037">
        <w:rPr>
          <w:sz w:val="20"/>
          <w:szCs w:val="20"/>
        </w:rPr>
        <w:t xml:space="preserve">For the </w:t>
      </w:r>
      <w:r w:rsidR="00982C1C" w:rsidRPr="00C25037">
        <w:rPr>
          <w:sz w:val="20"/>
          <w:szCs w:val="20"/>
        </w:rPr>
        <w:t>Form 144</w:t>
      </w:r>
      <w:r w:rsidR="00903D89" w:rsidRPr="00C25037">
        <w:rPr>
          <w:sz w:val="20"/>
          <w:szCs w:val="20"/>
        </w:rPr>
        <w:t xml:space="preserve"> </w:t>
      </w:r>
      <w:r w:rsidR="00982C1C" w:rsidRPr="00C25037">
        <w:rPr>
          <w:sz w:val="20"/>
          <w:szCs w:val="20"/>
        </w:rPr>
        <w:t>sample</w:t>
      </w:r>
      <w:r w:rsidR="00145B0F">
        <w:rPr>
          <w:sz w:val="20"/>
          <w:szCs w:val="20"/>
        </w:rPr>
        <w:t>,</w:t>
      </w:r>
      <w:r w:rsidR="00982C1C" w:rsidRPr="00C25037">
        <w:rPr>
          <w:sz w:val="20"/>
          <w:szCs w:val="20"/>
        </w:rPr>
        <w:t xml:space="preserve"> the</w:t>
      </w:r>
      <w:r w:rsidR="00903D89" w:rsidRPr="00C25037">
        <w:rPr>
          <w:sz w:val="20"/>
          <w:szCs w:val="20"/>
        </w:rPr>
        <w:t xml:space="preserve"> owner sample represents </w:t>
      </w:r>
      <w:r w:rsidR="00DD61FC">
        <w:rPr>
          <w:sz w:val="20"/>
          <w:szCs w:val="20"/>
        </w:rPr>
        <w:t xml:space="preserve">all </w:t>
      </w:r>
      <w:r w:rsidR="00903D89" w:rsidRPr="00C25037">
        <w:rPr>
          <w:sz w:val="20"/>
          <w:szCs w:val="20"/>
        </w:rPr>
        <w:t>recommendations issued by owning analysts prior to the sale of their restricted stock and on IBES.</w:t>
      </w:r>
      <w:r>
        <w:rPr>
          <w:sz w:val="20"/>
          <w:szCs w:val="20"/>
        </w:rPr>
        <w:t xml:space="preserve">  </w:t>
      </w:r>
      <w:r w:rsidR="00D21B52">
        <w:rPr>
          <w:sz w:val="20"/>
          <w:szCs w:val="20"/>
        </w:rPr>
        <w:t>The disclosing sample</w:t>
      </w:r>
      <w:r w:rsidRPr="00C25037">
        <w:rPr>
          <w:sz w:val="20"/>
          <w:szCs w:val="20"/>
        </w:rPr>
        <w:t xml:space="preserve"> represents recommendations issued during the period of ownership and for which owning analyst reports are available on </w:t>
      </w:r>
      <w:proofErr w:type="spellStart"/>
      <w:r w:rsidRPr="00C25037">
        <w:rPr>
          <w:sz w:val="20"/>
          <w:szCs w:val="20"/>
        </w:rPr>
        <w:t>Investext</w:t>
      </w:r>
      <w:proofErr w:type="spellEnd"/>
      <w:r w:rsidRPr="00C25037">
        <w:rPr>
          <w:sz w:val="20"/>
          <w:szCs w:val="20"/>
        </w:rPr>
        <w:t xml:space="preserve"> and IBES.</w:t>
      </w:r>
      <w:r w:rsidR="00B84625">
        <w:rPr>
          <w:sz w:val="20"/>
          <w:szCs w:val="20"/>
        </w:rPr>
        <w:t xml:space="preserve">  </w:t>
      </w:r>
      <w:r w:rsidR="000B4846">
        <w:rPr>
          <w:sz w:val="20"/>
          <w:szCs w:val="20"/>
        </w:rPr>
        <w:t>These disclosing analysts are employed by</w:t>
      </w:r>
      <w:r w:rsidR="00B84625" w:rsidRPr="00410B18">
        <w:rPr>
          <w:sz w:val="20"/>
          <w:szCs w:val="20"/>
        </w:rPr>
        <w:t xml:space="preserve"> one of the few brokerage firms that historically required such disclosures</w:t>
      </w:r>
      <w:r w:rsidR="000B4846">
        <w:rPr>
          <w:sz w:val="20"/>
          <w:szCs w:val="20"/>
        </w:rPr>
        <w:t>.</w:t>
      </w:r>
      <w:r w:rsidRPr="00C25037">
        <w:rPr>
          <w:sz w:val="20"/>
          <w:szCs w:val="20"/>
        </w:rPr>
        <w:t xml:space="preserve">  The control samples are all other analyst recommendations for the same company issued within 60 days of the owning analyst recommendation</w:t>
      </w:r>
      <w:r w:rsidRPr="00F958D2">
        <w:rPr>
          <w:sz w:val="20"/>
          <w:szCs w:val="20"/>
        </w:rPr>
        <w:t>.</w:t>
      </w:r>
      <w:r w:rsidR="00F958D2" w:rsidRPr="00F958D2">
        <w:rPr>
          <w:sz w:val="20"/>
          <w:szCs w:val="20"/>
        </w:rPr>
        <w:t xml:space="preserve"> </w:t>
      </w:r>
      <w:r w:rsidR="00F958D2">
        <w:rPr>
          <w:sz w:val="20"/>
          <w:szCs w:val="20"/>
        </w:rPr>
        <w:t xml:space="preserve"> </w:t>
      </w:r>
      <w:r w:rsidR="00F958D2" w:rsidRPr="00F958D2">
        <w:rPr>
          <w:sz w:val="20"/>
          <w:szCs w:val="20"/>
        </w:rPr>
        <w:t xml:space="preserve">A strong buy recommendation </w:t>
      </w:r>
      <w:r w:rsidR="00F958D2">
        <w:rPr>
          <w:sz w:val="20"/>
          <w:szCs w:val="20"/>
        </w:rPr>
        <w:t>appears as a one</w:t>
      </w:r>
      <w:r w:rsidR="00F958D2" w:rsidRPr="00F958D2">
        <w:rPr>
          <w:sz w:val="20"/>
          <w:szCs w:val="20"/>
        </w:rPr>
        <w:t>, a two is a buy recommendation, a three is a hold, a four is a sell, and a five is a strong sell.</w:t>
      </w:r>
      <w:r w:rsidR="003128C0">
        <w:rPr>
          <w:sz w:val="20"/>
          <w:szCs w:val="20"/>
        </w:rPr>
        <w:t xml:space="preserve">  Superscript </w:t>
      </w:r>
      <w:proofErr w:type="gramStart"/>
      <w:r w:rsidR="003128C0">
        <w:rPr>
          <w:sz w:val="20"/>
          <w:szCs w:val="20"/>
        </w:rPr>
        <w:t>a denotes</w:t>
      </w:r>
      <w:proofErr w:type="gramEnd"/>
      <w:r w:rsidR="003128C0">
        <w:rPr>
          <w:sz w:val="20"/>
          <w:szCs w:val="20"/>
        </w:rPr>
        <w:t xml:space="preserve"> statistical significance between sample and control observations at the 5% level</w:t>
      </w:r>
      <w:r w:rsidR="003128C0" w:rsidRPr="00410B18">
        <w:rPr>
          <w:sz w:val="20"/>
          <w:szCs w:val="20"/>
        </w:rPr>
        <w:t>.</w:t>
      </w:r>
    </w:p>
    <w:p w:rsidR="00C25037" w:rsidRPr="00F958D2" w:rsidRDefault="00C25037" w:rsidP="00C25037">
      <w:pPr>
        <w:rPr>
          <w:sz w:val="20"/>
          <w:szCs w:val="20"/>
        </w:rPr>
      </w:pPr>
    </w:p>
    <w:p w:rsidR="00903D89" w:rsidRPr="00BD04E4" w:rsidRDefault="00903D89">
      <w:pPr>
        <w:rPr>
          <w:b/>
        </w:rPr>
      </w:pPr>
    </w:p>
    <w:p w:rsidR="00903D89" w:rsidRPr="00316ED4" w:rsidRDefault="0017727A" w:rsidP="00316ED4">
      <w:pPr>
        <w:pStyle w:val="Heading7"/>
        <w:ind w:left="720"/>
        <w:rPr>
          <w:bCs/>
          <w:sz w:val="20"/>
          <w:szCs w:val="20"/>
        </w:rPr>
      </w:pPr>
      <w:bookmarkStart w:id="5" w:name="OLE_LINK4"/>
      <w:bookmarkStart w:id="6" w:name="OLE_LINK5"/>
      <w:r w:rsidRPr="00316ED4">
        <w:rPr>
          <w:bCs/>
          <w:sz w:val="20"/>
          <w:szCs w:val="20"/>
        </w:rPr>
        <w:t>PANEL</w:t>
      </w:r>
      <w:r w:rsidR="00BD04E4" w:rsidRPr="00316ED4">
        <w:rPr>
          <w:bCs/>
          <w:sz w:val="20"/>
          <w:szCs w:val="20"/>
        </w:rPr>
        <w:t xml:space="preserve"> A: </w:t>
      </w:r>
      <w:proofErr w:type="spellStart"/>
      <w:r w:rsidR="00903D89" w:rsidRPr="00316ED4">
        <w:rPr>
          <w:bCs/>
          <w:sz w:val="20"/>
          <w:szCs w:val="20"/>
        </w:rPr>
        <w:t>Univariate</w:t>
      </w:r>
      <w:proofErr w:type="spellEnd"/>
      <w:r w:rsidR="00903D89" w:rsidRPr="00316ED4">
        <w:rPr>
          <w:bCs/>
          <w:sz w:val="20"/>
          <w:szCs w:val="20"/>
        </w:rPr>
        <w:t xml:space="preserve"> </w:t>
      </w:r>
      <w:r w:rsidR="008F0764" w:rsidRPr="00316ED4">
        <w:rPr>
          <w:bCs/>
          <w:sz w:val="20"/>
          <w:szCs w:val="20"/>
        </w:rPr>
        <w:t>Comparison</w:t>
      </w:r>
    </w:p>
    <w:p w:rsidR="00DD61FC" w:rsidRPr="00BD04E4" w:rsidRDefault="00DD61FC">
      <w:pPr>
        <w:rPr>
          <w:b/>
        </w:rPr>
      </w:pPr>
    </w:p>
    <w:bookmarkEnd w:id="5"/>
    <w:bookmarkEnd w:id="6"/>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1"/>
        <w:gridCol w:w="337"/>
        <w:gridCol w:w="1146"/>
        <w:gridCol w:w="337"/>
        <w:gridCol w:w="1116"/>
        <w:gridCol w:w="1146"/>
        <w:gridCol w:w="360"/>
        <w:gridCol w:w="1197"/>
      </w:tblGrid>
      <w:tr w:rsidR="00903D89" w:rsidRPr="00BD04E4">
        <w:trPr>
          <w:jc w:val="center"/>
        </w:trPr>
        <w:tc>
          <w:tcPr>
            <w:tcW w:w="2900" w:type="dxa"/>
          </w:tcPr>
          <w:p w:rsidR="00903D89" w:rsidRPr="00BD04E4" w:rsidRDefault="00903D89">
            <w:pPr>
              <w:rPr>
                <w:b/>
                <w:sz w:val="20"/>
                <w:szCs w:val="20"/>
              </w:rPr>
            </w:pPr>
          </w:p>
        </w:tc>
        <w:tc>
          <w:tcPr>
            <w:tcW w:w="326" w:type="dxa"/>
          </w:tcPr>
          <w:p w:rsidR="00903D89" w:rsidRPr="00BD04E4" w:rsidRDefault="00903D89">
            <w:pPr>
              <w:rPr>
                <w:b/>
                <w:sz w:val="20"/>
                <w:szCs w:val="20"/>
              </w:rPr>
            </w:pPr>
          </w:p>
        </w:tc>
        <w:tc>
          <w:tcPr>
            <w:tcW w:w="2513" w:type="dxa"/>
            <w:gridSpan w:val="3"/>
          </w:tcPr>
          <w:p w:rsidR="00903D89" w:rsidRPr="00BD04E4" w:rsidRDefault="00903D89">
            <w:pPr>
              <w:pStyle w:val="Heading1"/>
              <w:rPr>
                <w:sz w:val="20"/>
                <w:szCs w:val="20"/>
              </w:rPr>
            </w:pPr>
            <w:r w:rsidRPr="00BD04E4">
              <w:rPr>
                <w:sz w:val="20"/>
                <w:szCs w:val="20"/>
              </w:rPr>
              <w:t>Sample Group</w:t>
            </w:r>
          </w:p>
        </w:tc>
        <w:tc>
          <w:tcPr>
            <w:tcW w:w="2613" w:type="dxa"/>
            <w:gridSpan w:val="3"/>
          </w:tcPr>
          <w:p w:rsidR="00903D89" w:rsidRPr="00BD04E4" w:rsidRDefault="00903D89">
            <w:pPr>
              <w:pStyle w:val="Heading1"/>
              <w:rPr>
                <w:sz w:val="20"/>
                <w:szCs w:val="20"/>
              </w:rPr>
            </w:pPr>
            <w:r w:rsidRPr="00BD04E4">
              <w:rPr>
                <w:sz w:val="20"/>
                <w:szCs w:val="20"/>
              </w:rPr>
              <w:t>Control Group</w:t>
            </w:r>
          </w:p>
        </w:tc>
      </w:tr>
      <w:tr w:rsidR="00903D89" w:rsidRPr="00BD04E4">
        <w:trPr>
          <w:jc w:val="center"/>
        </w:trPr>
        <w:tc>
          <w:tcPr>
            <w:tcW w:w="2900" w:type="dxa"/>
          </w:tcPr>
          <w:p w:rsidR="00903D89" w:rsidRPr="00BD04E4" w:rsidRDefault="00903D89">
            <w:pPr>
              <w:rPr>
                <w:b/>
                <w:i/>
                <w:sz w:val="20"/>
                <w:szCs w:val="20"/>
              </w:rPr>
            </w:pPr>
            <w:r w:rsidRPr="00BD04E4">
              <w:rPr>
                <w:b/>
                <w:i/>
                <w:sz w:val="20"/>
                <w:szCs w:val="20"/>
              </w:rPr>
              <w:t>Form  144 Sample</w:t>
            </w:r>
          </w:p>
        </w:tc>
        <w:tc>
          <w:tcPr>
            <w:tcW w:w="326" w:type="dxa"/>
          </w:tcPr>
          <w:p w:rsidR="00903D89" w:rsidRPr="00BD04E4" w:rsidRDefault="00903D89">
            <w:pPr>
              <w:rPr>
                <w:b/>
                <w:sz w:val="20"/>
                <w:szCs w:val="20"/>
              </w:rPr>
            </w:pPr>
          </w:p>
        </w:tc>
        <w:tc>
          <w:tcPr>
            <w:tcW w:w="1108" w:type="dxa"/>
          </w:tcPr>
          <w:p w:rsidR="00903D89" w:rsidRPr="00BD04E4" w:rsidRDefault="00903D89">
            <w:pPr>
              <w:pStyle w:val="Heading1"/>
              <w:rPr>
                <w:sz w:val="20"/>
                <w:szCs w:val="20"/>
              </w:rPr>
            </w:pPr>
            <w:r w:rsidRPr="00BD04E4">
              <w:rPr>
                <w:sz w:val="20"/>
                <w:szCs w:val="20"/>
              </w:rPr>
              <w:t>Mean</w:t>
            </w:r>
          </w:p>
        </w:tc>
        <w:tc>
          <w:tcPr>
            <w:tcW w:w="326" w:type="dxa"/>
          </w:tcPr>
          <w:p w:rsidR="00903D89" w:rsidRPr="00BD04E4" w:rsidRDefault="00903D89">
            <w:pPr>
              <w:rPr>
                <w:b/>
                <w:sz w:val="20"/>
                <w:szCs w:val="20"/>
              </w:rPr>
            </w:pPr>
          </w:p>
        </w:tc>
        <w:tc>
          <w:tcPr>
            <w:tcW w:w="1079" w:type="dxa"/>
          </w:tcPr>
          <w:p w:rsidR="00903D89" w:rsidRPr="00BD04E4" w:rsidRDefault="00903D89">
            <w:pPr>
              <w:rPr>
                <w:b/>
                <w:sz w:val="20"/>
                <w:szCs w:val="20"/>
              </w:rPr>
            </w:pPr>
            <w:r w:rsidRPr="00BD04E4">
              <w:rPr>
                <w:b/>
                <w:sz w:val="20"/>
                <w:szCs w:val="20"/>
              </w:rPr>
              <w:t>Std. Dev.</w:t>
            </w:r>
          </w:p>
        </w:tc>
        <w:tc>
          <w:tcPr>
            <w:tcW w:w="1108" w:type="dxa"/>
          </w:tcPr>
          <w:p w:rsidR="00903D89" w:rsidRPr="00BD04E4" w:rsidRDefault="00903D89">
            <w:pPr>
              <w:pStyle w:val="Heading1"/>
              <w:rPr>
                <w:sz w:val="20"/>
                <w:szCs w:val="20"/>
              </w:rPr>
            </w:pPr>
            <w:r w:rsidRPr="00BD04E4">
              <w:rPr>
                <w:sz w:val="20"/>
                <w:szCs w:val="20"/>
              </w:rPr>
              <w:t>Mean</w:t>
            </w:r>
          </w:p>
        </w:tc>
        <w:tc>
          <w:tcPr>
            <w:tcW w:w="348" w:type="dxa"/>
          </w:tcPr>
          <w:p w:rsidR="00903D89" w:rsidRPr="00BD04E4" w:rsidRDefault="00903D89">
            <w:pPr>
              <w:rPr>
                <w:b/>
                <w:sz w:val="20"/>
                <w:szCs w:val="20"/>
              </w:rPr>
            </w:pPr>
          </w:p>
        </w:tc>
        <w:tc>
          <w:tcPr>
            <w:tcW w:w="1157" w:type="dxa"/>
          </w:tcPr>
          <w:p w:rsidR="00903D89" w:rsidRPr="00BD04E4" w:rsidRDefault="00903D89">
            <w:pPr>
              <w:rPr>
                <w:b/>
                <w:sz w:val="20"/>
                <w:szCs w:val="20"/>
              </w:rPr>
            </w:pPr>
            <w:r w:rsidRPr="00BD04E4">
              <w:rPr>
                <w:b/>
                <w:sz w:val="20"/>
                <w:szCs w:val="20"/>
              </w:rPr>
              <w:t>Std. Dev.</w:t>
            </w:r>
          </w:p>
        </w:tc>
      </w:tr>
      <w:tr w:rsidR="00903D89" w:rsidRPr="00BD04E4">
        <w:trPr>
          <w:jc w:val="center"/>
        </w:trPr>
        <w:tc>
          <w:tcPr>
            <w:tcW w:w="2900" w:type="dxa"/>
          </w:tcPr>
          <w:p w:rsidR="00903D89" w:rsidRPr="00BD04E4" w:rsidRDefault="00DD61FC">
            <w:pPr>
              <w:pStyle w:val="Heading6"/>
              <w:rPr>
                <w:szCs w:val="20"/>
              </w:rPr>
            </w:pPr>
            <w:r>
              <w:rPr>
                <w:szCs w:val="20"/>
              </w:rPr>
              <w:t xml:space="preserve">     </w:t>
            </w:r>
            <w:r w:rsidR="00903D89" w:rsidRPr="00BD04E4">
              <w:rPr>
                <w:szCs w:val="20"/>
              </w:rPr>
              <w:t>Recommendation Level</w:t>
            </w:r>
          </w:p>
        </w:tc>
        <w:tc>
          <w:tcPr>
            <w:tcW w:w="326" w:type="dxa"/>
          </w:tcPr>
          <w:p w:rsidR="00903D89" w:rsidRPr="00BD04E4" w:rsidRDefault="00903D89">
            <w:pPr>
              <w:rPr>
                <w:b/>
                <w:sz w:val="20"/>
                <w:szCs w:val="20"/>
              </w:rPr>
            </w:pPr>
          </w:p>
        </w:tc>
        <w:tc>
          <w:tcPr>
            <w:tcW w:w="1108" w:type="dxa"/>
          </w:tcPr>
          <w:p w:rsidR="00903D89" w:rsidRPr="00BD04E4" w:rsidRDefault="00903D89">
            <w:pPr>
              <w:jc w:val="right"/>
              <w:rPr>
                <w:sz w:val="20"/>
                <w:szCs w:val="20"/>
              </w:rPr>
            </w:pPr>
            <w:r w:rsidRPr="00BD04E4">
              <w:rPr>
                <w:sz w:val="20"/>
                <w:szCs w:val="20"/>
              </w:rPr>
              <w:t>1.87</w:t>
            </w:r>
          </w:p>
        </w:tc>
        <w:tc>
          <w:tcPr>
            <w:tcW w:w="326" w:type="dxa"/>
          </w:tcPr>
          <w:p w:rsidR="00903D89" w:rsidRPr="00BD04E4" w:rsidRDefault="00903D89">
            <w:pPr>
              <w:rPr>
                <w:b/>
                <w:sz w:val="20"/>
                <w:szCs w:val="20"/>
              </w:rPr>
            </w:pPr>
          </w:p>
        </w:tc>
        <w:tc>
          <w:tcPr>
            <w:tcW w:w="1079" w:type="dxa"/>
          </w:tcPr>
          <w:p w:rsidR="00903D89" w:rsidRPr="00BD04E4" w:rsidRDefault="00903D89">
            <w:pPr>
              <w:jc w:val="right"/>
              <w:rPr>
                <w:sz w:val="20"/>
                <w:szCs w:val="20"/>
              </w:rPr>
            </w:pPr>
            <w:r w:rsidRPr="00BD04E4">
              <w:rPr>
                <w:sz w:val="20"/>
                <w:szCs w:val="20"/>
              </w:rPr>
              <w:t>0.53</w:t>
            </w:r>
          </w:p>
        </w:tc>
        <w:tc>
          <w:tcPr>
            <w:tcW w:w="1108" w:type="dxa"/>
          </w:tcPr>
          <w:p w:rsidR="00903D89" w:rsidRPr="003128C0" w:rsidRDefault="00903D89">
            <w:pPr>
              <w:jc w:val="right"/>
              <w:rPr>
                <w:sz w:val="20"/>
                <w:szCs w:val="20"/>
                <w:vertAlign w:val="superscript"/>
              </w:rPr>
            </w:pPr>
            <w:r w:rsidRPr="00BD04E4">
              <w:rPr>
                <w:sz w:val="20"/>
                <w:szCs w:val="20"/>
              </w:rPr>
              <w:t>1.62</w:t>
            </w:r>
            <w:r w:rsidR="003128C0">
              <w:rPr>
                <w:sz w:val="20"/>
                <w:szCs w:val="20"/>
                <w:vertAlign w:val="superscript"/>
              </w:rPr>
              <w:t>a</w:t>
            </w:r>
          </w:p>
        </w:tc>
        <w:tc>
          <w:tcPr>
            <w:tcW w:w="348" w:type="dxa"/>
          </w:tcPr>
          <w:p w:rsidR="00903D89" w:rsidRPr="00BD04E4" w:rsidRDefault="00903D89">
            <w:pPr>
              <w:rPr>
                <w:b/>
                <w:sz w:val="20"/>
                <w:szCs w:val="20"/>
              </w:rPr>
            </w:pPr>
          </w:p>
        </w:tc>
        <w:tc>
          <w:tcPr>
            <w:tcW w:w="1157" w:type="dxa"/>
          </w:tcPr>
          <w:p w:rsidR="00903D89" w:rsidRPr="00BD04E4" w:rsidRDefault="00903D89">
            <w:pPr>
              <w:jc w:val="right"/>
              <w:rPr>
                <w:sz w:val="20"/>
                <w:szCs w:val="20"/>
              </w:rPr>
            </w:pPr>
            <w:r w:rsidRPr="00BD04E4">
              <w:rPr>
                <w:sz w:val="20"/>
                <w:szCs w:val="20"/>
              </w:rPr>
              <w:t>0.58</w:t>
            </w:r>
          </w:p>
        </w:tc>
      </w:tr>
      <w:tr w:rsidR="00903D89" w:rsidRPr="00BD04E4">
        <w:trPr>
          <w:jc w:val="center"/>
        </w:trPr>
        <w:tc>
          <w:tcPr>
            <w:tcW w:w="2900" w:type="dxa"/>
          </w:tcPr>
          <w:p w:rsidR="00903D89" w:rsidRPr="00BD04E4" w:rsidRDefault="00DD61FC">
            <w:pPr>
              <w:pStyle w:val="Heading6"/>
              <w:rPr>
                <w:szCs w:val="20"/>
              </w:rPr>
            </w:pPr>
            <w:r>
              <w:rPr>
                <w:szCs w:val="20"/>
              </w:rPr>
              <w:t xml:space="preserve">     </w:t>
            </w:r>
            <w:r w:rsidR="00903D89" w:rsidRPr="00BD04E4">
              <w:rPr>
                <w:szCs w:val="20"/>
              </w:rPr>
              <w:t>Number of observations</w:t>
            </w:r>
          </w:p>
        </w:tc>
        <w:tc>
          <w:tcPr>
            <w:tcW w:w="326" w:type="dxa"/>
          </w:tcPr>
          <w:p w:rsidR="00903D89" w:rsidRPr="00BD04E4" w:rsidRDefault="00903D89">
            <w:pPr>
              <w:rPr>
                <w:b/>
                <w:sz w:val="20"/>
                <w:szCs w:val="20"/>
              </w:rPr>
            </w:pPr>
          </w:p>
        </w:tc>
        <w:tc>
          <w:tcPr>
            <w:tcW w:w="1108" w:type="dxa"/>
          </w:tcPr>
          <w:p w:rsidR="00903D89" w:rsidRPr="00BD04E4" w:rsidRDefault="00903D89">
            <w:pPr>
              <w:jc w:val="right"/>
              <w:rPr>
                <w:sz w:val="20"/>
                <w:szCs w:val="20"/>
              </w:rPr>
            </w:pPr>
            <w:r w:rsidRPr="00BD04E4">
              <w:rPr>
                <w:sz w:val="20"/>
                <w:szCs w:val="20"/>
              </w:rPr>
              <w:t>38</w:t>
            </w:r>
          </w:p>
        </w:tc>
        <w:tc>
          <w:tcPr>
            <w:tcW w:w="326" w:type="dxa"/>
          </w:tcPr>
          <w:p w:rsidR="00903D89" w:rsidRPr="00BD04E4" w:rsidRDefault="00903D89">
            <w:pPr>
              <w:rPr>
                <w:b/>
                <w:sz w:val="20"/>
                <w:szCs w:val="20"/>
              </w:rPr>
            </w:pPr>
          </w:p>
        </w:tc>
        <w:tc>
          <w:tcPr>
            <w:tcW w:w="1079" w:type="dxa"/>
          </w:tcPr>
          <w:p w:rsidR="00903D89" w:rsidRPr="00BD04E4" w:rsidRDefault="00903D89">
            <w:pPr>
              <w:jc w:val="right"/>
              <w:rPr>
                <w:sz w:val="20"/>
                <w:szCs w:val="20"/>
              </w:rPr>
            </w:pPr>
          </w:p>
        </w:tc>
        <w:tc>
          <w:tcPr>
            <w:tcW w:w="1108" w:type="dxa"/>
          </w:tcPr>
          <w:p w:rsidR="00903D89" w:rsidRPr="00BD04E4" w:rsidRDefault="00903D89">
            <w:pPr>
              <w:jc w:val="right"/>
              <w:rPr>
                <w:sz w:val="20"/>
                <w:szCs w:val="20"/>
              </w:rPr>
            </w:pPr>
            <w:r w:rsidRPr="00BD04E4">
              <w:rPr>
                <w:sz w:val="20"/>
                <w:szCs w:val="20"/>
              </w:rPr>
              <w:t>101</w:t>
            </w:r>
          </w:p>
        </w:tc>
        <w:tc>
          <w:tcPr>
            <w:tcW w:w="348" w:type="dxa"/>
          </w:tcPr>
          <w:p w:rsidR="00903D89" w:rsidRPr="00BD04E4" w:rsidRDefault="00903D89">
            <w:pPr>
              <w:rPr>
                <w:b/>
                <w:sz w:val="20"/>
                <w:szCs w:val="20"/>
              </w:rPr>
            </w:pPr>
          </w:p>
        </w:tc>
        <w:tc>
          <w:tcPr>
            <w:tcW w:w="1157" w:type="dxa"/>
          </w:tcPr>
          <w:p w:rsidR="00903D89" w:rsidRPr="00BD04E4" w:rsidRDefault="00903D89">
            <w:pPr>
              <w:jc w:val="right"/>
              <w:rPr>
                <w:sz w:val="20"/>
                <w:szCs w:val="20"/>
              </w:rPr>
            </w:pPr>
          </w:p>
        </w:tc>
      </w:tr>
      <w:tr w:rsidR="00903D89" w:rsidRPr="00BD04E4">
        <w:trPr>
          <w:jc w:val="center"/>
        </w:trPr>
        <w:tc>
          <w:tcPr>
            <w:tcW w:w="8352" w:type="dxa"/>
            <w:gridSpan w:val="8"/>
          </w:tcPr>
          <w:p w:rsidR="00903D89" w:rsidRPr="00BD04E4" w:rsidRDefault="00903D89">
            <w:pPr>
              <w:rPr>
                <w:i/>
                <w:sz w:val="20"/>
                <w:szCs w:val="20"/>
              </w:rPr>
            </w:pPr>
            <w:r w:rsidRPr="00BD04E4">
              <w:rPr>
                <w:b/>
                <w:i/>
                <w:sz w:val="20"/>
                <w:szCs w:val="20"/>
              </w:rPr>
              <w:t>Disclosing Sample</w:t>
            </w:r>
          </w:p>
        </w:tc>
      </w:tr>
      <w:tr w:rsidR="00903D89" w:rsidRPr="00BD04E4">
        <w:trPr>
          <w:jc w:val="center"/>
        </w:trPr>
        <w:tc>
          <w:tcPr>
            <w:tcW w:w="2900" w:type="dxa"/>
          </w:tcPr>
          <w:p w:rsidR="00903D89" w:rsidRPr="00BD04E4" w:rsidRDefault="00DD61FC">
            <w:pPr>
              <w:pStyle w:val="Heading6"/>
              <w:rPr>
                <w:szCs w:val="20"/>
              </w:rPr>
            </w:pPr>
            <w:r>
              <w:rPr>
                <w:szCs w:val="20"/>
              </w:rPr>
              <w:t xml:space="preserve">     </w:t>
            </w:r>
            <w:r w:rsidR="00903D89" w:rsidRPr="00BD04E4">
              <w:rPr>
                <w:szCs w:val="20"/>
              </w:rPr>
              <w:t>Recommendation Level</w:t>
            </w:r>
          </w:p>
        </w:tc>
        <w:tc>
          <w:tcPr>
            <w:tcW w:w="326" w:type="dxa"/>
          </w:tcPr>
          <w:p w:rsidR="00903D89" w:rsidRPr="00BD04E4" w:rsidRDefault="00903D89">
            <w:pPr>
              <w:rPr>
                <w:b/>
                <w:sz w:val="20"/>
                <w:szCs w:val="20"/>
              </w:rPr>
            </w:pPr>
          </w:p>
        </w:tc>
        <w:tc>
          <w:tcPr>
            <w:tcW w:w="1108" w:type="dxa"/>
          </w:tcPr>
          <w:p w:rsidR="00903D89" w:rsidRPr="00BD04E4" w:rsidRDefault="00903D89">
            <w:pPr>
              <w:jc w:val="right"/>
              <w:rPr>
                <w:sz w:val="20"/>
                <w:szCs w:val="20"/>
              </w:rPr>
            </w:pPr>
            <w:r w:rsidRPr="00BD04E4">
              <w:rPr>
                <w:sz w:val="20"/>
                <w:szCs w:val="20"/>
              </w:rPr>
              <w:t>2.24</w:t>
            </w:r>
          </w:p>
        </w:tc>
        <w:tc>
          <w:tcPr>
            <w:tcW w:w="326" w:type="dxa"/>
          </w:tcPr>
          <w:p w:rsidR="00903D89" w:rsidRPr="00BD04E4" w:rsidRDefault="00903D89">
            <w:pPr>
              <w:rPr>
                <w:b/>
                <w:sz w:val="20"/>
                <w:szCs w:val="20"/>
              </w:rPr>
            </w:pPr>
          </w:p>
        </w:tc>
        <w:tc>
          <w:tcPr>
            <w:tcW w:w="1079" w:type="dxa"/>
          </w:tcPr>
          <w:p w:rsidR="00903D89" w:rsidRPr="00BD04E4" w:rsidRDefault="00903D89">
            <w:pPr>
              <w:jc w:val="right"/>
              <w:rPr>
                <w:sz w:val="20"/>
                <w:szCs w:val="20"/>
              </w:rPr>
            </w:pPr>
            <w:r w:rsidRPr="00BD04E4">
              <w:rPr>
                <w:sz w:val="20"/>
                <w:szCs w:val="20"/>
              </w:rPr>
              <w:t>0.49</w:t>
            </w:r>
          </w:p>
        </w:tc>
        <w:tc>
          <w:tcPr>
            <w:tcW w:w="1108" w:type="dxa"/>
          </w:tcPr>
          <w:p w:rsidR="00903D89" w:rsidRPr="00BD04E4" w:rsidRDefault="00903D89">
            <w:pPr>
              <w:jc w:val="right"/>
              <w:rPr>
                <w:sz w:val="20"/>
                <w:szCs w:val="20"/>
              </w:rPr>
            </w:pPr>
            <w:r w:rsidRPr="00BD04E4">
              <w:rPr>
                <w:sz w:val="20"/>
                <w:szCs w:val="20"/>
              </w:rPr>
              <w:t>2.14</w:t>
            </w:r>
          </w:p>
        </w:tc>
        <w:tc>
          <w:tcPr>
            <w:tcW w:w="348" w:type="dxa"/>
          </w:tcPr>
          <w:p w:rsidR="00903D89" w:rsidRPr="00BD04E4" w:rsidRDefault="00903D89">
            <w:pPr>
              <w:rPr>
                <w:b/>
                <w:sz w:val="20"/>
                <w:szCs w:val="20"/>
              </w:rPr>
            </w:pPr>
          </w:p>
        </w:tc>
        <w:tc>
          <w:tcPr>
            <w:tcW w:w="1157" w:type="dxa"/>
          </w:tcPr>
          <w:p w:rsidR="00903D89" w:rsidRPr="00BD04E4" w:rsidRDefault="00903D89">
            <w:pPr>
              <w:jc w:val="right"/>
              <w:rPr>
                <w:sz w:val="20"/>
                <w:szCs w:val="20"/>
              </w:rPr>
            </w:pPr>
            <w:r w:rsidRPr="00BD04E4">
              <w:rPr>
                <w:sz w:val="20"/>
                <w:szCs w:val="20"/>
              </w:rPr>
              <w:t>0.83</w:t>
            </w:r>
          </w:p>
        </w:tc>
      </w:tr>
      <w:tr w:rsidR="00903D89" w:rsidRPr="00BD04E4">
        <w:trPr>
          <w:jc w:val="center"/>
        </w:trPr>
        <w:tc>
          <w:tcPr>
            <w:tcW w:w="2900" w:type="dxa"/>
          </w:tcPr>
          <w:p w:rsidR="00903D89" w:rsidRPr="00BD04E4" w:rsidRDefault="00DD61FC">
            <w:pPr>
              <w:pStyle w:val="Heading6"/>
              <w:rPr>
                <w:szCs w:val="20"/>
              </w:rPr>
            </w:pPr>
            <w:r>
              <w:rPr>
                <w:szCs w:val="20"/>
              </w:rPr>
              <w:t xml:space="preserve">     </w:t>
            </w:r>
            <w:r w:rsidR="00903D89" w:rsidRPr="00BD04E4">
              <w:rPr>
                <w:szCs w:val="20"/>
              </w:rPr>
              <w:t>Number of observations</w:t>
            </w:r>
          </w:p>
        </w:tc>
        <w:tc>
          <w:tcPr>
            <w:tcW w:w="326" w:type="dxa"/>
          </w:tcPr>
          <w:p w:rsidR="00903D89" w:rsidRPr="00BD04E4" w:rsidRDefault="00903D89">
            <w:pPr>
              <w:rPr>
                <w:b/>
                <w:sz w:val="20"/>
                <w:szCs w:val="20"/>
              </w:rPr>
            </w:pPr>
          </w:p>
        </w:tc>
        <w:tc>
          <w:tcPr>
            <w:tcW w:w="1108" w:type="dxa"/>
          </w:tcPr>
          <w:p w:rsidR="00903D89" w:rsidRPr="00BD04E4" w:rsidRDefault="00903D89">
            <w:pPr>
              <w:jc w:val="right"/>
              <w:rPr>
                <w:sz w:val="20"/>
                <w:szCs w:val="20"/>
              </w:rPr>
            </w:pPr>
            <w:r w:rsidRPr="00BD04E4">
              <w:rPr>
                <w:sz w:val="20"/>
                <w:szCs w:val="20"/>
              </w:rPr>
              <w:t>103</w:t>
            </w:r>
          </w:p>
        </w:tc>
        <w:tc>
          <w:tcPr>
            <w:tcW w:w="326" w:type="dxa"/>
          </w:tcPr>
          <w:p w:rsidR="00903D89" w:rsidRPr="00BD04E4" w:rsidRDefault="00903D89">
            <w:pPr>
              <w:rPr>
                <w:b/>
                <w:sz w:val="20"/>
                <w:szCs w:val="20"/>
              </w:rPr>
            </w:pPr>
          </w:p>
        </w:tc>
        <w:tc>
          <w:tcPr>
            <w:tcW w:w="1079" w:type="dxa"/>
          </w:tcPr>
          <w:p w:rsidR="00903D89" w:rsidRPr="00BD04E4" w:rsidRDefault="00903D89">
            <w:pPr>
              <w:jc w:val="right"/>
              <w:rPr>
                <w:sz w:val="20"/>
                <w:szCs w:val="20"/>
              </w:rPr>
            </w:pPr>
          </w:p>
        </w:tc>
        <w:tc>
          <w:tcPr>
            <w:tcW w:w="1108" w:type="dxa"/>
          </w:tcPr>
          <w:p w:rsidR="00903D89" w:rsidRPr="00BD04E4" w:rsidRDefault="00903D89">
            <w:pPr>
              <w:jc w:val="right"/>
              <w:rPr>
                <w:sz w:val="20"/>
                <w:szCs w:val="20"/>
              </w:rPr>
            </w:pPr>
            <w:r w:rsidRPr="00BD04E4">
              <w:rPr>
                <w:sz w:val="20"/>
                <w:szCs w:val="20"/>
              </w:rPr>
              <w:t>453</w:t>
            </w:r>
          </w:p>
        </w:tc>
        <w:tc>
          <w:tcPr>
            <w:tcW w:w="348" w:type="dxa"/>
          </w:tcPr>
          <w:p w:rsidR="00903D89" w:rsidRPr="00BD04E4" w:rsidRDefault="00903D89">
            <w:pPr>
              <w:rPr>
                <w:b/>
                <w:sz w:val="20"/>
                <w:szCs w:val="20"/>
              </w:rPr>
            </w:pPr>
          </w:p>
        </w:tc>
        <w:tc>
          <w:tcPr>
            <w:tcW w:w="1157" w:type="dxa"/>
          </w:tcPr>
          <w:p w:rsidR="00903D89" w:rsidRPr="00BD04E4" w:rsidRDefault="00903D89">
            <w:pPr>
              <w:jc w:val="right"/>
              <w:rPr>
                <w:sz w:val="20"/>
                <w:szCs w:val="20"/>
              </w:rPr>
            </w:pPr>
          </w:p>
        </w:tc>
      </w:tr>
    </w:tbl>
    <w:p w:rsidR="00903D89" w:rsidRDefault="00903D89"/>
    <w:p w:rsidR="00D21FFA" w:rsidRDefault="00D21FFA">
      <w:r>
        <w:br w:type="page"/>
      </w:r>
    </w:p>
    <w:p w:rsidR="00D21FFA" w:rsidRPr="00DB381E" w:rsidRDefault="00D21FFA" w:rsidP="00DB381E">
      <w:pPr>
        <w:pStyle w:val="Heading7"/>
        <w:ind w:left="720"/>
        <w:rPr>
          <w:sz w:val="24"/>
        </w:rPr>
      </w:pPr>
      <w:r w:rsidRPr="00BD04E4">
        <w:rPr>
          <w:sz w:val="24"/>
        </w:rPr>
        <w:lastRenderedPageBreak/>
        <w:t>Ta</w:t>
      </w:r>
      <w:r w:rsidR="00E817C9">
        <w:rPr>
          <w:sz w:val="24"/>
        </w:rPr>
        <w:t>ble 2</w:t>
      </w:r>
      <w:r w:rsidR="00DB381E">
        <w:rPr>
          <w:sz w:val="24"/>
        </w:rPr>
        <w:t xml:space="preserve">, </w:t>
      </w:r>
      <w:r w:rsidRPr="00DB381E">
        <w:rPr>
          <w:sz w:val="24"/>
        </w:rPr>
        <w:t>Analyst Recommendations - continued</w:t>
      </w:r>
    </w:p>
    <w:p w:rsidR="00903D89" w:rsidRPr="00316ED4" w:rsidRDefault="0017727A" w:rsidP="00E5192C">
      <w:pPr>
        <w:ind w:left="720"/>
        <w:rPr>
          <w:b/>
          <w:sz w:val="20"/>
          <w:szCs w:val="20"/>
        </w:rPr>
      </w:pPr>
      <w:r w:rsidRPr="00316ED4">
        <w:rPr>
          <w:b/>
          <w:sz w:val="20"/>
          <w:szCs w:val="20"/>
        </w:rPr>
        <w:t>PANEL</w:t>
      </w:r>
      <w:r w:rsidR="00BD04E4" w:rsidRPr="00316ED4">
        <w:rPr>
          <w:b/>
          <w:sz w:val="20"/>
          <w:szCs w:val="20"/>
        </w:rPr>
        <w:t xml:space="preserve"> B: </w:t>
      </w:r>
      <w:r w:rsidR="00903D89" w:rsidRPr="00316ED4">
        <w:rPr>
          <w:b/>
          <w:sz w:val="20"/>
          <w:szCs w:val="20"/>
        </w:rPr>
        <w:t xml:space="preserve">Ordered </w:t>
      </w:r>
      <w:proofErr w:type="spellStart"/>
      <w:r w:rsidR="00903D89" w:rsidRPr="00316ED4">
        <w:rPr>
          <w:b/>
          <w:sz w:val="20"/>
          <w:szCs w:val="20"/>
        </w:rPr>
        <w:t>Probit</w:t>
      </w:r>
      <w:proofErr w:type="spellEnd"/>
      <w:r w:rsidR="00903D89" w:rsidRPr="00316ED4">
        <w:rPr>
          <w:b/>
          <w:sz w:val="20"/>
          <w:szCs w:val="20"/>
        </w:rPr>
        <w:t xml:space="preserve"> Results</w:t>
      </w:r>
    </w:p>
    <w:p w:rsidR="003C172C" w:rsidRDefault="003C172C" w:rsidP="00E5192C">
      <w:pPr>
        <w:ind w:left="720"/>
        <w:rPr>
          <w:b/>
        </w:rPr>
      </w:pPr>
    </w:p>
    <w:p w:rsidR="003C172C" w:rsidRPr="00AF353C" w:rsidRDefault="003C172C" w:rsidP="00E5192C">
      <w:pPr>
        <w:pStyle w:val="BodyTextIndent"/>
        <w:spacing w:line="240" w:lineRule="auto"/>
        <w:ind w:left="720" w:firstLine="0"/>
        <w:rPr>
          <w:sz w:val="20"/>
          <w:szCs w:val="20"/>
        </w:rPr>
      </w:pPr>
      <w:r w:rsidRPr="003C172C">
        <w:rPr>
          <w:sz w:val="20"/>
          <w:szCs w:val="20"/>
        </w:rPr>
        <w:t xml:space="preserve">This panel presents the ordered </w:t>
      </w:r>
      <w:proofErr w:type="spellStart"/>
      <w:r w:rsidRPr="003C172C">
        <w:rPr>
          <w:sz w:val="20"/>
          <w:szCs w:val="20"/>
        </w:rPr>
        <w:t>probit</w:t>
      </w:r>
      <w:proofErr w:type="spellEnd"/>
      <w:r w:rsidRPr="003C172C">
        <w:rPr>
          <w:sz w:val="20"/>
          <w:szCs w:val="20"/>
        </w:rPr>
        <w:t xml:space="preserve"> analysis of the owning and control analyst recommendations.</w:t>
      </w:r>
      <w:r>
        <w:rPr>
          <w:b/>
          <w:sz w:val="20"/>
          <w:szCs w:val="20"/>
        </w:rPr>
        <w:t xml:space="preserve">  </w:t>
      </w:r>
      <w:r w:rsidRPr="00AF353C">
        <w:rPr>
          <w:b/>
          <w:sz w:val="20"/>
          <w:szCs w:val="20"/>
        </w:rPr>
        <w:t>Recommendation</w:t>
      </w:r>
      <w:r>
        <w:rPr>
          <w:b/>
          <w:sz w:val="20"/>
          <w:szCs w:val="20"/>
        </w:rPr>
        <w:t xml:space="preserve"> </w:t>
      </w:r>
      <w:r w:rsidRPr="00AF353C">
        <w:rPr>
          <w:sz w:val="20"/>
          <w:szCs w:val="20"/>
        </w:rPr>
        <w:t>is an ordinal variable</w:t>
      </w:r>
      <w:r>
        <w:rPr>
          <w:sz w:val="20"/>
          <w:szCs w:val="20"/>
        </w:rPr>
        <w:t xml:space="preserve"> representing the analyst’s stock recommendation</w:t>
      </w:r>
      <w:r w:rsidRPr="00AF353C">
        <w:rPr>
          <w:sz w:val="20"/>
          <w:szCs w:val="20"/>
        </w:rPr>
        <w:t xml:space="preserve"> (1 Strong Buy, 5 Strong sell).</w:t>
      </w:r>
      <w:r>
        <w:rPr>
          <w:sz w:val="20"/>
          <w:szCs w:val="20"/>
        </w:rPr>
        <w:t xml:space="preserve">  </w:t>
      </w:r>
      <w:r w:rsidRPr="00AF353C">
        <w:rPr>
          <w:b/>
          <w:sz w:val="20"/>
          <w:szCs w:val="20"/>
        </w:rPr>
        <w:t>Own</w:t>
      </w:r>
      <w:r>
        <w:rPr>
          <w:sz w:val="20"/>
          <w:szCs w:val="20"/>
        </w:rPr>
        <w:t xml:space="preserve"> is a </w:t>
      </w:r>
      <w:r w:rsidRPr="00AF353C">
        <w:rPr>
          <w:sz w:val="20"/>
          <w:szCs w:val="20"/>
        </w:rPr>
        <w:t>dummy variable</w:t>
      </w:r>
      <w:r>
        <w:rPr>
          <w:sz w:val="20"/>
          <w:szCs w:val="20"/>
        </w:rPr>
        <w:t xml:space="preserve"> indicating whether the analyst owns the stock on which she issues a report.  </w:t>
      </w:r>
      <w:r w:rsidRPr="00AF353C">
        <w:rPr>
          <w:b/>
          <w:sz w:val="20"/>
          <w:szCs w:val="20"/>
        </w:rPr>
        <w:t>IPO Underwriter</w:t>
      </w:r>
      <w:r>
        <w:rPr>
          <w:b/>
          <w:sz w:val="20"/>
          <w:szCs w:val="20"/>
        </w:rPr>
        <w:t xml:space="preserve"> </w:t>
      </w:r>
      <w:r w:rsidRPr="00AF353C">
        <w:rPr>
          <w:sz w:val="20"/>
          <w:szCs w:val="20"/>
        </w:rPr>
        <w:t>is a</w:t>
      </w:r>
      <w:r>
        <w:rPr>
          <w:b/>
          <w:sz w:val="20"/>
          <w:szCs w:val="20"/>
        </w:rPr>
        <w:t xml:space="preserve"> </w:t>
      </w:r>
      <w:r w:rsidRPr="00AF353C">
        <w:rPr>
          <w:sz w:val="20"/>
          <w:szCs w:val="20"/>
        </w:rPr>
        <w:t>dummy variable</w:t>
      </w:r>
      <w:r>
        <w:rPr>
          <w:sz w:val="20"/>
          <w:szCs w:val="20"/>
        </w:rPr>
        <w:t xml:space="preserve"> indicating whether the</w:t>
      </w:r>
      <w:r w:rsidRPr="00AF353C">
        <w:rPr>
          <w:sz w:val="20"/>
          <w:szCs w:val="20"/>
        </w:rPr>
        <w:t xml:space="preserve"> analyst's</w:t>
      </w:r>
      <w:r>
        <w:rPr>
          <w:sz w:val="20"/>
          <w:szCs w:val="20"/>
        </w:rPr>
        <w:t xml:space="preserve"> brokerage</w:t>
      </w:r>
      <w:r w:rsidRPr="00AF353C">
        <w:rPr>
          <w:sz w:val="20"/>
          <w:szCs w:val="20"/>
        </w:rPr>
        <w:t xml:space="preserve"> firm is the IPO l</w:t>
      </w:r>
      <w:r>
        <w:rPr>
          <w:sz w:val="20"/>
          <w:szCs w:val="20"/>
        </w:rPr>
        <w:t>ead underwriter and the analyst report</w:t>
      </w:r>
      <w:r w:rsidRPr="00AF353C">
        <w:rPr>
          <w:sz w:val="20"/>
          <w:szCs w:val="20"/>
        </w:rPr>
        <w:t xml:space="preserve"> is issued within one year after the IPO.</w:t>
      </w:r>
      <w:r>
        <w:rPr>
          <w:sz w:val="20"/>
          <w:szCs w:val="20"/>
        </w:rPr>
        <w:t xml:space="preserve">  </w:t>
      </w:r>
      <w:r w:rsidRPr="00AF353C">
        <w:rPr>
          <w:b/>
          <w:sz w:val="20"/>
          <w:szCs w:val="20"/>
        </w:rPr>
        <w:t>IPO Co-manager</w:t>
      </w:r>
      <w:r>
        <w:rPr>
          <w:b/>
          <w:sz w:val="20"/>
          <w:szCs w:val="20"/>
        </w:rPr>
        <w:t xml:space="preserve"> </w:t>
      </w:r>
      <w:r w:rsidRPr="006B30B6">
        <w:rPr>
          <w:sz w:val="20"/>
          <w:szCs w:val="20"/>
        </w:rPr>
        <w:t>is defined in the same way.</w:t>
      </w:r>
      <w:r>
        <w:rPr>
          <w:sz w:val="20"/>
          <w:szCs w:val="20"/>
        </w:rPr>
        <w:t xml:space="preserve">  </w:t>
      </w:r>
      <w:r w:rsidRPr="00AF353C">
        <w:rPr>
          <w:b/>
          <w:sz w:val="20"/>
          <w:szCs w:val="20"/>
        </w:rPr>
        <w:t>SEO Underwriter</w:t>
      </w:r>
      <w:r>
        <w:rPr>
          <w:b/>
          <w:sz w:val="20"/>
          <w:szCs w:val="20"/>
        </w:rPr>
        <w:t xml:space="preserve"> </w:t>
      </w:r>
      <w:r w:rsidRPr="006B30B6">
        <w:rPr>
          <w:sz w:val="20"/>
          <w:szCs w:val="20"/>
        </w:rPr>
        <w:t>is a</w:t>
      </w:r>
      <w:r>
        <w:rPr>
          <w:sz w:val="20"/>
          <w:szCs w:val="20"/>
        </w:rPr>
        <w:t xml:space="preserve"> </w:t>
      </w:r>
      <w:r w:rsidRPr="00AF353C">
        <w:rPr>
          <w:sz w:val="20"/>
          <w:szCs w:val="20"/>
        </w:rPr>
        <w:t>dummy variable</w:t>
      </w:r>
      <w:r>
        <w:rPr>
          <w:sz w:val="20"/>
          <w:szCs w:val="20"/>
        </w:rPr>
        <w:t xml:space="preserve"> indicating whether the</w:t>
      </w:r>
      <w:r w:rsidRPr="00AF353C">
        <w:rPr>
          <w:sz w:val="20"/>
          <w:szCs w:val="20"/>
        </w:rPr>
        <w:t xml:space="preserve"> analyst's </w:t>
      </w:r>
      <w:r>
        <w:rPr>
          <w:sz w:val="20"/>
          <w:szCs w:val="20"/>
        </w:rPr>
        <w:t xml:space="preserve">brokerage </w:t>
      </w:r>
      <w:r w:rsidRPr="00AF353C">
        <w:rPr>
          <w:sz w:val="20"/>
          <w:szCs w:val="20"/>
        </w:rPr>
        <w:t>firm is the SEO l</w:t>
      </w:r>
      <w:r>
        <w:rPr>
          <w:sz w:val="20"/>
          <w:szCs w:val="20"/>
        </w:rPr>
        <w:t>ead underwriter and the analyst report</w:t>
      </w:r>
      <w:r w:rsidRPr="00AF353C">
        <w:rPr>
          <w:sz w:val="20"/>
          <w:szCs w:val="20"/>
        </w:rPr>
        <w:t xml:space="preserve"> is issued within six months before and one year after the SEO.</w:t>
      </w:r>
      <w:r>
        <w:rPr>
          <w:sz w:val="20"/>
          <w:szCs w:val="20"/>
        </w:rPr>
        <w:t xml:space="preserve">  </w:t>
      </w:r>
      <w:r w:rsidRPr="00AF353C">
        <w:rPr>
          <w:b/>
          <w:sz w:val="20"/>
          <w:szCs w:val="20"/>
        </w:rPr>
        <w:t>SEO Co-manager</w:t>
      </w:r>
      <w:r>
        <w:rPr>
          <w:sz w:val="20"/>
          <w:szCs w:val="20"/>
        </w:rPr>
        <w:t xml:space="preserve"> is defined the same way.  </w:t>
      </w:r>
      <w:r w:rsidRPr="00AF353C">
        <w:rPr>
          <w:b/>
          <w:sz w:val="20"/>
          <w:szCs w:val="20"/>
        </w:rPr>
        <w:t xml:space="preserve">Broker </w:t>
      </w:r>
      <w:proofErr w:type="spellStart"/>
      <w:r w:rsidRPr="00AF353C">
        <w:rPr>
          <w:b/>
          <w:sz w:val="20"/>
          <w:szCs w:val="20"/>
        </w:rPr>
        <w:t>Decile</w:t>
      </w:r>
      <w:proofErr w:type="spellEnd"/>
      <w:r>
        <w:rPr>
          <w:b/>
          <w:sz w:val="20"/>
          <w:szCs w:val="20"/>
        </w:rPr>
        <w:t xml:space="preserve"> </w:t>
      </w:r>
      <w:r w:rsidRPr="006B30B6">
        <w:rPr>
          <w:sz w:val="20"/>
          <w:szCs w:val="20"/>
        </w:rPr>
        <w:t xml:space="preserve">is a </w:t>
      </w:r>
      <w:proofErr w:type="spellStart"/>
      <w:r w:rsidRPr="006B30B6">
        <w:rPr>
          <w:sz w:val="20"/>
          <w:szCs w:val="20"/>
        </w:rPr>
        <w:t>decile</w:t>
      </w:r>
      <w:proofErr w:type="spellEnd"/>
      <w:r w:rsidRPr="006B30B6">
        <w:rPr>
          <w:sz w:val="20"/>
          <w:szCs w:val="20"/>
        </w:rPr>
        <w:t xml:space="preserve"> </w:t>
      </w:r>
      <w:r w:rsidR="00DD61FC">
        <w:rPr>
          <w:sz w:val="20"/>
          <w:szCs w:val="20"/>
        </w:rPr>
        <w:t xml:space="preserve">size </w:t>
      </w:r>
      <w:r w:rsidRPr="006B30B6">
        <w:rPr>
          <w:sz w:val="20"/>
          <w:szCs w:val="20"/>
        </w:rPr>
        <w:t>ranking of</w:t>
      </w:r>
      <w:r>
        <w:rPr>
          <w:b/>
          <w:sz w:val="20"/>
          <w:szCs w:val="20"/>
        </w:rPr>
        <w:t xml:space="preserve"> </w:t>
      </w:r>
      <w:r w:rsidR="00DD61FC" w:rsidRPr="00DD61FC">
        <w:rPr>
          <w:sz w:val="20"/>
          <w:szCs w:val="20"/>
        </w:rPr>
        <w:t>the analyst’s</w:t>
      </w:r>
      <w:r w:rsidR="00DD61FC">
        <w:rPr>
          <w:b/>
          <w:sz w:val="20"/>
          <w:szCs w:val="20"/>
        </w:rPr>
        <w:t xml:space="preserve"> </w:t>
      </w:r>
      <w:r>
        <w:rPr>
          <w:sz w:val="20"/>
          <w:szCs w:val="20"/>
        </w:rPr>
        <w:t>b</w:t>
      </w:r>
      <w:r w:rsidR="00DD61FC">
        <w:rPr>
          <w:sz w:val="20"/>
          <w:szCs w:val="20"/>
        </w:rPr>
        <w:t>rokerage firm,</w:t>
      </w:r>
      <w:r w:rsidR="00D21B52">
        <w:rPr>
          <w:sz w:val="20"/>
          <w:szCs w:val="20"/>
        </w:rPr>
        <w:t xml:space="preserve"> computed annually,</w:t>
      </w:r>
      <w:r w:rsidRPr="00AF353C">
        <w:rPr>
          <w:sz w:val="20"/>
          <w:szCs w:val="20"/>
        </w:rPr>
        <w:t xml:space="preserve"> based on the number of analysts at each brokerage firm</w:t>
      </w:r>
      <w:r w:rsidR="001C3B99">
        <w:rPr>
          <w:sz w:val="20"/>
          <w:szCs w:val="20"/>
        </w:rPr>
        <w:t>,</w:t>
      </w:r>
      <w:r w:rsidR="00EA0836">
        <w:rPr>
          <w:sz w:val="20"/>
          <w:szCs w:val="20"/>
        </w:rPr>
        <w:t xml:space="preserve"> as</w:t>
      </w:r>
      <w:r w:rsidR="00D21B52">
        <w:rPr>
          <w:sz w:val="20"/>
          <w:szCs w:val="20"/>
        </w:rPr>
        <w:t xml:space="preserve"> reported by</w:t>
      </w:r>
      <w:r>
        <w:rPr>
          <w:sz w:val="20"/>
          <w:szCs w:val="20"/>
        </w:rPr>
        <w:t xml:space="preserve"> IBES.</w:t>
      </w:r>
      <w:r w:rsidRPr="00AF353C">
        <w:rPr>
          <w:sz w:val="20"/>
          <w:szCs w:val="20"/>
        </w:rPr>
        <w:t xml:space="preserve"> </w:t>
      </w:r>
      <w:r>
        <w:rPr>
          <w:sz w:val="20"/>
          <w:szCs w:val="20"/>
        </w:rPr>
        <w:t xml:space="preserve"> </w:t>
      </w:r>
      <w:r w:rsidRPr="00AF353C">
        <w:rPr>
          <w:b/>
          <w:sz w:val="20"/>
          <w:szCs w:val="20"/>
        </w:rPr>
        <w:t>Experience</w:t>
      </w:r>
      <w:r>
        <w:rPr>
          <w:sz w:val="20"/>
          <w:szCs w:val="20"/>
        </w:rPr>
        <w:t xml:space="preserve"> is </w:t>
      </w:r>
      <w:r w:rsidR="00C32349">
        <w:rPr>
          <w:sz w:val="20"/>
          <w:szCs w:val="20"/>
        </w:rPr>
        <w:t xml:space="preserve">a measure of analyst tenure as </w:t>
      </w:r>
      <w:r w:rsidRPr="00AF353C">
        <w:rPr>
          <w:sz w:val="20"/>
          <w:szCs w:val="20"/>
        </w:rPr>
        <w:t>a sell-side analyst</w:t>
      </w:r>
      <w:r w:rsidR="00C32349">
        <w:rPr>
          <w:sz w:val="20"/>
          <w:szCs w:val="20"/>
        </w:rPr>
        <w:t>,</w:t>
      </w:r>
      <w:r>
        <w:rPr>
          <w:sz w:val="20"/>
          <w:szCs w:val="20"/>
        </w:rPr>
        <w:t xml:space="preserve"> as of the current year </w:t>
      </w:r>
      <w:r w:rsidR="00C32349">
        <w:rPr>
          <w:sz w:val="20"/>
          <w:szCs w:val="20"/>
        </w:rPr>
        <w:t>(years in the</w:t>
      </w:r>
      <w:r w:rsidRPr="00AF353C">
        <w:rPr>
          <w:sz w:val="20"/>
          <w:szCs w:val="20"/>
        </w:rPr>
        <w:t xml:space="preserve"> IBES database</w:t>
      </w:r>
      <w:r w:rsidR="00C32349">
        <w:rPr>
          <w:sz w:val="20"/>
          <w:szCs w:val="20"/>
        </w:rPr>
        <w:t xml:space="preserve"> is the proxy</w:t>
      </w:r>
      <w:r w:rsidRPr="00AF353C">
        <w:rPr>
          <w:sz w:val="20"/>
          <w:szCs w:val="20"/>
        </w:rPr>
        <w:t>).</w:t>
      </w:r>
      <w:r>
        <w:rPr>
          <w:sz w:val="20"/>
          <w:szCs w:val="20"/>
        </w:rPr>
        <w:t xml:space="preserve">  </w:t>
      </w:r>
      <w:r w:rsidRPr="00AF353C">
        <w:rPr>
          <w:b/>
          <w:sz w:val="20"/>
          <w:szCs w:val="20"/>
        </w:rPr>
        <w:t>Complexity</w:t>
      </w:r>
      <w:r>
        <w:rPr>
          <w:b/>
          <w:sz w:val="20"/>
          <w:szCs w:val="20"/>
        </w:rPr>
        <w:t xml:space="preserve"> </w:t>
      </w:r>
      <w:r w:rsidRPr="005579BA">
        <w:rPr>
          <w:sz w:val="20"/>
          <w:szCs w:val="20"/>
        </w:rPr>
        <w:t>is the</w:t>
      </w:r>
      <w:r>
        <w:rPr>
          <w:sz w:val="20"/>
          <w:szCs w:val="20"/>
        </w:rPr>
        <w:t xml:space="preserve"> n</w:t>
      </w:r>
      <w:r w:rsidRPr="00AF353C">
        <w:rPr>
          <w:sz w:val="20"/>
          <w:szCs w:val="20"/>
        </w:rPr>
        <w:t xml:space="preserve">umber of companies </w:t>
      </w:r>
      <w:r>
        <w:rPr>
          <w:sz w:val="20"/>
          <w:szCs w:val="20"/>
        </w:rPr>
        <w:t xml:space="preserve">the </w:t>
      </w:r>
      <w:r w:rsidRPr="00AF353C">
        <w:rPr>
          <w:sz w:val="20"/>
          <w:szCs w:val="20"/>
        </w:rPr>
        <w:t>analyst</w:t>
      </w:r>
      <w:r w:rsidR="00C32349">
        <w:rPr>
          <w:sz w:val="20"/>
          <w:szCs w:val="20"/>
        </w:rPr>
        <w:t xml:space="preserve"> covers</w:t>
      </w:r>
      <w:r>
        <w:rPr>
          <w:sz w:val="20"/>
          <w:szCs w:val="20"/>
        </w:rPr>
        <w:t xml:space="preserve"> during the year</w:t>
      </w:r>
      <w:r w:rsidRPr="00AF353C">
        <w:rPr>
          <w:sz w:val="20"/>
          <w:szCs w:val="20"/>
        </w:rPr>
        <w:t>.</w:t>
      </w:r>
      <w:r>
        <w:rPr>
          <w:sz w:val="20"/>
          <w:szCs w:val="20"/>
        </w:rPr>
        <w:t xml:space="preserve">  </w:t>
      </w:r>
      <w:r w:rsidRPr="00AF353C">
        <w:rPr>
          <w:b/>
          <w:sz w:val="20"/>
          <w:szCs w:val="20"/>
        </w:rPr>
        <w:t>Disclose</w:t>
      </w:r>
      <w:r>
        <w:rPr>
          <w:b/>
          <w:sz w:val="20"/>
          <w:szCs w:val="20"/>
        </w:rPr>
        <w:t xml:space="preserve"> </w:t>
      </w:r>
      <w:r w:rsidRPr="005579BA">
        <w:rPr>
          <w:sz w:val="20"/>
          <w:szCs w:val="20"/>
        </w:rPr>
        <w:t>is a</w:t>
      </w:r>
      <w:r>
        <w:rPr>
          <w:b/>
          <w:sz w:val="20"/>
          <w:szCs w:val="20"/>
        </w:rPr>
        <w:t xml:space="preserve"> </w:t>
      </w:r>
      <w:r w:rsidRPr="00AF353C">
        <w:rPr>
          <w:sz w:val="20"/>
          <w:szCs w:val="20"/>
        </w:rPr>
        <w:t xml:space="preserve">dummy variable </w:t>
      </w:r>
      <w:r>
        <w:rPr>
          <w:sz w:val="20"/>
          <w:szCs w:val="20"/>
        </w:rPr>
        <w:t xml:space="preserve">indicating whether the </w:t>
      </w:r>
      <w:r w:rsidRPr="00AF353C">
        <w:rPr>
          <w:sz w:val="20"/>
          <w:szCs w:val="20"/>
        </w:rPr>
        <w:t xml:space="preserve">analyst </w:t>
      </w:r>
      <w:r>
        <w:rPr>
          <w:sz w:val="20"/>
          <w:szCs w:val="20"/>
        </w:rPr>
        <w:t>is</w:t>
      </w:r>
      <w:r w:rsidRPr="00AF353C">
        <w:rPr>
          <w:sz w:val="20"/>
          <w:szCs w:val="20"/>
        </w:rPr>
        <w:t xml:space="preserve"> a restricted stock</w:t>
      </w:r>
      <w:r w:rsidR="00145B0F">
        <w:rPr>
          <w:sz w:val="20"/>
          <w:szCs w:val="20"/>
        </w:rPr>
        <w:t xml:space="preserve"> </w:t>
      </w:r>
      <w:r w:rsidRPr="00AF353C">
        <w:rPr>
          <w:sz w:val="20"/>
          <w:szCs w:val="20"/>
        </w:rPr>
        <w:t>owner and</w:t>
      </w:r>
      <w:r w:rsidR="0026291C">
        <w:rPr>
          <w:sz w:val="20"/>
          <w:szCs w:val="20"/>
        </w:rPr>
        <w:t xml:space="preserve"> whether</w:t>
      </w:r>
      <w:r w:rsidRPr="00AF353C">
        <w:rPr>
          <w:sz w:val="20"/>
          <w:szCs w:val="20"/>
        </w:rPr>
        <w:t xml:space="preserve"> their ownership was disclosed to the public</w:t>
      </w:r>
      <w:r w:rsidR="009C5B6A">
        <w:rPr>
          <w:sz w:val="20"/>
          <w:szCs w:val="20"/>
        </w:rPr>
        <w:t>, prior to the Form 144</w:t>
      </w:r>
      <w:r w:rsidRPr="00AF353C">
        <w:rPr>
          <w:sz w:val="20"/>
          <w:szCs w:val="20"/>
        </w:rPr>
        <w:t>.</w:t>
      </w:r>
      <w:r>
        <w:rPr>
          <w:sz w:val="20"/>
          <w:szCs w:val="20"/>
        </w:rPr>
        <w:t xml:space="preserve">  </w:t>
      </w:r>
      <w:r w:rsidRPr="00AF353C">
        <w:rPr>
          <w:b/>
          <w:sz w:val="20"/>
          <w:szCs w:val="20"/>
        </w:rPr>
        <w:t>Internet</w:t>
      </w:r>
      <w:r>
        <w:rPr>
          <w:b/>
          <w:sz w:val="20"/>
          <w:szCs w:val="20"/>
        </w:rPr>
        <w:t xml:space="preserve"> </w:t>
      </w:r>
      <w:r w:rsidRPr="005579BA">
        <w:rPr>
          <w:sz w:val="20"/>
          <w:szCs w:val="20"/>
        </w:rPr>
        <w:t>is a</w:t>
      </w:r>
      <w:r>
        <w:rPr>
          <w:sz w:val="20"/>
          <w:szCs w:val="20"/>
        </w:rPr>
        <w:t xml:space="preserve"> </w:t>
      </w:r>
      <w:r w:rsidRPr="00AF353C">
        <w:rPr>
          <w:sz w:val="20"/>
          <w:szCs w:val="20"/>
        </w:rPr>
        <w:t>dummy variable</w:t>
      </w:r>
      <w:r>
        <w:rPr>
          <w:sz w:val="20"/>
          <w:szCs w:val="20"/>
        </w:rPr>
        <w:t xml:space="preserve"> indicating whether the </w:t>
      </w:r>
      <w:r w:rsidRPr="00AF353C">
        <w:rPr>
          <w:sz w:val="20"/>
          <w:szCs w:val="20"/>
        </w:rPr>
        <w:t>company is in</w:t>
      </w:r>
      <w:r w:rsidR="00982C1C">
        <w:rPr>
          <w:sz w:val="20"/>
          <w:szCs w:val="20"/>
        </w:rPr>
        <w:t xml:space="preserve"> the group of</w:t>
      </w:r>
      <w:r w:rsidRPr="00AF353C">
        <w:rPr>
          <w:sz w:val="20"/>
          <w:szCs w:val="20"/>
        </w:rPr>
        <w:t xml:space="preserve"> four digit SIC</w:t>
      </w:r>
      <w:r w:rsidR="00982C1C">
        <w:rPr>
          <w:sz w:val="20"/>
          <w:szCs w:val="20"/>
        </w:rPr>
        <w:t xml:space="preserve">s </w:t>
      </w:r>
      <w:r w:rsidRPr="00AF353C">
        <w:rPr>
          <w:sz w:val="20"/>
          <w:szCs w:val="20"/>
        </w:rPr>
        <w:t xml:space="preserve">as specified by </w:t>
      </w:r>
      <w:proofErr w:type="spellStart"/>
      <w:r w:rsidRPr="00AF353C">
        <w:rPr>
          <w:sz w:val="20"/>
          <w:szCs w:val="20"/>
        </w:rPr>
        <w:t>Loughran</w:t>
      </w:r>
      <w:proofErr w:type="spellEnd"/>
      <w:r w:rsidRPr="00AF353C">
        <w:rPr>
          <w:sz w:val="20"/>
          <w:szCs w:val="20"/>
        </w:rPr>
        <w:t xml:space="preserve"> and Ritter (2002) for </w:t>
      </w:r>
      <w:r>
        <w:rPr>
          <w:sz w:val="20"/>
          <w:szCs w:val="20"/>
        </w:rPr>
        <w:t>t</w:t>
      </w:r>
      <w:r w:rsidRPr="00AF353C">
        <w:rPr>
          <w:sz w:val="20"/>
          <w:szCs w:val="20"/>
        </w:rPr>
        <w:t>ech</w:t>
      </w:r>
      <w:r>
        <w:rPr>
          <w:sz w:val="20"/>
          <w:szCs w:val="20"/>
        </w:rPr>
        <w:t>nology</w:t>
      </w:r>
      <w:r w:rsidRPr="00AF353C">
        <w:rPr>
          <w:sz w:val="20"/>
          <w:szCs w:val="20"/>
        </w:rPr>
        <w:t xml:space="preserve"> stocks.</w:t>
      </w:r>
      <w:r>
        <w:rPr>
          <w:sz w:val="20"/>
          <w:szCs w:val="20"/>
        </w:rPr>
        <w:t xml:space="preserve">  </w:t>
      </w:r>
      <w:r w:rsidRPr="00AF353C">
        <w:rPr>
          <w:b/>
          <w:sz w:val="20"/>
          <w:szCs w:val="20"/>
        </w:rPr>
        <w:t>Follow</w:t>
      </w:r>
      <w:r>
        <w:rPr>
          <w:b/>
          <w:sz w:val="20"/>
          <w:szCs w:val="20"/>
        </w:rPr>
        <w:t xml:space="preserve"> </w:t>
      </w:r>
      <w:r w:rsidRPr="003C172C">
        <w:rPr>
          <w:sz w:val="20"/>
          <w:szCs w:val="20"/>
        </w:rPr>
        <w:t>is</w:t>
      </w:r>
      <w:r>
        <w:rPr>
          <w:b/>
          <w:sz w:val="20"/>
          <w:szCs w:val="20"/>
        </w:rPr>
        <w:t xml:space="preserve"> </w:t>
      </w:r>
      <w:r w:rsidRPr="00AF353C">
        <w:rPr>
          <w:sz w:val="20"/>
          <w:szCs w:val="20"/>
        </w:rPr>
        <w:t xml:space="preserve">the number of analysts </w:t>
      </w:r>
      <w:r>
        <w:rPr>
          <w:sz w:val="20"/>
          <w:szCs w:val="20"/>
        </w:rPr>
        <w:t xml:space="preserve">reporting </w:t>
      </w:r>
      <w:r w:rsidRPr="00AF353C">
        <w:rPr>
          <w:sz w:val="20"/>
          <w:szCs w:val="20"/>
        </w:rPr>
        <w:t>earnings</w:t>
      </w:r>
      <w:r>
        <w:rPr>
          <w:sz w:val="20"/>
          <w:szCs w:val="20"/>
        </w:rPr>
        <w:t xml:space="preserve"> </w:t>
      </w:r>
      <w:r w:rsidRPr="00AF353C">
        <w:rPr>
          <w:sz w:val="20"/>
          <w:szCs w:val="20"/>
        </w:rPr>
        <w:t>forecasts on the company during the quarter.</w:t>
      </w:r>
      <w:r w:rsidR="00DD61FC">
        <w:rPr>
          <w:sz w:val="20"/>
          <w:szCs w:val="20"/>
        </w:rPr>
        <w:t xml:space="preserve">  </w:t>
      </w:r>
      <w:proofErr w:type="gramStart"/>
      <w:r w:rsidR="00DD61FC" w:rsidRPr="00DD61FC">
        <w:rPr>
          <w:b/>
          <w:sz w:val="20"/>
          <w:szCs w:val="20"/>
        </w:rPr>
        <w:t>Industry</w:t>
      </w:r>
      <w:proofErr w:type="gramEnd"/>
      <w:r w:rsidR="00DD61FC">
        <w:rPr>
          <w:sz w:val="20"/>
          <w:szCs w:val="20"/>
        </w:rPr>
        <w:t xml:space="preserve"> dummies are based on one digit SIC codes.</w:t>
      </w:r>
      <w:r w:rsidR="00DB381E">
        <w:rPr>
          <w:sz w:val="20"/>
          <w:szCs w:val="20"/>
        </w:rPr>
        <w:t xml:space="preserve">             * Statistically significant at the 5% level or better.</w:t>
      </w:r>
    </w:p>
    <w:p w:rsidR="003C172C" w:rsidRPr="00BD04E4" w:rsidRDefault="003C172C">
      <w:pPr>
        <w:rPr>
          <w:b/>
        </w:rPr>
      </w:pPr>
    </w:p>
    <w:p w:rsidR="00903D89" w:rsidRPr="00BD04E4" w:rsidRDefault="00903D89" w:rsidP="00DB381E">
      <w:pPr>
        <w:ind w:firstLine="720"/>
        <w:rPr>
          <w:i/>
        </w:rPr>
      </w:pPr>
      <w:r w:rsidRPr="00BD04E4">
        <w:rPr>
          <w:i/>
        </w:rPr>
        <w:t xml:space="preserve">Dependent </w:t>
      </w:r>
      <w:r w:rsidR="00DD61FC">
        <w:rPr>
          <w:i/>
        </w:rPr>
        <w:t>variable:  Recommendation</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0"/>
        <w:gridCol w:w="236"/>
        <w:gridCol w:w="1168"/>
        <w:gridCol w:w="236"/>
        <w:gridCol w:w="1045"/>
        <w:gridCol w:w="236"/>
        <w:gridCol w:w="1168"/>
        <w:gridCol w:w="236"/>
        <w:gridCol w:w="1045"/>
      </w:tblGrid>
      <w:tr w:rsidR="00903D89" w:rsidRPr="00BD04E4">
        <w:trPr>
          <w:jc w:val="center"/>
        </w:trPr>
        <w:tc>
          <w:tcPr>
            <w:tcW w:w="3270" w:type="dxa"/>
          </w:tcPr>
          <w:p w:rsidR="00903D89" w:rsidRPr="00BD04E4" w:rsidRDefault="00903D89">
            <w:pPr>
              <w:rPr>
                <w:sz w:val="20"/>
                <w:szCs w:val="20"/>
              </w:rPr>
            </w:pPr>
          </w:p>
        </w:tc>
        <w:tc>
          <w:tcPr>
            <w:tcW w:w="236" w:type="dxa"/>
          </w:tcPr>
          <w:p w:rsidR="00903D89" w:rsidRPr="00BD04E4" w:rsidRDefault="00903D89">
            <w:pPr>
              <w:rPr>
                <w:sz w:val="20"/>
                <w:szCs w:val="20"/>
              </w:rPr>
            </w:pPr>
          </w:p>
        </w:tc>
        <w:tc>
          <w:tcPr>
            <w:tcW w:w="2449" w:type="dxa"/>
            <w:gridSpan w:val="3"/>
          </w:tcPr>
          <w:p w:rsidR="00903D89" w:rsidRPr="00BD04E4" w:rsidRDefault="00903D89">
            <w:pPr>
              <w:jc w:val="center"/>
              <w:rPr>
                <w:b/>
                <w:sz w:val="20"/>
                <w:szCs w:val="20"/>
              </w:rPr>
            </w:pPr>
            <w:r w:rsidRPr="00BD04E4">
              <w:rPr>
                <w:b/>
                <w:i/>
                <w:sz w:val="20"/>
                <w:szCs w:val="20"/>
              </w:rPr>
              <w:t>Form 144 Sample</w:t>
            </w:r>
          </w:p>
        </w:tc>
        <w:tc>
          <w:tcPr>
            <w:tcW w:w="236" w:type="dxa"/>
          </w:tcPr>
          <w:p w:rsidR="00903D89" w:rsidRPr="00BD04E4" w:rsidRDefault="00903D89">
            <w:pPr>
              <w:jc w:val="center"/>
              <w:rPr>
                <w:b/>
                <w:sz w:val="20"/>
                <w:szCs w:val="20"/>
              </w:rPr>
            </w:pPr>
          </w:p>
        </w:tc>
        <w:tc>
          <w:tcPr>
            <w:tcW w:w="2449" w:type="dxa"/>
            <w:gridSpan w:val="3"/>
          </w:tcPr>
          <w:p w:rsidR="00903D89" w:rsidRPr="00BD04E4" w:rsidRDefault="00903D89">
            <w:pPr>
              <w:jc w:val="center"/>
              <w:rPr>
                <w:b/>
                <w:sz w:val="20"/>
                <w:szCs w:val="20"/>
              </w:rPr>
            </w:pPr>
            <w:r w:rsidRPr="00BD04E4">
              <w:rPr>
                <w:b/>
                <w:i/>
                <w:sz w:val="20"/>
                <w:szCs w:val="20"/>
              </w:rPr>
              <w:t>Disclosing Sample</w:t>
            </w:r>
          </w:p>
        </w:tc>
      </w:tr>
      <w:tr w:rsidR="00903D89" w:rsidRPr="00BD04E4">
        <w:trPr>
          <w:jc w:val="center"/>
        </w:trPr>
        <w:tc>
          <w:tcPr>
            <w:tcW w:w="3270" w:type="dxa"/>
          </w:tcPr>
          <w:p w:rsidR="00903D89" w:rsidRPr="00BD04E4" w:rsidRDefault="00903D89">
            <w:pPr>
              <w:rPr>
                <w:sz w:val="20"/>
                <w:szCs w:val="20"/>
              </w:rPr>
            </w:pPr>
          </w:p>
        </w:tc>
        <w:tc>
          <w:tcPr>
            <w:tcW w:w="236" w:type="dxa"/>
          </w:tcPr>
          <w:p w:rsidR="00903D89" w:rsidRPr="00BD04E4" w:rsidRDefault="00903D89">
            <w:pPr>
              <w:rPr>
                <w:sz w:val="20"/>
                <w:szCs w:val="20"/>
              </w:rPr>
            </w:pPr>
          </w:p>
        </w:tc>
        <w:tc>
          <w:tcPr>
            <w:tcW w:w="1168" w:type="dxa"/>
          </w:tcPr>
          <w:p w:rsidR="00903D89" w:rsidRPr="00BD04E4" w:rsidRDefault="00903D89">
            <w:pPr>
              <w:jc w:val="center"/>
              <w:rPr>
                <w:b/>
                <w:sz w:val="20"/>
                <w:szCs w:val="20"/>
              </w:rPr>
            </w:pPr>
            <w:r w:rsidRPr="00BD04E4">
              <w:rPr>
                <w:b/>
                <w:sz w:val="20"/>
                <w:szCs w:val="20"/>
              </w:rPr>
              <w:t>Coefficient</w:t>
            </w:r>
          </w:p>
        </w:tc>
        <w:tc>
          <w:tcPr>
            <w:tcW w:w="236" w:type="dxa"/>
          </w:tcPr>
          <w:p w:rsidR="00903D89" w:rsidRPr="00BD04E4" w:rsidRDefault="00903D89">
            <w:pPr>
              <w:rPr>
                <w:sz w:val="20"/>
                <w:szCs w:val="20"/>
              </w:rPr>
            </w:pPr>
          </w:p>
        </w:tc>
        <w:tc>
          <w:tcPr>
            <w:tcW w:w="1045" w:type="dxa"/>
          </w:tcPr>
          <w:p w:rsidR="00903D89" w:rsidRPr="00BD04E4" w:rsidRDefault="00903D89">
            <w:pPr>
              <w:jc w:val="center"/>
              <w:rPr>
                <w:b/>
                <w:sz w:val="20"/>
                <w:szCs w:val="20"/>
              </w:rPr>
            </w:pPr>
            <w:r w:rsidRPr="00BD04E4">
              <w:rPr>
                <w:b/>
                <w:sz w:val="20"/>
                <w:szCs w:val="20"/>
              </w:rPr>
              <w:t>z-Statistic</w:t>
            </w:r>
          </w:p>
        </w:tc>
        <w:tc>
          <w:tcPr>
            <w:tcW w:w="236" w:type="dxa"/>
          </w:tcPr>
          <w:p w:rsidR="00903D89" w:rsidRPr="00BD04E4" w:rsidRDefault="00903D89">
            <w:pPr>
              <w:jc w:val="center"/>
              <w:rPr>
                <w:b/>
                <w:sz w:val="20"/>
                <w:szCs w:val="20"/>
              </w:rPr>
            </w:pPr>
          </w:p>
        </w:tc>
        <w:tc>
          <w:tcPr>
            <w:tcW w:w="1168" w:type="dxa"/>
          </w:tcPr>
          <w:p w:rsidR="00903D89" w:rsidRPr="00BD04E4" w:rsidRDefault="00903D89">
            <w:pPr>
              <w:jc w:val="center"/>
              <w:rPr>
                <w:b/>
                <w:sz w:val="20"/>
                <w:szCs w:val="20"/>
              </w:rPr>
            </w:pPr>
            <w:r w:rsidRPr="00BD04E4">
              <w:rPr>
                <w:b/>
                <w:sz w:val="20"/>
                <w:szCs w:val="20"/>
              </w:rPr>
              <w:t>Coefficient</w:t>
            </w:r>
          </w:p>
        </w:tc>
        <w:tc>
          <w:tcPr>
            <w:tcW w:w="236" w:type="dxa"/>
          </w:tcPr>
          <w:p w:rsidR="00903D89" w:rsidRPr="00BD04E4" w:rsidRDefault="00903D89">
            <w:pPr>
              <w:rPr>
                <w:sz w:val="20"/>
                <w:szCs w:val="20"/>
              </w:rPr>
            </w:pPr>
          </w:p>
        </w:tc>
        <w:tc>
          <w:tcPr>
            <w:tcW w:w="1045" w:type="dxa"/>
          </w:tcPr>
          <w:p w:rsidR="00903D89" w:rsidRPr="00BD04E4" w:rsidRDefault="00903D89">
            <w:pPr>
              <w:jc w:val="center"/>
              <w:rPr>
                <w:b/>
                <w:sz w:val="20"/>
                <w:szCs w:val="20"/>
              </w:rPr>
            </w:pPr>
            <w:r w:rsidRPr="00BD04E4">
              <w:rPr>
                <w:b/>
                <w:sz w:val="20"/>
                <w:szCs w:val="20"/>
              </w:rPr>
              <w:t>z-Statistic</w:t>
            </w:r>
          </w:p>
        </w:tc>
      </w:tr>
      <w:tr w:rsidR="00903D89" w:rsidRPr="00BD04E4">
        <w:trPr>
          <w:jc w:val="center"/>
        </w:trPr>
        <w:tc>
          <w:tcPr>
            <w:tcW w:w="3270" w:type="dxa"/>
          </w:tcPr>
          <w:p w:rsidR="00903D89" w:rsidRPr="00BD04E4" w:rsidRDefault="00903D89">
            <w:pPr>
              <w:rPr>
                <w:sz w:val="20"/>
                <w:szCs w:val="20"/>
              </w:rPr>
            </w:pPr>
            <w:r w:rsidRPr="00BD04E4">
              <w:rPr>
                <w:sz w:val="20"/>
                <w:szCs w:val="20"/>
              </w:rPr>
              <w:t>Analyst Owner Dummy (OWN)</w:t>
            </w:r>
          </w:p>
        </w:tc>
        <w:tc>
          <w:tcPr>
            <w:tcW w:w="236" w:type="dxa"/>
          </w:tcPr>
          <w:p w:rsidR="00903D89" w:rsidRPr="00BD04E4" w:rsidRDefault="00903D89">
            <w:pPr>
              <w:rPr>
                <w:sz w:val="20"/>
                <w:szCs w:val="20"/>
              </w:rPr>
            </w:pPr>
          </w:p>
        </w:tc>
        <w:tc>
          <w:tcPr>
            <w:tcW w:w="1168" w:type="dxa"/>
          </w:tcPr>
          <w:p w:rsidR="00903D89" w:rsidRPr="00BD04E4" w:rsidRDefault="00903D89">
            <w:pPr>
              <w:jc w:val="right"/>
              <w:rPr>
                <w:sz w:val="20"/>
                <w:szCs w:val="20"/>
              </w:rPr>
            </w:pPr>
            <w:r w:rsidRPr="00BD04E4">
              <w:rPr>
                <w:sz w:val="20"/>
                <w:szCs w:val="20"/>
              </w:rPr>
              <w:t>0.53</w:t>
            </w:r>
          </w:p>
        </w:tc>
        <w:tc>
          <w:tcPr>
            <w:tcW w:w="236" w:type="dxa"/>
          </w:tcPr>
          <w:p w:rsidR="00903D89" w:rsidRPr="00BD04E4" w:rsidRDefault="00903D89">
            <w:pPr>
              <w:rPr>
                <w:sz w:val="20"/>
                <w:szCs w:val="20"/>
              </w:rPr>
            </w:pPr>
          </w:p>
        </w:tc>
        <w:tc>
          <w:tcPr>
            <w:tcW w:w="1045" w:type="dxa"/>
          </w:tcPr>
          <w:p w:rsidR="00903D89" w:rsidRPr="00BD04E4" w:rsidRDefault="00903D89">
            <w:pPr>
              <w:jc w:val="right"/>
              <w:rPr>
                <w:sz w:val="20"/>
                <w:szCs w:val="20"/>
              </w:rPr>
            </w:pPr>
            <w:r w:rsidRPr="00BD04E4">
              <w:rPr>
                <w:sz w:val="20"/>
                <w:szCs w:val="20"/>
              </w:rPr>
              <w:t>1.9</w:t>
            </w:r>
          </w:p>
        </w:tc>
        <w:tc>
          <w:tcPr>
            <w:tcW w:w="236" w:type="dxa"/>
          </w:tcPr>
          <w:p w:rsidR="00903D89" w:rsidRPr="00BD04E4" w:rsidRDefault="00903D89">
            <w:pPr>
              <w:jc w:val="right"/>
              <w:rPr>
                <w:sz w:val="20"/>
                <w:szCs w:val="20"/>
              </w:rPr>
            </w:pPr>
          </w:p>
        </w:tc>
        <w:tc>
          <w:tcPr>
            <w:tcW w:w="1168" w:type="dxa"/>
          </w:tcPr>
          <w:p w:rsidR="00903D89" w:rsidRPr="00BD04E4" w:rsidRDefault="00903D89">
            <w:pPr>
              <w:jc w:val="right"/>
              <w:rPr>
                <w:sz w:val="20"/>
                <w:szCs w:val="20"/>
              </w:rPr>
            </w:pPr>
            <w:r w:rsidRPr="00BD04E4">
              <w:rPr>
                <w:sz w:val="20"/>
                <w:szCs w:val="20"/>
              </w:rPr>
              <w:t>0.32</w:t>
            </w:r>
          </w:p>
        </w:tc>
        <w:tc>
          <w:tcPr>
            <w:tcW w:w="236" w:type="dxa"/>
          </w:tcPr>
          <w:p w:rsidR="00903D89" w:rsidRPr="00BD04E4" w:rsidRDefault="00DB381E">
            <w:pPr>
              <w:rPr>
                <w:sz w:val="20"/>
                <w:szCs w:val="20"/>
              </w:rPr>
            </w:pPr>
            <w:r>
              <w:rPr>
                <w:sz w:val="20"/>
                <w:szCs w:val="20"/>
              </w:rPr>
              <w:t>*</w:t>
            </w:r>
          </w:p>
        </w:tc>
        <w:tc>
          <w:tcPr>
            <w:tcW w:w="1045" w:type="dxa"/>
          </w:tcPr>
          <w:p w:rsidR="00903D89" w:rsidRPr="00BD04E4" w:rsidRDefault="00903D89">
            <w:pPr>
              <w:jc w:val="right"/>
              <w:rPr>
                <w:sz w:val="20"/>
                <w:szCs w:val="20"/>
              </w:rPr>
            </w:pPr>
            <w:r w:rsidRPr="00BD04E4">
              <w:rPr>
                <w:sz w:val="20"/>
                <w:szCs w:val="20"/>
              </w:rPr>
              <w:t>3.1</w:t>
            </w:r>
          </w:p>
        </w:tc>
      </w:tr>
      <w:tr w:rsidR="00DB381E" w:rsidRPr="00BD04E4">
        <w:trPr>
          <w:jc w:val="center"/>
        </w:trPr>
        <w:tc>
          <w:tcPr>
            <w:tcW w:w="3270" w:type="dxa"/>
          </w:tcPr>
          <w:p w:rsidR="00DB381E" w:rsidRPr="00BD04E4" w:rsidRDefault="00DB381E">
            <w:pPr>
              <w:rPr>
                <w:sz w:val="20"/>
                <w:szCs w:val="20"/>
              </w:rPr>
            </w:pPr>
            <w:r w:rsidRPr="00BD04E4">
              <w:rPr>
                <w:sz w:val="20"/>
                <w:szCs w:val="20"/>
              </w:rPr>
              <w:t>IPO Underwriter</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r w:rsidRPr="00BD04E4">
              <w:rPr>
                <w:sz w:val="20"/>
                <w:szCs w:val="20"/>
              </w:rPr>
              <w:t>0.65</w:t>
            </w:r>
          </w:p>
        </w:tc>
        <w:tc>
          <w:tcPr>
            <w:tcW w:w="236" w:type="dxa"/>
          </w:tcPr>
          <w:p w:rsidR="00DB381E" w:rsidRPr="00BD04E4" w:rsidRDefault="00DB381E" w:rsidP="00FD2B8E">
            <w:pPr>
              <w:jc w:val="right"/>
              <w:rPr>
                <w:sz w:val="20"/>
                <w:szCs w:val="20"/>
              </w:rPr>
            </w:pPr>
            <w:r>
              <w:rPr>
                <w:sz w:val="20"/>
                <w:szCs w:val="20"/>
              </w:rPr>
              <w:t>*</w:t>
            </w:r>
          </w:p>
        </w:tc>
        <w:tc>
          <w:tcPr>
            <w:tcW w:w="1045" w:type="dxa"/>
          </w:tcPr>
          <w:p w:rsidR="00DB381E" w:rsidRPr="00BD04E4" w:rsidRDefault="00DB381E">
            <w:pPr>
              <w:jc w:val="right"/>
              <w:rPr>
                <w:sz w:val="20"/>
                <w:szCs w:val="20"/>
              </w:rPr>
            </w:pPr>
            <w:r w:rsidRPr="00BD04E4">
              <w:rPr>
                <w:sz w:val="20"/>
                <w:szCs w:val="20"/>
              </w:rPr>
              <w:t>2.0</w:t>
            </w: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-0.26</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-1.4</w:t>
            </w:r>
          </w:p>
        </w:tc>
      </w:tr>
      <w:tr w:rsidR="00DB381E" w:rsidRPr="00BD04E4">
        <w:trPr>
          <w:jc w:val="center"/>
        </w:trPr>
        <w:tc>
          <w:tcPr>
            <w:tcW w:w="3270" w:type="dxa"/>
          </w:tcPr>
          <w:p w:rsidR="00DB381E" w:rsidRPr="00BD04E4" w:rsidRDefault="00DB381E">
            <w:pPr>
              <w:rPr>
                <w:sz w:val="20"/>
                <w:szCs w:val="20"/>
              </w:rPr>
            </w:pPr>
            <w:r w:rsidRPr="00BD04E4">
              <w:rPr>
                <w:sz w:val="20"/>
                <w:szCs w:val="20"/>
              </w:rPr>
              <w:t>IPO Underwriting Co-manager</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r w:rsidRPr="00BD04E4">
              <w:rPr>
                <w:sz w:val="20"/>
                <w:szCs w:val="20"/>
              </w:rPr>
              <w:t>0.13</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0.5</w:t>
            </w: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-0.55</w:t>
            </w:r>
          </w:p>
        </w:tc>
        <w:tc>
          <w:tcPr>
            <w:tcW w:w="236" w:type="dxa"/>
          </w:tcPr>
          <w:p w:rsidR="00DB381E" w:rsidRPr="00BD04E4" w:rsidRDefault="00DB381E">
            <w:pPr>
              <w:rPr>
                <w:sz w:val="20"/>
                <w:szCs w:val="20"/>
              </w:rPr>
            </w:pPr>
            <w:r>
              <w:rPr>
                <w:sz w:val="20"/>
                <w:szCs w:val="20"/>
              </w:rPr>
              <w:t>*</w:t>
            </w:r>
          </w:p>
        </w:tc>
        <w:tc>
          <w:tcPr>
            <w:tcW w:w="1045" w:type="dxa"/>
          </w:tcPr>
          <w:p w:rsidR="00DB381E" w:rsidRPr="00BD04E4" w:rsidRDefault="00DB381E">
            <w:pPr>
              <w:jc w:val="right"/>
              <w:rPr>
                <w:sz w:val="20"/>
                <w:szCs w:val="20"/>
              </w:rPr>
            </w:pPr>
            <w:r w:rsidRPr="00BD04E4">
              <w:rPr>
                <w:sz w:val="20"/>
                <w:szCs w:val="20"/>
              </w:rPr>
              <w:t>-3.3</w:t>
            </w:r>
          </w:p>
        </w:tc>
      </w:tr>
      <w:tr w:rsidR="00DB381E" w:rsidRPr="00BD04E4">
        <w:trPr>
          <w:jc w:val="center"/>
        </w:trPr>
        <w:tc>
          <w:tcPr>
            <w:tcW w:w="3270" w:type="dxa"/>
          </w:tcPr>
          <w:p w:rsidR="00DB381E" w:rsidRPr="00BD04E4" w:rsidRDefault="00DB381E">
            <w:pPr>
              <w:rPr>
                <w:sz w:val="20"/>
                <w:szCs w:val="20"/>
              </w:rPr>
            </w:pPr>
            <w:r w:rsidRPr="00BD04E4">
              <w:rPr>
                <w:sz w:val="20"/>
                <w:szCs w:val="20"/>
              </w:rPr>
              <w:t>SEO Underwriter</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r w:rsidRPr="00BD04E4">
              <w:rPr>
                <w:sz w:val="20"/>
                <w:szCs w:val="20"/>
              </w:rPr>
              <w:t>n/a</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n/a</w:t>
            </w: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-0.32</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-1.4</w:t>
            </w:r>
          </w:p>
        </w:tc>
      </w:tr>
      <w:tr w:rsidR="00DB381E" w:rsidRPr="00BD04E4">
        <w:trPr>
          <w:jc w:val="center"/>
        </w:trPr>
        <w:tc>
          <w:tcPr>
            <w:tcW w:w="3270" w:type="dxa"/>
          </w:tcPr>
          <w:p w:rsidR="00DB381E" w:rsidRPr="00BD04E4" w:rsidRDefault="00DB381E">
            <w:pPr>
              <w:rPr>
                <w:sz w:val="20"/>
                <w:szCs w:val="20"/>
              </w:rPr>
            </w:pPr>
            <w:r w:rsidRPr="00BD04E4">
              <w:rPr>
                <w:sz w:val="20"/>
                <w:szCs w:val="20"/>
              </w:rPr>
              <w:t>SEO Underwriting Co-manager</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r w:rsidRPr="00BD04E4">
              <w:rPr>
                <w:sz w:val="20"/>
                <w:szCs w:val="20"/>
              </w:rPr>
              <w:t>n/a</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n/a</w:t>
            </w: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0.02</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0.1</w:t>
            </w:r>
          </w:p>
        </w:tc>
      </w:tr>
      <w:tr w:rsidR="00DB381E" w:rsidRPr="00BD04E4">
        <w:trPr>
          <w:jc w:val="center"/>
        </w:trPr>
        <w:tc>
          <w:tcPr>
            <w:tcW w:w="3270" w:type="dxa"/>
          </w:tcPr>
          <w:p w:rsidR="00DB381E" w:rsidRPr="00BD04E4" w:rsidRDefault="00DB381E">
            <w:pPr>
              <w:rPr>
                <w:sz w:val="20"/>
                <w:szCs w:val="20"/>
              </w:rPr>
            </w:pPr>
            <w:r w:rsidRPr="00BD04E4">
              <w:rPr>
                <w:sz w:val="20"/>
                <w:szCs w:val="20"/>
              </w:rPr>
              <w:t xml:space="preserve">Broker </w:t>
            </w:r>
            <w:proofErr w:type="spellStart"/>
            <w:r w:rsidRPr="00BD04E4">
              <w:rPr>
                <w:sz w:val="20"/>
                <w:szCs w:val="20"/>
              </w:rPr>
              <w:t>Decile</w:t>
            </w:r>
            <w:proofErr w:type="spellEnd"/>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r w:rsidRPr="00BD04E4">
              <w:rPr>
                <w:sz w:val="20"/>
                <w:szCs w:val="20"/>
              </w:rPr>
              <w:t>-0.22</w:t>
            </w:r>
          </w:p>
        </w:tc>
        <w:tc>
          <w:tcPr>
            <w:tcW w:w="236" w:type="dxa"/>
          </w:tcPr>
          <w:p w:rsidR="00DB381E" w:rsidRPr="00BD04E4" w:rsidRDefault="00DB381E">
            <w:pPr>
              <w:rPr>
                <w:sz w:val="20"/>
                <w:szCs w:val="20"/>
              </w:rPr>
            </w:pPr>
            <w:r>
              <w:rPr>
                <w:sz w:val="20"/>
                <w:szCs w:val="20"/>
              </w:rPr>
              <w:t>*</w:t>
            </w:r>
          </w:p>
        </w:tc>
        <w:tc>
          <w:tcPr>
            <w:tcW w:w="1045" w:type="dxa"/>
          </w:tcPr>
          <w:p w:rsidR="00DB381E" w:rsidRPr="00BD04E4" w:rsidRDefault="00DB381E">
            <w:pPr>
              <w:jc w:val="right"/>
              <w:rPr>
                <w:sz w:val="20"/>
                <w:szCs w:val="20"/>
              </w:rPr>
            </w:pPr>
            <w:r w:rsidRPr="00BD04E4">
              <w:rPr>
                <w:sz w:val="20"/>
                <w:szCs w:val="20"/>
              </w:rPr>
              <w:t>-2.5</w:t>
            </w: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0.04</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1.0</w:t>
            </w:r>
          </w:p>
        </w:tc>
      </w:tr>
      <w:tr w:rsidR="00DB381E" w:rsidRPr="00BD04E4">
        <w:trPr>
          <w:jc w:val="center"/>
        </w:trPr>
        <w:tc>
          <w:tcPr>
            <w:tcW w:w="3270" w:type="dxa"/>
          </w:tcPr>
          <w:p w:rsidR="00DB381E" w:rsidRPr="00BD04E4" w:rsidRDefault="00DB381E">
            <w:pPr>
              <w:rPr>
                <w:sz w:val="20"/>
                <w:szCs w:val="20"/>
              </w:rPr>
            </w:pPr>
            <w:r w:rsidRPr="00BD04E4">
              <w:rPr>
                <w:sz w:val="20"/>
                <w:szCs w:val="20"/>
              </w:rPr>
              <w:t>Experience</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r w:rsidRPr="00BD04E4">
              <w:rPr>
                <w:sz w:val="20"/>
                <w:szCs w:val="20"/>
              </w:rPr>
              <w:t>0.00</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0.0</w:t>
            </w: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0.01</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1.3</w:t>
            </w:r>
          </w:p>
        </w:tc>
      </w:tr>
      <w:tr w:rsidR="00DB381E" w:rsidRPr="00BD04E4">
        <w:trPr>
          <w:jc w:val="center"/>
        </w:trPr>
        <w:tc>
          <w:tcPr>
            <w:tcW w:w="3270" w:type="dxa"/>
          </w:tcPr>
          <w:p w:rsidR="00DB381E" w:rsidRPr="00BD04E4" w:rsidRDefault="00DB381E">
            <w:pPr>
              <w:rPr>
                <w:sz w:val="20"/>
                <w:szCs w:val="20"/>
              </w:rPr>
            </w:pPr>
            <w:r w:rsidRPr="00BD04E4">
              <w:rPr>
                <w:sz w:val="20"/>
                <w:szCs w:val="20"/>
              </w:rPr>
              <w:t>Complexity</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r w:rsidRPr="00BD04E4">
              <w:rPr>
                <w:sz w:val="20"/>
                <w:szCs w:val="20"/>
              </w:rPr>
              <w:t>0.02</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1.4</w:t>
            </w: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0.00</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0.9</w:t>
            </w:r>
          </w:p>
        </w:tc>
      </w:tr>
      <w:tr w:rsidR="00DB381E" w:rsidRPr="00BD04E4">
        <w:trPr>
          <w:jc w:val="center"/>
        </w:trPr>
        <w:tc>
          <w:tcPr>
            <w:tcW w:w="3270" w:type="dxa"/>
          </w:tcPr>
          <w:p w:rsidR="00DB381E" w:rsidRPr="00BD04E4" w:rsidRDefault="00DB381E">
            <w:pPr>
              <w:rPr>
                <w:sz w:val="20"/>
                <w:szCs w:val="20"/>
              </w:rPr>
            </w:pPr>
            <w:r w:rsidRPr="00BD04E4">
              <w:rPr>
                <w:sz w:val="20"/>
                <w:szCs w:val="20"/>
              </w:rPr>
              <w:t>Disclose Ownership</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r w:rsidRPr="00BD04E4">
              <w:rPr>
                <w:sz w:val="20"/>
                <w:szCs w:val="20"/>
              </w:rPr>
              <w:t>-0.44</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-1.0</w:t>
            </w: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n/a</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n/a</w:t>
            </w:r>
          </w:p>
        </w:tc>
      </w:tr>
      <w:tr w:rsidR="00DB381E" w:rsidRPr="00BD04E4">
        <w:trPr>
          <w:jc w:val="center"/>
        </w:trPr>
        <w:tc>
          <w:tcPr>
            <w:tcW w:w="3270" w:type="dxa"/>
          </w:tcPr>
          <w:p w:rsidR="00DB381E" w:rsidRPr="00BD04E4" w:rsidRDefault="00DB381E">
            <w:pPr>
              <w:rPr>
                <w:sz w:val="20"/>
                <w:szCs w:val="20"/>
              </w:rPr>
            </w:pPr>
            <w:r w:rsidRPr="00BD04E4">
              <w:rPr>
                <w:sz w:val="20"/>
                <w:szCs w:val="20"/>
              </w:rPr>
              <w:t>Internet (Industry Dummy)</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r w:rsidRPr="00BD04E4">
              <w:rPr>
                <w:sz w:val="20"/>
                <w:szCs w:val="20"/>
              </w:rPr>
              <w:t>0.50</w:t>
            </w:r>
          </w:p>
        </w:tc>
        <w:tc>
          <w:tcPr>
            <w:tcW w:w="236" w:type="dxa"/>
          </w:tcPr>
          <w:p w:rsidR="00DB381E" w:rsidRPr="00BD04E4" w:rsidRDefault="00DB381E">
            <w:pPr>
              <w:rPr>
                <w:sz w:val="20"/>
                <w:szCs w:val="20"/>
              </w:rPr>
            </w:pPr>
            <w:r>
              <w:rPr>
                <w:sz w:val="20"/>
                <w:szCs w:val="20"/>
              </w:rPr>
              <w:t>*</w:t>
            </w:r>
          </w:p>
        </w:tc>
        <w:tc>
          <w:tcPr>
            <w:tcW w:w="1045" w:type="dxa"/>
          </w:tcPr>
          <w:p w:rsidR="00DB381E" w:rsidRPr="00BD04E4" w:rsidRDefault="00DB381E">
            <w:pPr>
              <w:jc w:val="right"/>
              <w:rPr>
                <w:sz w:val="20"/>
                <w:szCs w:val="20"/>
              </w:rPr>
            </w:pPr>
            <w:r w:rsidRPr="00BD04E4">
              <w:rPr>
                <w:sz w:val="20"/>
                <w:szCs w:val="20"/>
              </w:rPr>
              <w:t>2.0</w:t>
            </w: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n/a</w:t>
            </w: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sz w:val="20"/>
                <w:szCs w:val="20"/>
              </w:rPr>
              <w:t>n/a</w:t>
            </w:r>
          </w:p>
        </w:tc>
      </w:tr>
      <w:tr w:rsidR="00DB381E" w:rsidRPr="00BD04E4">
        <w:trPr>
          <w:jc w:val="center"/>
        </w:trPr>
        <w:tc>
          <w:tcPr>
            <w:tcW w:w="3270" w:type="dxa"/>
          </w:tcPr>
          <w:p w:rsidR="00DB381E" w:rsidRPr="00BD04E4" w:rsidRDefault="00DB381E">
            <w:pPr>
              <w:rPr>
                <w:sz w:val="20"/>
                <w:szCs w:val="20"/>
              </w:rPr>
            </w:pPr>
            <w:r w:rsidRPr="00BD04E4">
              <w:rPr>
                <w:sz w:val="20"/>
                <w:szCs w:val="20"/>
              </w:rPr>
              <w:t>Follow</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0.02</w:t>
            </w:r>
          </w:p>
        </w:tc>
        <w:tc>
          <w:tcPr>
            <w:tcW w:w="236" w:type="dxa"/>
          </w:tcPr>
          <w:p w:rsidR="00DB381E" w:rsidRPr="00BD04E4" w:rsidRDefault="00DB381E">
            <w:pPr>
              <w:rPr>
                <w:sz w:val="20"/>
                <w:szCs w:val="20"/>
              </w:rPr>
            </w:pPr>
            <w:r>
              <w:rPr>
                <w:sz w:val="20"/>
                <w:szCs w:val="20"/>
              </w:rPr>
              <w:t>*</w:t>
            </w:r>
          </w:p>
        </w:tc>
        <w:tc>
          <w:tcPr>
            <w:tcW w:w="1045" w:type="dxa"/>
          </w:tcPr>
          <w:p w:rsidR="00DB381E" w:rsidRPr="00BD04E4" w:rsidRDefault="00DB381E">
            <w:pPr>
              <w:jc w:val="right"/>
              <w:rPr>
                <w:sz w:val="20"/>
                <w:szCs w:val="20"/>
              </w:rPr>
            </w:pPr>
            <w:r w:rsidRPr="00BD04E4">
              <w:rPr>
                <w:sz w:val="20"/>
                <w:szCs w:val="20"/>
              </w:rPr>
              <w:t>2.6</w:t>
            </w:r>
          </w:p>
        </w:tc>
      </w:tr>
      <w:tr w:rsidR="00DB381E" w:rsidRPr="00BD04E4">
        <w:trPr>
          <w:jc w:val="center"/>
        </w:trPr>
        <w:tc>
          <w:tcPr>
            <w:tcW w:w="3270" w:type="dxa"/>
          </w:tcPr>
          <w:p w:rsidR="00DB381E" w:rsidRPr="00BD04E4" w:rsidRDefault="00DB381E">
            <w:pPr>
              <w:rPr>
                <w:sz w:val="20"/>
                <w:szCs w:val="20"/>
              </w:rPr>
            </w:pPr>
            <w:r w:rsidRPr="00BD04E4">
              <w:rPr>
                <w:sz w:val="20"/>
                <w:szCs w:val="20"/>
              </w:rPr>
              <w:t>Industry Dummies (not reported)</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YES</w:t>
            </w:r>
          </w:p>
        </w:tc>
        <w:tc>
          <w:tcPr>
            <w:tcW w:w="236" w:type="dxa"/>
          </w:tcPr>
          <w:p w:rsidR="00DB381E" w:rsidRPr="00BD04E4" w:rsidRDefault="00DB381E">
            <w:pPr>
              <w:jc w:val="right"/>
              <w:rPr>
                <w:sz w:val="20"/>
                <w:szCs w:val="20"/>
              </w:rPr>
            </w:pPr>
          </w:p>
        </w:tc>
        <w:tc>
          <w:tcPr>
            <w:tcW w:w="1045" w:type="dxa"/>
          </w:tcPr>
          <w:p w:rsidR="00DB381E" w:rsidRPr="00BD04E4" w:rsidRDefault="00DB381E">
            <w:pPr>
              <w:jc w:val="right"/>
              <w:rPr>
                <w:sz w:val="20"/>
                <w:szCs w:val="20"/>
              </w:rPr>
            </w:pPr>
          </w:p>
        </w:tc>
      </w:tr>
      <w:tr w:rsidR="00DB381E" w:rsidRPr="00BD04E4">
        <w:trPr>
          <w:jc w:val="center"/>
        </w:trPr>
        <w:tc>
          <w:tcPr>
            <w:tcW w:w="3270" w:type="dxa"/>
          </w:tcPr>
          <w:p w:rsidR="00DB381E" w:rsidRPr="00BD04E4" w:rsidRDefault="00DB381E">
            <w:pPr>
              <w:rPr>
                <w:b/>
                <w:sz w:val="20"/>
                <w:szCs w:val="20"/>
              </w:rPr>
            </w:pPr>
            <w:r w:rsidRPr="00BD04E4">
              <w:rPr>
                <w:sz w:val="20"/>
                <w:szCs w:val="20"/>
              </w:rPr>
              <w:t>Year Dummies (not reported</w:t>
            </w:r>
            <w:r w:rsidRPr="00BD04E4">
              <w:rPr>
                <w:b/>
                <w:sz w:val="20"/>
                <w:szCs w:val="20"/>
              </w:rPr>
              <w:t>)</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sidRPr="00BD04E4">
              <w:rPr>
                <w:sz w:val="20"/>
                <w:szCs w:val="20"/>
              </w:rPr>
              <w:t>YES</w:t>
            </w:r>
          </w:p>
        </w:tc>
        <w:tc>
          <w:tcPr>
            <w:tcW w:w="236" w:type="dxa"/>
          </w:tcPr>
          <w:p w:rsidR="00DB381E" w:rsidRPr="00BD04E4" w:rsidRDefault="00DB381E">
            <w:pPr>
              <w:jc w:val="right"/>
              <w:rPr>
                <w:sz w:val="20"/>
                <w:szCs w:val="20"/>
              </w:rPr>
            </w:pPr>
          </w:p>
        </w:tc>
        <w:tc>
          <w:tcPr>
            <w:tcW w:w="1045" w:type="dxa"/>
          </w:tcPr>
          <w:p w:rsidR="00DB381E" w:rsidRPr="00BD04E4" w:rsidRDefault="00DB381E">
            <w:pPr>
              <w:jc w:val="right"/>
              <w:rPr>
                <w:sz w:val="20"/>
                <w:szCs w:val="20"/>
              </w:rPr>
            </w:pPr>
          </w:p>
        </w:tc>
      </w:tr>
      <w:tr w:rsidR="00DB381E" w:rsidRPr="00BD04E4">
        <w:trPr>
          <w:jc w:val="center"/>
        </w:trPr>
        <w:tc>
          <w:tcPr>
            <w:tcW w:w="3270" w:type="dxa"/>
          </w:tcPr>
          <w:p w:rsidR="00DB381E" w:rsidRPr="00BD04E4" w:rsidRDefault="00DB381E">
            <w:pPr>
              <w:rPr>
                <w:b/>
                <w:sz w:val="20"/>
                <w:szCs w:val="20"/>
              </w:rPr>
            </w:pPr>
            <w:r w:rsidRPr="00BD04E4">
              <w:rPr>
                <w:b/>
                <w:sz w:val="20"/>
                <w:szCs w:val="20"/>
              </w:rPr>
              <w:t xml:space="preserve">Pseudo R square = </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p>
        </w:tc>
        <w:tc>
          <w:tcPr>
            <w:tcW w:w="236" w:type="dxa"/>
          </w:tcPr>
          <w:p w:rsidR="00DB381E" w:rsidRPr="00BD04E4" w:rsidRDefault="00DB381E">
            <w:pPr>
              <w:rPr>
                <w:sz w:val="20"/>
                <w:szCs w:val="20"/>
              </w:rPr>
            </w:pPr>
          </w:p>
        </w:tc>
        <w:tc>
          <w:tcPr>
            <w:tcW w:w="1045" w:type="dxa"/>
          </w:tcPr>
          <w:p w:rsidR="00DB381E" w:rsidRPr="00BD04E4" w:rsidRDefault="00DB381E">
            <w:pPr>
              <w:jc w:val="right"/>
              <w:rPr>
                <w:sz w:val="20"/>
                <w:szCs w:val="20"/>
              </w:rPr>
            </w:pPr>
            <w:r w:rsidRPr="00BD04E4">
              <w:rPr>
                <w:b/>
                <w:sz w:val="20"/>
                <w:szCs w:val="20"/>
              </w:rPr>
              <w:t>9.2 %</w:t>
            </w: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p>
        </w:tc>
        <w:tc>
          <w:tcPr>
            <w:tcW w:w="236" w:type="dxa"/>
          </w:tcPr>
          <w:p w:rsidR="00DB381E" w:rsidRPr="00BD04E4" w:rsidRDefault="00DB381E">
            <w:pPr>
              <w:jc w:val="right"/>
              <w:rPr>
                <w:sz w:val="20"/>
                <w:szCs w:val="20"/>
              </w:rPr>
            </w:pPr>
          </w:p>
        </w:tc>
        <w:tc>
          <w:tcPr>
            <w:tcW w:w="1045" w:type="dxa"/>
          </w:tcPr>
          <w:p w:rsidR="00DB381E" w:rsidRPr="00BD04E4" w:rsidRDefault="00DB381E">
            <w:pPr>
              <w:jc w:val="right"/>
              <w:rPr>
                <w:sz w:val="20"/>
                <w:szCs w:val="20"/>
              </w:rPr>
            </w:pPr>
            <w:r w:rsidRPr="00BD04E4">
              <w:rPr>
                <w:b/>
                <w:sz w:val="20"/>
                <w:szCs w:val="20"/>
              </w:rPr>
              <w:t>2.5%</w:t>
            </w:r>
          </w:p>
        </w:tc>
      </w:tr>
      <w:tr w:rsidR="00DB381E" w:rsidRPr="00BD04E4">
        <w:trPr>
          <w:jc w:val="center"/>
        </w:trPr>
        <w:tc>
          <w:tcPr>
            <w:tcW w:w="3270" w:type="dxa"/>
          </w:tcPr>
          <w:p w:rsidR="00DB381E" w:rsidRPr="00BC6AC2" w:rsidRDefault="00DB381E">
            <w:pPr>
              <w:rPr>
                <w:sz w:val="20"/>
                <w:szCs w:val="20"/>
              </w:rPr>
            </w:pPr>
            <w:r w:rsidRPr="00BC6AC2">
              <w:rPr>
                <w:sz w:val="20"/>
                <w:szCs w:val="20"/>
              </w:rPr>
              <w:t>Number of Observations</w:t>
            </w:r>
          </w:p>
        </w:tc>
        <w:tc>
          <w:tcPr>
            <w:tcW w:w="236" w:type="dxa"/>
          </w:tcPr>
          <w:p w:rsidR="00DB381E" w:rsidRPr="00BD04E4" w:rsidRDefault="00DB381E">
            <w:pPr>
              <w:rPr>
                <w:sz w:val="20"/>
                <w:szCs w:val="20"/>
              </w:rPr>
            </w:pPr>
          </w:p>
        </w:tc>
        <w:tc>
          <w:tcPr>
            <w:tcW w:w="1168" w:type="dxa"/>
          </w:tcPr>
          <w:p w:rsidR="00DB381E" w:rsidRPr="00BD04E4" w:rsidRDefault="00DB381E">
            <w:pPr>
              <w:jc w:val="right"/>
              <w:rPr>
                <w:sz w:val="20"/>
                <w:szCs w:val="20"/>
              </w:rPr>
            </w:pPr>
            <w:r>
              <w:rPr>
                <w:sz w:val="20"/>
                <w:szCs w:val="20"/>
              </w:rPr>
              <w:t>139</w:t>
            </w:r>
          </w:p>
        </w:tc>
        <w:tc>
          <w:tcPr>
            <w:tcW w:w="236" w:type="dxa"/>
          </w:tcPr>
          <w:p w:rsidR="00DB381E" w:rsidRPr="00BD04E4" w:rsidRDefault="00DB381E">
            <w:pPr>
              <w:rPr>
                <w:sz w:val="20"/>
                <w:szCs w:val="20"/>
              </w:rPr>
            </w:pPr>
          </w:p>
        </w:tc>
        <w:tc>
          <w:tcPr>
            <w:tcW w:w="1045" w:type="dxa"/>
          </w:tcPr>
          <w:p w:rsidR="00DB381E" w:rsidRPr="00BD04E4" w:rsidRDefault="00DB381E">
            <w:pPr>
              <w:jc w:val="right"/>
              <w:rPr>
                <w:b/>
                <w:sz w:val="20"/>
                <w:szCs w:val="20"/>
              </w:rPr>
            </w:pPr>
          </w:p>
        </w:tc>
        <w:tc>
          <w:tcPr>
            <w:tcW w:w="236" w:type="dxa"/>
          </w:tcPr>
          <w:p w:rsidR="00DB381E" w:rsidRPr="00BD04E4" w:rsidRDefault="00DB381E">
            <w:pPr>
              <w:jc w:val="right"/>
              <w:rPr>
                <w:sz w:val="20"/>
                <w:szCs w:val="20"/>
              </w:rPr>
            </w:pPr>
          </w:p>
        </w:tc>
        <w:tc>
          <w:tcPr>
            <w:tcW w:w="1168" w:type="dxa"/>
          </w:tcPr>
          <w:p w:rsidR="00DB381E" w:rsidRPr="00BD04E4" w:rsidRDefault="00DB381E">
            <w:pPr>
              <w:jc w:val="right"/>
              <w:rPr>
                <w:sz w:val="20"/>
                <w:szCs w:val="20"/>
              </w:rPr>
            </w:pPr>
            <w:r>
              <w:rPr>
                <w:sz w:val="20"/>
                <w:szCs w:val="20"/>
              </w:rPr>
              <w:t>556</w:t>
            </w:r>
          </w:p>
        </w:tc>
        <w:tc>
          <w:tcPr>
            <w:tcW w:w="236" w:type="dxa"/>
          </w:tcPr>
          <w:p w:rsidR="00DB381E" w:rsidRPr="00BD04E4" w:rsidRDefault="00DB381E">
            <w:pPr>
              <w:jc w:val="right"/>
              <w:rPr>
                <w:sz w:val="20"/>
                <w:szCs w:val="20"/>
              </w:rPr>
            </w:pPr>
          </w:p>
        </w:tc>
        <w:tc>
          <w:tcPr>
            <w:tcW w:w="1045" w:type="dxa"/>
          </w:tcPr>
          <w:p w:rsidR="00DB381E" w:rsidRPr="00BD04E4" w:rsidRDefault="00DB381E">
            <w:pPr>
              <w:jc w:val="right"/>
              <w:rPr>
                <w:b/>
                <w:sz w:val="20"/>
                <w:szCs w:val="20"/>
              </w:rPr>
            </w:pPr>
          </w:p>
        </w:tc>
      </w:tr>
    </w:tbl>
    <w:p w:rsidR="00903D89" w:rsidRPr="00BD04E4" w:rsidRDefault="00903D89"/>
    <w:p w:rsidR="00903D89" w:rsidRPr="00316ED4" w:rsidRDefault="0017727A" w:rsidP="00316ED4">
      <w:pPr>
        <w:pStyle w:val="Heading7"/>
        <w:ind w:left="720"/>
        <w:rPr>
          <w:bCs/>
          <w:sz w:val="20"/>
          <w:szCs w:val="20"/>
        </w:rPr>
      </w:pPr>
      <w:r w:rsidRPr="00316ED4">
        <w:rPr>
          <w:bCs/>
          <w:sz w:val="20"/>
          <w:szCs w:val="20"/>
        </w:rPr>
        <w:t>PANEL</w:t>
      </w:r>
      <w:r w:rsidR="00BD04E4" w:rsidRPr="00316ED4">
        <w:rPr>
          <w:bCs/>
          <w:sz w:val="20"/>
          <w:szCs w:val="20"/>
        </w:rPr>
        <w:t xml:space="preserve"> C: </w:t>
      </w:r>
      <w:r w:rsidR="00903D89" w:rsidRPr="00316ED4">
        <w:rPr>
          <w:bCs/>
          <w:sz w:val="20"/>
          <w:szCs w:val="20"/>
        </w:rPr>
        <w:t xml:space="preserve">Marginal Effect of Analyst Ownership on the probability of each recommendation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594"/>
        <w:gridCol w:w="1594"/>
        <w:gridCol w:w="1594"/>
        <w:gridCol w:w="1308"/>
        <w:gridCol w:w="1308"/>
      </w:tblGrid>
      <w:tr w:rsidR="00903D89" w:rsidRPr="00BD04E4">
        <w:trPr>
          <w:jc w:val="center"/>
        </w:trPr>
        <w:tc>
          <w:tcPr>
            <w:tcW w:w="1312" w:type="dxa"/>
          </w:tcPr>
          <w:p w:rsidR="00903D89" w:rsidRPr="00BD04E4" w:rsidRDefault="00903D89">
            <w:pPr>
              <w:rPr>
                <w:sz w:val="20"/>
                <w:szCs w:val="20"/>
              </w:rPr>
            </w:pPr>
            <w:r w:rsidRPr="00BD04E4">
              <w:rPr>
                <w:b/>
                <w:i/>
                <w:sz w:val="20"/>
                <w:szCs w:val="20"/>
              </w:rPr>
              <w:t>Form 144 Sample</w:t>
            </w:r>
          </w:p>
        </w:tc>
        <w:tc>
          <w:tcPr>
            <w:tcW w:w="1642" w:type="dxa"/>
          </w:tcPr>
          <w:p w:rsidR="00903D89" w:rsidRPr="00BD04E4" w:rsidRDefault="00903D89">
            <w:pPr>
              <w:jc w:val="center"/>
              <w:rPr>
                <w:b/>
                <w:sz w:val="20"/>
                <w:szCs w:val="20"/>
              </w:rPr>
            </w:pPr>
            <w:proofErr w:type="spellStart"/>
            <w:r w:rsidRPr="00BD04E4">
              <w:rPr>
                <w:b/>
                <w:sz w:val="20"/>
                <w:szCs w:val="20"/>
              </w:rPr>
              <w:t>Prob</w:t>
            </w:r>
            <w:proofErr w:type="spellEnd"/>
            <w:r w:rsidRPr="00BD04E4">
              <w:rPr>
                <w:b/>
                <w:sz w:val="20"/>
                <w:szCs w:val="20"/>
              </w:rPr>
              <w:t>(</w:t>
            </w:r>
            <w:proofErr w:type="spellStart"/>
            <w:r w:rsidRPr="00BD04E4">
              <w:rPr>
                <w:b/>
                <w:sz w:val="20"/>
                <w:szCs w:val="20"/>
              </w:rPr>
              <w:t>Rec</w:t>
            </w:r>
            <w:proofErr w:type="spellEnd"/>
            <w:r w:rsidRPr="00BD04E4">
              <w:rPr>
                <w:b/>
                <w:sz w:val="20"/>
                <w:szCs w:val="20"/>
              </w:rPr>
              <w:t>=1)</w:t>
            </w:r>
          </w:p>
        </w:tc>
        <w:tc>
          <w:tcPr>
            <w:tcW w:w="1643" w:type="dxa"/>
          </w:tcPr>
          <w:p w:rsidR="00903D89" w:rsidRPr="00BD04E4" w:rsidRDefault="00903D89">
            <w:pPr>
              <w:jc w:val="center"/>
              <w:rPr>
                <w:b/>
                <w:sz w:val="20"/>
                <w:szCs w:val="20"/>
              </w:rPr>
            </w:pPr>
            <w:proofErr w:type="spellStart"/>
            <w:r w:rsidRPr="00BD04E4">
              <w:rPr>
                <w:b/>
                <w:sz w:val="20"/>
                <w:szCs w:val="20"/>
              </w:rPr>
              <w:t>Prob</w:t>
            </w:r>
            <w:proofErr w:type="spellEnd"/>
            <w:r w:rsidRPr="00BD04E4">
              <w:rPr>
                <w:b/>
                <w:sz w:val="20"/>
                <w:szCs w:val="20"/>
              </w:rPr>
              <w:t>(</w:t>
            </w:r>
            <w:proofErr w:type="spellStart"/>
            <w:r w:rsidRPr="00BD04E4">
              <w:rPr>
                <w:b/>
                <w:sz w:val="20"/>
                <w:szCs w:val="20"/>
              </w:rPr>
              <w:t>Rec</w:t>
            </w:r>
            <w:proofErr w:type="spellEnd"/>
            <w:r w:rsidRPr="00BD04E4">
              <w:rPr>
                <w:b/>
                <w:sz w:val="20"/>
                <w:szCs w:val="20"/>
              </w:rPr>
              <w:t>=2)</w:t>
            </w:r>
          </w:p>
        </w:tc>
        <w:tc>
          <w:tcPr>
            <w:tcW w:w="1643" w:type="dxa"/>
          </w:tcPr>
          <w:p w:rsidR="00903D89" w:rsidRPr="00BD04E4" w:rsidRDefault="00903D89">
            <w:pPr>
              <w:jc w:val="center"/>
              <w:rPr>
                <w:b/>
                <w:sz w:val="20"/>
                <w:szCs w:val="20"/>
              </w:rPr>
            </w:pPr>
            <w:proofErr w:type="spellStart"/>
            <w:r w:rsidRPr="00BD04E4">
              <w:rPr>
                <w:b/>
                <w:sz w:val="20"/>
                <w:szCs w:val="20"/>
              </w:rPr>
              <w:t>Prob</w:t>
            </w:r>
            <w:proofErr w:type="spellEnd"/>
            <w:r w:rsidRPr="00BD04E4">
              <w:rPr>
                <w:b/>
                <w:sz w:val="20"/>
                <w:szCs w:val="20"/>
              </w:rPr>
              <w:t>(</w:t>
            </w:r>
            <w:proofErr w:type="spellStart"/>
            <w:r w:rsidRPr="00BD04E4">
              <w:rPr>
                <w:b/>
                <w:sz w:val="20"/>
                <w:szCs w:val="20"/>
              </w:rPr>
              <w:t>Rec</w:t>
            </w:r>
            <w:proofErr w:type="spellEnd"/>
            <w:r w:rsidRPr="00BD04E4">
              <w:rPr>
                <w:b/>
                <w:sz w:val="20"/>
                <w:szCs w:val="20"/>
              </w:rPr>
              <w:t>=3)</w:t>
            </w:r>
          </w:p>
        </w:tc>
        <w:tc>
          <w:tcPr>
            <w:tcW w:w="1308" w:type="dxa"/>
          </w:tcPr>
          <w:p w:rsidR="00903D89" w:rsidRPr="00BD04E4" w:rsidRDefault="00903D89">
            <w:pPr>
              <w:jc w:val="center"/>
              <w:rPr>
                <w:b/>
                <w:sz w:val="20"/>
                <w:szCs w:val="20"/>
              </w:rPr>
            </w:pPr>
            <w:proofErr w:type="spellStart"/>
            <w:r w:rsidRPr="00BD04E4">
              <w:rPr>
                <w:b/>
                <w:sz w:val="20"/>
                <w:szCs w:val="20"/>
              </w:rPr>
              <w:t>Prob</w:t>
            </w:r>
            <w:proofErr w:type="spellEnd"/>
            <w:r w:rsidRPr="00BD04E4">
              <w:rPr>
                <w:b/>
                <w:sz w:val="20"/>
                <w:szCs w:val="20"/>
              </w:rPr>
              <w:t>(</w:t>
            </w:r>
            <w:proofErr w:type="spellStart"/>
            <w:r w:rsidRPr="00BD04E4">
              <w:rPr>
                <w:b/>
                <w:sz w:val="20"/>
                <w:szCs w:val="20"/>
              </w:rPr>
              <w:t>Rec</w:t>
            </w:r>
            <w:proofErr w:type="spellEnd"/>
            <w:r w:rsidRPr="00BD04E4">
              <w:rPr>
                <w:b/>
                <w:sz w:val="20"/>
                <w:szCs w:val="20"/>
              </w:rPr>
              <w:t>=4)</w:t>
            </w:r>
          </w:p>
        </w:tc>
        <w:tc>
          <w:tcPr>
            <w:tcW w:w="1308" w:type="dxa"/>
          </w:tcPr>
          <w:p w:rsidR="00903D89" w:rsidRPr="00BD04E4" w:rsidRDefault="00903D89">
            <w:pPr>
              <w:jc w:val="center"/>
              <w:rPr>
                <w:b/>
                <w:sz w:val="20"/>
                <w:szCs w:val="20"/>
              </w:rPr>
            </w:pPr>
            <w:proofErr w:type="spellStart"/>
            <w:r w:rsidRPr="00BD04E4">
              <w:rPr>
                <w:b/>
                <w:sz w:val="20"/>
                <w:szCs w:val="20"/>
              </w:rPr>
              <w:t>Prob</w:t>
            </w:r>
            <w:proofErr w:type="spellEnd"/>
            <w:r w:rsidRPr="00BD04E4">
              <w:rPr>
                <w:b/>
                <w:sz w:val="20"/>
                <w:szCs w:val="20"/>
              </w:rPr>
              <w:t>(</w:t>
            </w:r>
            <w:proofErr w:type="spellStart"/>
            <w:r w:rsidRPr="00BD04E4">
              <w:rPr>
                <w:b/>
                <w:sz w:val="20"/>
                <w:szCs w:val="20"/>
              </w:rPr>
              <w:t>Rec</w:t>
            </w:r>
            <w:proofErr w:type="spellEnd"/>
            <w:r w:rsidRPr="00BD04E4">
              <w:rPr>
                <w:b/>
                <w:sz w:val="20"/>
                <w:szCs w:val="20"/>
              </w:rPr>
              <w:t>=5)</w:t>
            </w:r>
          </w:p>
        </w:tc>
      </w:tr>
      <w:tr w:rsidR="00903D89" w:rsidRPr="00BD04E4">
        <w:trPr>
          <w:jc w:val="center"/>
        </w:trPr>
        <w:tc>
          <w:tcPr>
            <w:tcW w:w="1312" w:type="dxa"/>
          </w:tcPr>
          <w:p w:rsidR="00903D89" w:rsidRPr="00BD04E4" w:rsidRDefault="00903D89">
            <w:pPr>
              <w:rPr>
                <w:sz w:val="20"/>
                <w:szCs w:val="20"/>
              </w:rPr>
            </w:pPr>
            <w:r w:rsidRPr="00BD04E4">
              <w:rPr>
                <w:sz w:val="20"/>
                <w:szCs w:val="20"/>
              </w:rPr>
              <w:t>Change</w:t>
            </w:r>
          </w:p>
        </w:tc>
        <w:tc>
          <w:tcPr>
            <w:tcW w:w="1642" w:type="dxa"/>
          </w:tcPr>
          <w:p w:rsidR="00903D89" w:rsidRPr="00BD04E4" w:rsidRDefault="00903D89">
            <w:pPr>
              <w:jc w:val="center"/>
              <w:rPr>
                <w:sz w:val="20"/>
                <w:szCs w:val="20"/>
              </w:rPr>
            </w:pPr>
            <w:r w:rsidRPr="00BD04E4">
              <w:rPr>
                <w:sz w:val="20"/>
                <w:szCs w:val="20"/>
              </w:rPr>
              <w:t>-19</w:t>
            </w:r>
          </w:p>
        </w:tc>
        <w:tc>
          <w:tcPr>
            <w:tcW w:w="1643" w:type="dxa"/>
          </w:tcPr>
          <w:p w:rsidR="00903D89" w:rsidRPr="00BD04E4" w:rsidRDefault="00903D89">
            <w:pPr>
              <w:jc w:val="center"/>
              <w:rPr>
                <w:sz w:val="20"/>
                <w:szCs w:val="20"/>
              </w:rPr>
            </w:pPr>
            <w:r w:rsidRPr="00BD04E4">
              <w:rPr>
                <w:sz w:val="20"/>
                <w:szCs w:val="20"/>
              </w:rPr>
              <w:t>+13</w:t>
            </w:r>
          </w:p>
        </w:tc>
        <w:tc>
          <w:tcPr>
            <w:tcW w:w="1643" w:type="dxa"/>
          </w:tcPr>
          <w:p w:rsidR="00903D89" w:rsidRPr="00BD04E4" w:rsidRDefault="00903D89">
            <w:pPr>
              <w:jc w:val="center"/>
              <w:rPr>
                <w:sz w:val="20"/>
                <w:szCs w:val="20"/>
              </w:rPr>
            </w:pPr>
            <w:r w:rsidRPr="00BD04E4">
              <w:rPr>
                <w:sz w:val="20"/>
                <w:szCs w:val="20"/>
              </w:rPr>
              <w:t>+6</w:t>
            </w:r>
          </w:p>
        </w:tc>
        <w:tc>
          <w:tcPr>
            <w:tcW w:w="1308" w:type="dxa"/>
          </w:tcPr>
          <w:p w:rsidR="00903D89" w:rsidRPr="00BD04E4" w:rsidRDefault="00903D89">
            <w:pPr>
              <w:jc w:val="center"/>
              <w:rPr>
                <w:sz w:val="20"/>
                <w:szCs w:val="20"/>
              </w:rPr>
            </w:pPr>
            <w:r w:rsidRPr="00BD04E4">
              <w:rPr>
                <w:sz w:val="20"/>
                <w:szCs w:val="20"/>
              </w:rPr>
              <w:t>n/a</w:t>
            </w:r>
          </w:p>
        </w:tc>
        <w:tc>
          <w:tcPr>
            <w:tcW w:w="1308" w:type="dxa"/>
          </w:tcPr>
          <w:p w:rsidR="00903D89" w:rsidRPr="00BD04E4" w:rsidRDefault="00903D89">
            <w:pPr>
              <w:jc w:val="center"/>
              <w:rPr>
                <w:sz w:val="20"/>
                <w:szCs w:val="20"/>
              </w:rPr>
            </w:pPr>
            <w:r w:rsidRPr="00BD04E4">
              <w:rPr>
                <w:sz w:val="20"/>
                <w:szCs w:val="20"/>
              </w:rPr>
              <w:t>n/a</w:t>
            </w:r>
          </w:p>
        </w:tc>
      </w:tr>
      <w:tr w:rsidR="00903D89" w:rsidRPr="00BD04E4">
        <w:trPr>
          <w:jc w:val="center"/>
        </w:trPr>
        <w:tc>
          <w:tcPr>
            <w:tcW w:w="8856" w:type="dxa"/>
            <w:gridSpan w:val="6"/>
          </w:tcPr>
          <w:p w:rsidR="00903D89" w:rsidRPr="00BD04E4" w:rsidRDefault="00903D89">
            <w:pPr>
              <w:rPr>
                <w:sz w:val="20"/>
                <w:szCs w:val="20"/>
              </w:rPr>
            </w:pPr>
            <w:r w:rsidRPr="00BD04E4">
              <w:rPr>
                <w:b/>
                <w:i/>
                <w:sz w:val="20"/>
                <w:szCs w:val="20"/>
              </w:rPr>
              <w:t>Disclosing Sample</w:t>
            </w:r>
          </w:p>
        </w:tc>
      </w:tr>
      <w:tr w:rsidR="00903D89" w:rsidRPr="00BD04E4">
        <w:trPr>
          <w:jc w:val="center"/>
        </w:trPr>
        <w:tc>
          <w:tcPr>
            <w:tcW w:w="1312" w:type="dxa"/>
          </w:tcPr>
          <w:p w:rsidR="00903D89" w:rsidRPr="00BD04E4" w:rsidRDefault="00903D89">
            <w:pPr>
              <w:rPr>
                <w:sz w:val="20"/>
                <w:szCs w:val="20"/>
              </w:rPr>
            </w:pPr>
            <w:r w:rsidRPr="00BD04E4">
              <w:rPr>
                <w:sz w:val="20"/>
                <w:szCs w:val="20"/>
              </w:rPr>
              <w:t>Change</w:t>
            </w:r>
          </w:p>
        </w:tc>
        <w:tc>
          <w:tcPr>
            <w:tcW w:w="1642" w:type="dxa"/>
          </w:tcPr>
          <w:p w:rsidR="00903D89" w:rsidRPr="00BD04E4" w:rsidRDefault="00903D89">
            <w:pPr>
              <w:jc w:val="center"/>
              <w:rPr>
                <w:sz w:val="20"/>
                <w:szCs w:val="20"/>
              </w:rPr>
            </w:pPr>
            <w:r w:rsidRPr="00BD04E4">
              <w:rPr>
                <w:sz w:val="20"/>
                <w:szCs w:val="20"/>
              </w:rPr>
              <w:t>0</w:t>
            </w:r>
          </w:p>
        </w:tc>
        <w:tc>
          <w:tcPr>
            <w:tcW w:w="1643" w:type="dxa"/>
          </w:tcPr>
          <w:p w:rsidR="00903D89" w:rsidRPr="00BD04E4" w:rsidRDefault="00903D89">
            <w:pPr>
              <w:jc w:val="center"/>
              <w:rPr>
                <w:sz w:val="20"/>
                <w:szCs w:val="20"/>
              </w:rPr>
            </w:pPr>
            <w:r w:rsidRPr="00BD04E4">
              <w:rPr>
                <w:sz w:val="20"/>
                <w:szCs w:val="20"/>
              </w:rPr>
              <w:t>0</w:t>
            </w:r>
          </w:p>
        </w:tc>
        <w:tc>
          <w:tcPr>
            <w:tcW w:w="1643" w:type="dxa"/>
          </w:tcPr>
          <w:p w:rsidR="00903D89" w:rsidRPr="00BD04E4" w:rsidRDefault="00903D89">
            <w:pPr>
              <w:jc w:val="center"/>
              <w:rPr>
                <w:sz w:val="20"/>
                <w:szCs w:val="20"/>
              </w:rPr>
            </w:pPr>
            <w:r w:rsidRPr="00BD04E4">
              <w:rPr>
                <w:sz w:val="20"/>
                <w:szCs w:val="20"/>
              </w:rPr>
              <w:t>-0.1</w:t>
            </w:r>
          </w:p>
        </w:tc>
        <w:tc>
          <w:tcPr>
            <w:tcW w:w="1308" w:type="dxa"/>
          </w:tcPr>
          <w:p w:rsidR="00903D89" w:rsidRPr="00BD04E4" w:rsidRDefault="00903D89">
            <w:pPr>
              <w:jc w:val="center"/>
              <w:rPr>
                <w:sz w:val="20"/>
                <w:szCs w:val="20"/>
              </w:rPr>
            </w:pPr>
            <w:r w:rsidRPr="00BD04E4">
              <w:rPr>
                <w:sz w:val="20"/>
                <w:szCs w:val="20"/>
              </w:rPr>
              <w:t>-1.4</w:t>
            </w:r>
          </w:p>
        </w:tc>
        <w:tc>
          <w:tcPr>
            <w:tcW w:w="1308" w:type="dxa"/>
          </w:tcPr>
          <w:p w:rsidR="00903D89" w:rsidRPr="00BD04E4" w:rsidRDefault="00903D89">
            <w:pPr>
              <w:jc w:val="center"/>
              <w:rPr>
                <w:sz w:val="20"/>
                <w:szCs w:val="20"/>
              </w:rPr>
            </w:pPr>
            <w:r w:rsidRPr="00BD04E4">
              <w:rPr>
                <w:sz w:val="20"/>
                <w:szCs w:val="20"/>
              </w:rPr>
              <w:t>+1.5</w:t>
            </w:r>
          </w:p>
        </w:tc>
      </w:tr>
    </w:tbl>
    <w:p w:rsidR="00316ED4" w:rsidRDefault="00316ED4" w:rsidP="00E5192C">
      <w:pPr>
        <w:ind w:left="720"/>
        <w:rPr>
          <w:b/>
        </w:rPr>
      </w:pPr>
    </w:p>
    <w:p w:rsidR="00903D89" w:rsidRPr="00BD04E4" w:rsidRDefault="00316ED4" w:rsidP="00E5192C">
      <w:pPr>
        <w:ind w:left="720"/>
        <w:rPr>
          <w:b/>
        </w:rPr>
      </w:pPr>
      <w:r>
        <w:rPr>
          <w:b/>
        </w:rPr>
        <w:br w:type="page"/>
      </w:r>
      <w:r w:rsidR="00903D89" w:rsidRPr="00BD04E4">
        <w:rPr>
          <w:b/>
        </w:rPr>
        <w:lastRenderedPageBreak/>
        <w:t xml:space="preserve">Table </w:t>
      </w:r>
      <w:r w:rsidR="00E817C9">
        <w:rPr>
          <w:b/>
        </w:rPr>
        <w:t>3</w:t>
      </w:r>
    </w:p>
    <w:p w:rsidR="00903D89" w:rsidRPr="00BD04E4" w:rsidRDefault="008F0764" w:rsidP="00E5192C">
      <w:pPr>
        <w:ind w:left="720"/>
        <w:rPr>
          <w:b/>
        </w:rPr>
      </w:pPr>
      <w:r>
        <w:rPr>
          <w:b/>
        </w:rPr>
        <w:t xml:space="preserve">Earnings forecasts </w:t>
      </w:r>
      <w:r w:rsidR="0026291C">
        <w:rPr>
          <w:b/>
        </w:rPr>
        <w:t xml:space="preserve">– </w:t>
      </w:r>
      <w:proofErr w:type="spellStart"/>
      <w:r w:rsidR="0026291C">
        <w:rPr>
          <w:b/>
        </w:rPr>
        <w:t>univariate</w:t>
      </w:r>
      <w:proofErr w:type="spellEnd"/>
      <w:r w:rsidR="00903D89" w:rsidRPr="00BD04E4">
        <w:rPr>
          <w:b/>
        </w:rPr>
        <w:t xml:space="preserve"> </w:t>
      </w:r>
      <w:r>
        <w:rPr>
          <w:b/>
        </w:rPr>
        <w:t>s</w:t>
      </w:r>
      <w:r w:rsidR="00903D89" w:rsidRPr="00BD04E4">
        <w:rPr>
          <w:b/>
        </w:rPr>
        <w:t>tatistics</w:t>
      </w:r>
    </w:p>
    <w:p w:rsidR="00903D89" w:rsidRPr="00BD04E4" w:rsidRDefault="00903D89">
      <w:pPr>
        <w:rPr>
          <w:b/>
        </w:rPr>
      </w:pPr>
    </w:p>
    <w:p w:rsidR="00903D89" w:rsidRPr="00316ED4" w:rsidRDefault="0017727A" w:rsidP="00E5192C">
      <w:pPr>
        <w:ind w:left="720"/>
        <w:rPr>
          <w:b/>
          <w:sz w:val="20"/>
          <w:szCs w:val="20"/>
        </w:rPr>
      </w:pPr>
      <w:r w:rsidRPr="00316ED4">
        <w:rPr>
          <w:b/>
          <w:sz w:val="20"/>
          <w:szCs w:val="20"/>
        </w:rPr>
        <w:t>PANEL</w:t>
      </w:r>
      <w:r w:rsidR="00903D89" w:rsidRPr="00316ED4">
        <w:rPr>
          <w:b/>
          <w:sz w:val="20"/>
          <w:szCs w:val="20"/>
        </w:rPr>
        <w:t xml:space="preserve"> A – Form 144 Sample</w:t>
      </w:r>
    </w:p>
    <w:p w:rsidR="00903D89" w:rsidRPr="00BD04E4" w:rsidRDefault="00903D89"/>
    <w:p w:rsidR="00903D89" w:rsidRDefault="008F0764" w:rsidP="00E5192C">
      <w:pPr>
        <w:ind w:left="720"/>
        <w:rPr>
          <w:sz w:val="20"/>
          <w:szCs w:val="20"/>
        </w:rPr>
      </w:pPr>
      <w:r>
        <w:rPr>
          <w:sz w:val="20"/>
          <w:szCs w:val="20"/>
        </w:rPr>
        <w:t xml:space="preserve">An </w:t>
      </w:r>
      <w:r w:rsidR="00055B24">
        <w:rPr>
          <w:sz w:val="20"/>
          <w:szCs w:val="20"/>
        </w:rPr>
        <w:t>o</w:t>
      </w:r>
      <w:r w:rsidR="00903D89" w:rsidRPr="008F0764">
        <w:rPr>
          <w:sz w:val="20"/>
          <w:szCs w:val="20"/>
        </w:rPr>
        <w:t xml:space="preserve">wning analyst </w:t>
      </w:r>
      <w:r>
        <w:rPr>
          <w:sz w:val="20"/>
          <w:szCs w:val="20"/>
        </w:rPr>
        <w:t xml:space="preserve">is a </w:t>
      </w:r>
      <w:r w:rsidR="00903D89" w:rsidRPr="008F0764">
        <w:rPr>
          <w:sz w:val="20"/>
          <w:szCs w:val="20"/>
        </w:rPr>
        <w:t>sell-side analyst that provide</w:t>
      </w:r>
      <w:r>
        <w:rPr>
          <w:sz w:val="20"/>
          <w:szCs w:val="20"/>
        </w:rPr>
        <w:t>s</w:t>
      </w:r>
      <w:r w:rsidR="00903D89" w:rsidRPr="008F0764">
        <w:rPr>
          <w:sz w:val="20"/>
          <w:szCs w:val="20"/>
        </w:rPr>
        <w:t xml:space="preserve"> research coverage on a company and file</w:t>
      </w:r>
      <w:r>
        <w:rPr>
          <w:sz w:val="20"/>
          <w:szCs w:val="20"/>
        </w:rPr>
        <w:t>s</w:t>
      </w:r>
      <w:r w:rsidR="00903D89" w:rsidRPr="008F0764">
        <w:rPr>
          <w:sz w:val="20"/>
          <w:szCs w:val="20"/>
        </w:rPr>
        <w:t xml:space="preserve"> a Form 144 with the SEC upon the sale of their restricted stock in that same company. </w:t>
      </w:r>
      <w:r w:rsidR="00CD307D">
        <w:rPr>
          <w:sz w:val="20"/>
          <w:szCs w:val="20"/>
        </w:rPr>
        <w:t xml:space="preserve"> </w:t>
      </w:r>
      <w:r w:rsidR="00903D89" w:rsidRPr="008F0764">
        <w:rPr>
          <w:sz w:val="20"/>
          <w:szCs w:val="20"/>
        </w:rPr>
        <w:t>The owner sample represents</w:t>
      </w:r>
      <w:r>
        <w:rPr>
          <w:sz w:val="20"/>
          <w:szCs w:val="20"/>
        </w:rPr>
        <w:t xml:space="preserve"> owning analyst quarterly earnings</w:t>
      </w:r>
      <w:r w:rsidR="00903D89" w:rsidRPr="008F0764">
        <w:rPr>
          <w:sz w:val="20"/>
          <w:szCs w:val="20"/>
        </w:rPr>
        <w:t xml:space="preserve"> forecasts issued prior to the sale of their restricted stock.  The control sample is non-owning</w:t>
      </w:r>
      <w:r>
        <w:rPr>
          <w:sz w:val="20"/>
          <w:szCs w:val="20"/>
        </w:rPr>
        <w:t>-</w:t>
      </w:r>
      <w:r w:rsidR="00903D89" w:rsidRPr="008F0764">
        <w:rPr>
          <w:sz w:val="20"/>
          <w:szCs w:val="20"/>
        </w:rPr>
        <w:t xml:space="preserve">analyst </w:t>
      </w:r>
      <w:r>
        <w:rPr>
          <w:sz w:val="20"/>
          <w:szCs w:val="20"/>
        </w:rPr>
        <w:t xml:space="preserve">earnings </w:t>
      </w:r>
      <w:r w:rsidR="00903D89" w:rsidRPr="008F0764">
        <w:rPr>
          <w:sz w:val="20"/>
          <w:szCs w:val="20"/>
        </w:rPr>
        <w:t>forecasts for the same companies and forecast periods as owning analyst forecasts.</w:t>
      </w:r>
      <w:r>
        <w:rPr>
          <w:sz w:val="20"/>
          <w:szCs w:val="20"/>
        </w:rPr>
        <w:t xml:space="preserve">  Respectively, superscripts </w:t>
      </w:r>
      <w:proofErr w:type="gramStart"/>
      <w:r>
        <w:rPr>
          <w:sz w:val="20"/>
          <w:szCs w:val="20"/>
        </w:rPr>
        <w:t>a and</w:t>
      </w:r>
      <w:proofErr w:type="gramEnd"/>
      <w:r>
        <w:rPr>
          <w:sz w:val="20"/>
          <w:szCs w:val="20"/>
        </w:rPr>
        <w:t xml:space="preserve"> b denote statistical significance between the sample and control group at the 5% and 1% level.</w:t>
      </w:r>
    </w:p>
    <w:p w:rsidR="0026291C" w:rsidRDefault="0026291C" w:rsidP="00E5192C">
      <w:pPr>
        <w:ind w:left="720"/>
        <w:rPr>
          <w:sz w:val="20"/>
          <w:szCs w:val="20"/>
        </w:rPr>
      </w:pPr>
    </w:p>
    <w:p w:rsidR="0026291C" w:rsidRPr="00AF353C" w:rsidRDefault="0026291C" w:rsidP="00E5192C">
      <w:pPr>
        <w:pStyle w:val="BodyTextIndent"/>
        <w:spacing w:line="240" w:lineRule="auto"/>
        <w:ind w:left="720" w:firstLine="0"/>
        <w:rPr>
          <w:sz w:val="20"/>
          <w:szCs w:val="20"/>
        </w:rPr>
      </w:pPr>
      <w:r>
        <w:rPr>
          <w:b/>
          <w:sz w:val="20"/>
          <w:szCs w:val="20"/>
        </w:rPr>
        <w:t xml:space="preserve">Forecast error </w:t>
      </w:r>
      <w:r>
        <w:rPr>
          <w:sz w:val="20"/>
          <w:szCs w:val="20"/>
        </w:rPr>
        <w:t xml:space="preserve">is actual earnings for the quarter less the analyst’s earnings forecast all </w:t>
      </w:r>
      <w:r w:rsidR="00EA0836">
        <w:rPr>
          <w:sz w:val="20"/>
          <w:szCs w:val="20"/>
        </w:rPr>
        <w:t>deflated by lagged stock</w:t>
      </w:r>
      <w:r>
        <w:rPr>
          <w:sz w:val="20"/>
          <w:szCs w:val="20"/>
        </w:rPr>
        <w:t xml:space="preserve"> price.  </w:t>
      </w:r>
      <w:r w:rsidR="00B84625" w:rsidRPr="0026291C">
        <w:rPr>
          <w:b/>
          <w:sz w:val="20"/>
          <w:szCs w:val="20"/>
        </w:rPr>
        <w:t>Forecast age</w:t>
      </w:r>
      <w:r w:rsidR="00B84625">
        <w:rPr>
          <w:sz w:val="20"/>
          <w:szCs w:val="20"/>
        </w:rPr>
        <w:t xml:space="preserve"> is the difference, in days, between the date of the analyst’s forecast and the company’s actual earnings announcement.  </w:t>
      </w:r>
      <w:r w:rsidRPr="00AF353C">
        <w:rPr>
          <w:b/>
          <w:sz w:val="20"/>
          <w:szCs w:val="20"/>
        </w:rPr>
        <w:t>IPO Underwriter</w:t>
      </w:r>
      <w:r>
        <w:rPr>
          <w:b/>
          <w:sz w:val="20"/>
          <w:szCs w:val="20"/>
        </w:rPr>
        <w:t xml:space="preserve"> </w:t>
      </w:r>
      <w:r w:rsidRPr="00AF353C">
        <w:rPr>
          <w:sz w:val="20"/>
          <w:szCs w:val="20"/>
        </w:rPr>
        <w:t>is a</w:t>
      </w:r>
      <w:r>
        <w:rPr>
          <w:b/>
          <w:sz w:val="20"/>
          <w:szCs w:val="20"/>
        </w:rPr>
        <w:t xml:space="preserve"> </w:t>
      </w:r>
      <w:r w:rsidRPr="00AF353C">
        <w:rPr>
          <w:sz w:val="20"/>
          <w:szCs w:val="20"/>
        </w:rPr>
        <w:t>dummy variable</w:t>
      </w:r>
      <w:r>
        <w:rPr>
          <w:sz w:val="20"/>
          <w:szCs w:val="20"/>
        </w:rPr>
        <w:t xml:space="preserve"> indicating whether the</w:t>
      </w:r>
      <w:r w:rsidRPr="00AF353C">
        <w:rPr>
          <w:sz w:val="20"/>
          <w:szCs w:val="20"/>
        </w:rPr>
        <w:t xml:space="preserve"> analyst's</w:t>
      </w:r>
      <w:r>
        <w:rPr>
          <w:sz w:val="20"/>
          <w:szCs w:val="20"/>
        </w:rPr>
        <w:t xml:space="preserve"> brokerage</w:t>
      </w:r>
      <w:r w:rsidRPr="00AF353C">
        <w:rPr>
          <w:sz w:val="20"/>
          <w:szCs w:val="20"/>
        </w:rPr>
        <w:t xml:space="preserve"> firm is the IPO l</w:t>
      </w:r>
      <w:r>
        <w:rPr>
          <w:sz w:val="20"/>
          <w:szCs w:val="20"/>
        </w:rPr>
        <w:t>ead underwriter and the analyst report</w:t>
      </w:r>
      <w:r w:rsidRPr="00AF353C">
        <w:rPr>
          <w:sz w:val="20"/>
          <w:szCs w:val="20"/>
        </w:rPr>
        <w:t xml:space="preserve"> is issued within one year after the IPO.</w:t>
      </w:r>
      <w:r>
        <w:rPr>
          <w:sz w:val="20"/>
          <w:szCs w:val="20"/>
        </w:rPr>
        <w:t xml:space="preserve">  </w:t>
      </w:r>
      <w:r w:rsidRPr="00AF353C">
        <w:rPr>
          <w:b/>
          <w:sz w:val="20"/>
          <w:szCs w:val="20"/>
        </w:rPr>
        <w:t>IPO Co-manager</w:t>
      </w:r>
      <w:r>
        <w:rPr>
          <w:b/>
          <w:sz w:val="20"/>
          <w:szCs w:val="20"/>
        </w:rPr>
        <w:t xml:space="preserve"> </w:t>
      </w:r>
      <w:r w:rsidRPr="006B30B6">
        <w:rPr>
          <w:sz w:val="20"/>
          <w:szCs w:val="20"/>
        </w:rPr>
        <w:t>is defined in the same way.</w:t>
      </w:r>
      <w:r>
        <w:rPr>
          <w:sz w:val="20"/>
          <w:szCs w:val="20"/>
        </w:rPr>
        <w:t xml:space="preserve">  </w:t>
      </w:r>
      <w:r w:rsidR="00EA0836" w:rsidRPr="00AF353C">
        <w:rPr>
          <w:b/>
          <w:sz w:val="20"/>
          <w:szCs w:val="20"/>
        </w:rPr>
        <w:t xml:space="preserve">Broker </w:t>
      </w:r>
      <w:proofErr w:type="spellStart"/>
      <w:r w:rsidR="00EA0836" w:rsidRPr="00AF353C">
        <w:rPr>
          <w:b/>
          <w:sz w:val="20"/>
          <w:szCs w:val="20"/>
        </w:rPr>
        <w:t>Decile</w:t>
      </w:r>
      <w:proofErr w:type="spellEnd"/>
      <w:r w:rsidR="00EA0836">
        <w:rPr>
          <w:b/>
          <w:sz w:val="20"/>
          <w:szCs w:val="20"/>
        </w:rPr>
        <w:t xml:space="preserve"> </w:t>
      </w:r>
      <w:r w:rsidR="00EA0836" w:rsidRPr="006B30B6">
        <w:rPr>
          <w:sz w:val="20"/>
          <w:szCs w:val="20"/>
        </w:rPr>
        <w:t xml:space="preserve">is a </w:t>
      </w:r>
      <w:proofErr w:type="spellStart"/>
      <w:r w:rsidR="00EA0836" w:rsidRPr="006B30B6">
        <w:rPr>
          <w:sz w:val="20"/>
          <w:szCs w:val="20"/>
        </w:rPr>
        <w:t>decile</w:t>
      </w:r>
      <w:proofErr w:type="spellEnd"/>
      <w:r w:rsidR="00EA0836" w:rsidRPr="006B30B6">
        <w:rPr>
          <w:sz w:val="20"/>
          <w:szCs w:val="20"/>
        </w:rPr>
        <w:t xml:space="preserve"> </w:t>
      </w:r>
      <w:r w:rsidR="00EA0836">
        <w:rPr>
          <w:sz w:val="20"/>
          <w:szCs w:val="20"/>
        </w:rPr>
        <w:t xml:space="preserve">size </w:t>
      </w:r>
      <w:r w:rsidR="00EA0836" w:rsidRPr="006B30B6">
        <w:rPr>
          <w:sz w:val="20"/>
          <w:szCs w:val="20"/>
        </w:rPr>
        <w:t>ranking of</w:t>
      </w:r>
      <w:r w:rsidR="00EA0836">
        <w:rPr>
          <w:b/>
          <w:sz w:val="20"/>
          <w:szCs w:val="20"/>
        </w:rPr>
        <w:t xml:space="preserve"> </w:t>
      </w:r>
      <w:r w:rsidR="00EA0836" w:rsidRPr="00DD61FC">
        <w:rPr>
          <w:sz w:val="20"/>
          <w:szCs w:val="20"/>
        </w:rPr>
        <w:t>the analyst’s</w:t>
      </w:r>
      <w:r w:rsidR="00EA0836">
        <w:rPr>
          <w:b/>
          <w:sz w:val="20"/>
          <w:szCs w:val="20"/>
        </w:rPr>
        <w:t xml:space="preserve"> </w:t>
      </w:r>
      <w:r w:rsidR="00EA0836">
        <w:rPr>
          <w:sz w:val="20"/>
          <w:szCs w:val="20"/>
        </w:rPr>
        <w:t>brokerage firm, computed annually,</w:t>
      </w:r>
      <w:r w:rsidR="00EA0836" w:rsidRPr="00AF353C">
        <w:rPr>
          <w:sz w:val="20"/>
          <w:szCs w:val="20"/>
        </w:rPr>
        <w:t xml:space="preserve"> </w:t>
      </w:r>
      <w:r w:rsidR="00563454" w:rsidRPr="00AF353C">
        <w:rPr>
          <w:sz w:val="20"/>
          <w:szCs w:val="20"/>
        </w:rPr>
        <w:t>and based</w:t>
      </w:r>
      <w:r w:rsidR="00EA0836" w:rsidRPr="00AF353C">
        <w:rPr>
          <w:sz w:val="20"/>
          <w:szCs w:val="20"/>
        </w:rPr>
        <w:t xml:space="preserve"> on the number of analysts at each brokerage firm</w:t>
      </w:r>
      <w:r w:rsidR="00EA0836">
        <w:rPr>
          <w:sz w:val="20"/>
          <w:szCs w:val="20"/>
        </w:rPr>
        <w:t xml:space="preserve"> as reported by IBES.</w:t>
      </w:r>
      <w:r w:rsidR="00EA0836" w:rsidRPr="00AF353C">
        <w:rPr>
          <w:sz w:val="20"/>
          <w:szCs w:val="20"/>
        </w:rPr>
        <w:t xml:space="preserve"> </w:t>
      </w:r>
      <w:r w:rsidR="00EA0836">
        <w:rPr>
          <w:sz w:val="20"/>
          <w:szCs w:val="20"/>
        </w:rPr>
        <w:t xml:space="preserve"> </w:t>
      </w:r>
      <w:r w:rsidR="00C32349" w:rsidRPr="00AF353C">
        <w:rPr>
          <w:b/>
          <w:sz w:val="20"/>
          <w:szCs w:val="20"/>
        </w:rPr>
        <w:t>Experience</w:t>
      </w:r>
      <w:r w:rsidR="00C32349">
        <w:rPr>
          <w:sz w:val="20"/>
          <w:szCs w:val="20"/>
        </w:rPr>
        <w:t xml:space="preserve"> is a measure of analyst tenure as </w:t>
      </w:r>
      <w:r w:rsidR="00C32349" w:rsidRPr="00AF353C">
        <w:rPr>
          <w:sz w:val="20"/>
          <w:szCs w:val="20"/>
        </w:rPr>
        <w:t>a sell-side analyst</w:t>
      </w:r>
      <w:r w:rsidR="00C32349">
        <w:rPr>
          <w:sz w:val="20"/>
          <w:szCs w:val="20"/>
        </w:rPr>
        <w:t>, as of the current year (years in the</w:t>
      </w:r>
      <w:r w:rsidR="00C32349" w:rsidRPr="00AF353C">
        <w:rPr>
          <w:sz w:val="20"/>
          <w:szCs w:val="20"/>
        </w:rPr>
        <w:t xml:space="preserve"> IBES database</w:t>
      </w:r>
      <w:r w:rsidR="00C32349">
        <w:rPr>
          <w:sz w:val="20"/>
          <w:szCs w:val="20"/>
        </w:rPr>
        <w:t xml:space="preserve"> is the proxy</w:t>
      </w:r>
      <w:r w:rsidR="00C32349" w:rsidRPr="00AF353C">
        <w:rPr>
          <w:sz w:val="20"/>
          <w:szCs w:val="20"/>
        </w:rPr>
        <w:t>).</w:t>
      </w:r>
      <w:r w:rsidR="00C32349">
        <w:rPr>
          <w:sz w:val="20"/>
          <w:szCs w:val="20"/>
        </w:rPr>
        <w:t xml:space="preserve">  </w:t>
      </w:r>
      <w:r w:rsidRPr="00AF353C">
        <w:rPr>
          <w:b/>
          <w:sz w:val="20"/>
          <w:szCs w:val="20"/>
        </w:rPr>
        <w:t>Complexity</w:t>
      </w:r>
      <w:r>
        <w:rPr>
          <w:b/>
          <w:sz w:val="20"/>
          <w:szCs w:val="20"/>
        </w:rPr>
        <w:t xml:space="preserve"> </w:t>
      </w:r>
      <w:r w:rsidRPr="005579BA">
        <w:rPr>
          <w:sz w:val="20"/>
          <w:szCs w:val="20"/>
        </w:rPr>
        <w:t>is the</w:t>
      </w:r>
      <w:r>
        <w:rPr>
          <w:sz w:val="20"/>
          <w:szCs w:val="20"/>
        </w:rPr>
        <w:t xml:space="preserve"> n</w:t>
      </w:r>
      <w:r w:rsidRPr="00AF353C">
        <w:rPr>
          <w:sz w:val="20"/>
          <w:szCs w:val="20"/>
        </w:rPr>
        <w:t xml:space="preserve">umber of companies </w:t>
      </w:r>
      <w:r>
        <w:rPr>
          <w:sz w:val="20"/>
          <w:szCs w:val="20"/>
        </w:rPr>
        <w:t xml:space="preserve">the </w:t>
      </w:r>
      <w:r w:rsidRPr="00AF353C">
        <w:rPr>
          <w:sz w:val="20"/>
          <w:szCs w:val="20"/>
        </w:rPr>
        <w:t>analyst</w:t>
      </w:r>
      <w:r w:rsidR="00C32349">
        <w:rPr>
          <w:sz w:val="20"/>
          <w:szCs w:val="20"/>
        </w:rPr>
        <w:t xml:space="preserve"> covers</w:t>
      </w:r>
      <w:r>
        <w:rPr>
          <w:sz w:val="20"/>
          <w:szCs w:val="20"/>
        </w:rPr>
        <w:t xml:space="preserve"> during the year</w:t>
      </w:r>
      <w:r w:rsidRPr="00AF353C">
        <w:rPr>
          <w:sz w:val="20"/>
          <w:szCs w:val="20"/>
        </w:rPr>
        <w:t>.</w:t>
      </w:r>
      <w:r>
        <w:rPr>
          <w:sz w:val="20"/>
          <w:szCs w:val="20"/>
        </w:rPr>
        <w:t xml:space="preserve">  </w:t>
      </w:r>
      <w:r w:rsidRPr="00AF353C">
        <w:rPr>
          <w:b/>
          <w:sz w:val="20"/>
          <w:szCs w:val="20"/>
        </w:rPr>
        <w:t>Disclose</w:t>
      </w:r>
      <w:r>
        <w:rPr>
          <w:b/>
          <w:sz w:val="20"/>
          <w:szCs w:val="20"/>
        </w:rPr>
        <w:t xml:space="preserve"> </w:t>
      </w:r>
      <w:r w:rsidRPr="005579BA">
        <w:rPr>
          <w:sz w:val="20"/>
          <w:szCs w:val="20"/>
        </w:rPr>
        <w:t>is a</w:t>
      </w:r>
      <w:r>
        <w:rPr>
          <w:b/>
          <w:sz w:val="20"/>
          <w:szCs w:val="20"/>
        </w:rPr>
        <w:t xml:space="preserve"> </w:t>
      </w:r>
      <w:r w:rsidRPr="00AF353C">
        <w:rPr>
          <w:sz w:val="20"/>
          <w:szCs w:val="20"/>
        </w:rPr>
        <w:t xml:space="preserve">dummy variable </w:t>
      </w:r>
      <w:r>
        <w:rPr>
          <w:sz w:val="20"/>
          <w:szCs w:val="20"/>
        </w:rPr>
        <w:t xml:space="preserve">indicating whether the </w:t>
      </w:r>
      <w:r w:rsidRPr="00AF353C">
        <w:rPr>
          <w:sz w:val="20"/>
          <w:szCs w:val="20"/>
        </w:rPr>
        <w:t xml:space="preserve">analyst </w:t>
      </w:r>
      <w:r>
        <w:rPr>
          <w:sz w:val="20"/>
          <w:szCs w:val="20"/>
        </w:rPr>
        <w:t>is</w:t>
      </w:r>
      <w:r w:rsidRPr="00AF353C">
        <w:rPr>
          <w:sz w:val="20"/>
          <w:szCs w:val="20"/>
        </w:rPr>
        <w:t xml:space="preserve"> a restricted stock</w:t>
      </w:r>
      <w:r w:rsidR="00145B0F">
        <w:rPr>
          <w:sz w:val="20"/>
          <w:szCs w:val="20"/>
        </w:rPr>
        <w:t xml:space="preserve"> </w:t>
      </w:r>
      <w:r w:rsidRPr="00AF353C">
        <w:rPr>
          <w:sz w:val="20"/>
          <w:szCs w:val="20"/>
        </w:rPr>
        <w:t>owner and</w:t>
      </w:r>
      <w:r>
        <w:rPr>
          <w:sz w:val="20"/>
          <w:szCs w:val="20"/>
        </w:rPr>
        <w:t xml:space="preserve"> whether</w:t>
      </w:r>
      <w:r w:rsidRPr="00AF353C">
        <w:rPr>
          <w:sz w:val="20"/>
          <w:szCs w:val="20"/>
        </w:rPr>
        <w:t xml:space="preserve"> their ownership was disclosed to the public</w:t>
      </w:r>
      <w:r w:rsidR="009C5B6A">
        <w:rPr>
          <w:sz w:val="20"/>
          <w:szCs w:val="20"/>
        </w:rPr>
        <w:t>, prior to the Form 144</w:t>
      </w:r>
      <w:r w:rsidRPr="00AF353C">
        <w:rPr>
          <w:sz w:val="20"/>
          <w:szCs w:val="20"/>
        </w:rPr>
        <w:t>.</w:t>
      </w:r>
    </w:p>
    <w:p w:rsidR="0026291C" w:rsidRPr="008F0764" w:rsidRDefault="0026291C">
      <w:pPr>
        <w:rPr>
          <w:sz w:val="20"/>
          <w:szCs w:val="20"/>
        </w:rPr>
      </w:pPr>
    </w:p>
    <w:p w:rsidR="00903D89" w:rsidRPr="00BD04E4" w:rsidRDefault="00903D89"/>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8"/>
        <w:gridCol w:w="833"/>
        <w:gridCol w:w="990"/>
        <w:gridCol w:w="990"/>
        <w:gridCol w:w="1084"/>
        <w:gridCol w:w="1179"/>
        <w:gridCol w:w="928"/>
      </w:tblGrid>
      <w:tr w:rsidR="00903D89" w:rsidRPr="00BD04E4">
        <w:trPr>
          <w:cantSplit/>
          <w:jc w:val="center"/>
        </w:trPr>
        <w:tc>
          <w:tcPr>
            <w:tcW w:w="2348" w:type="dxa"/>
          </w:tcPr>
          <w:p w:rsidR="00903D89" w:rsidRPr="00BD04E4" w:rsidRDefault="00903D89">
            <w:pPr>
              <w:rPr>
                <w:sz w:val="20"/>
                <w:szCs w:val="20"/>
              </w:rPr>
            </w:pPr>
          </w:p>
        </w:tc>
        <w:tc>
          <w:tcPr>
            <w:tcW w:w="2813" w:type="dxa"/>
            <w:gridSpan w:val="3"/>
          </w:tcPr>
          <w:p w:rsidR="00903D89" w:rsidRPr="00BD04E4" w:rsidRDefault="00903D89">
            <w:pPr>
              <w:jc w:val="center"/>
              <w:rPr>
                <w:b/>
                <w:sz w:val="20"/>
                <w:szCs w:val="20"/>
              </w:rPr>
            </w:pPr>
            <w:r w:rsidRPr="00BD04E4">
              <w:rPr>
                <w:b/>
                <w:sz w:val="20"/>
                <w:szCs w:val="20"/>
              </w:rPr>
              <w:t>Owner Sample</w:t>
            </w:r>
          </w:p>
        </w:tc>
        <w:tc>
          <w:tcPr>
            <w:tcW w:w="3191" w:type="dxa"/>
            <w:gridSpan w:val="3"/>
          </w:tcPr>
          <w:p w:rsidR="00903D89" w:rsidRPr="00BD04E4" w:rsidRDefault="00903D89">
            <w:pPr>
              <w:jc w:val="center"/>
              <w:rPr>
                <w:b/>
                <w:sz w:val="20"/>
                <w:szCs w:val="20"/>
              </w:rPr>
            </w:pPr>
            <w:r w:rsidRPr="00BD04E4">
              <w:rPr>
                <w:b/>
                <w:sz w:val="20"/>
                <w:szCs w:val="20"/>
              </w:rPr>
              <w:t>Control Sample</w:t>
            </w:r>
          </w:p>
        </w:tc>
      </w:tr>
      <w:tr w:rsidR="004F7775" w:rsidRPr="00BD04E4">
        <w:trPr>
          <w:jc w:val="center"/>
        </w:trPr>
        <w:tc>
          <w:tcPr>
            <w:tcW w:w="2348" w:type="dxa"/>
          </w:tcPr>
          <w:p w:rsidR="004F7775" w:rsidRPr="00BD04E4" w:rsidRDefault="004F7775">
            <w:pPr>
              <w:rPr>
                <w:sz w:val="20"/>
                <w:szCs w:val="20"/>
              </w:rPr>
            </w:pPr>
          </w:p>
        </w:tc>
        <w:tc>
          <w:tcPr>
            <w:tcW w:w="833" w:type="dxa"/>
          </w:tcPr>
          <w:p w:rsidR="004F7775" w:rsidRPr="00BD04E4" w:rsidRDefault="004F7775">
            <w:pPr>
              <w:jc w:val="center"/>
              <w:rPr>
                <w:b/>
                <w:sz w:val="20"/>
                <w:szCs w:val="20"/>
              </w:rPr>
            </w:pPr>
            <w:r w:rsidRPr="00BD04E4">
              <w:rPr>
                <w:b/>
                <w:sz w:val="20"/>
                <w:szCs w:val="20"/>
              </w:rPr>
              <w:t>Mean</w:t>
            </w:r>
          </w:p>
        </w:tc>
        <w:tc>
          <w:tcPr>
            <w:tcW w:w="990" w:type="dxa"/>
          </w:tcPr>
          <w:p w:rsidR="004F7775" w:rsidRPr="00BD04E4" w:rsidRDefault="004F7775">
            <w:pPr>
              <w:jc w:val="center"/>
              <w:rPr>
                <w:b/>
                <w:sz w:val="20"/>
                <w:szCs w:val="20"/>
              </w:rPr>
            </w:pPr>
            <w:r w:rsidRPr="00BD04E4">
              <w:rPr>
                <w:b/>
                <w:sz w:val="20"/>
                <w:szCs w:val="20"/>
              </w:rPr>
              <w:t>Median</w:t>
            </w:r>
          </w:p>
        </w:tc>
        <w:tc>
          <w:tcPr>
            <w:tcW w:w="990" w:type="dxa"/>
          </w:tcPr>
          <w:p w:rsidR="004F7775" w:rsidRPr="00BD04E4" w:rsidRDefault="004F7775">
            <w:pPr>
              <w:jc w:val="center"/>
              <w:rPr>
                <w:b/>
                <w:sz w:val="20"/>
                <w:szCs w:val="20"/>
              </w:rPr>
            </w:pPr>
            <w:r w:rsidRPr="00BD04E4">
              <w:rPr>
                <w:b/>
                <w:sz w:val="20"/>
                <w:szCs w:val="20"/>
              </w:rPr>
              <w:t>Std. Dev.</w:t>
            </w:r>
          </w:p>
        </w:tc>
        <w:tc>
          <w:tcPr>
            <w:tcW w:w="1084" w:type="dxa"/>
          </w:tcPr>
          <w:p w:rsidR="004F7775" w:rsidRPr="00BD04E4" w:rsidRDefault="004F7775" w:rsidP="00314FC3">
            <w:pPr>
              <w:jc w:val="center"/>
              <w:rPr>
                <w:sz w:val="20"/>
                <w:szCs w:val="20"/>
              </w:rPr>
            </w:pPr>
            <w:r w:rsidRPr="00BD04E4">
              <w:rPr>
                <w:b/>
                <w:sz w:val="20"/>
                <w:szCs w:val="20"/>
              </w:rPr>
              <w:t>Mean</w:t>
            </w:r>
          </w:p>
        </w:tc>
        <w:tc>
          <w:tcPr>
            <w:tcW w:w="1179" w:type="dxa"/>
          </w:tcPr>
          <w:p w:rsidR="004F7775" w:rsidRPr="00BD04E4" w:rsidRDefault="004F7775" w:rsidP="00314FC3">
            <w:pPr>
              <w:jc w:val="center"/>
              <w:rPr>
                <w:sz w:val="20"/>
                <w:szCs w:val="20"/>
              </w:rPr>
            </w:pPr>
            <w:r w:rsidRPr="00BD04E4">
              <w:rPr>
                <w:b/>
                <w:sz w:val="20"/>
                <w:szCs w:val="20"/>
              </w:rPr>
              <w:t>Median</w:t>
            </w:r>
          </w:p>
        </w:tc>
        <w:tc>
          <w:tcPr>
            <w:tcW w:w="928" w:type="dxa"/>
          </w:tcPr>
          <w:p w:rsidR="004F7775" w:rsidRPr="00BD04E4" w:rsidRDefault="004F7775">
            <w:pPr>
              <w:jc w:val="center"/>
              <w:rPr>
                <w:sz w:val="20"/>
                <w:szCs w:val="20"/>
              </w:rPr>
            </w:pPr>
            <w:r w:rsidRPr="00BD04E4">
              <w:rPr>
                <w:b/>
                <w:sz w:val="20"/>
                <w:szCs w:val="20"/>
              </w:rPr>
              <w:t>Std. Dev.</w:t>
            </w:r>
          </w:p>
        </w:tc>
      </w:tr>
      <w:tr w:rsidR="004F7775" w:rsidRPr="00BD04E4">
        <w:trPr>
          <w:jc w:val="center"/>
        </w:trPr>
        <w:tc>
          <w:tcPr>
            <w:tcW w:w="2348" w:type="dxa"/>
          </w:tcPr>
          <w:p w:rsidR="004F7775" w:rsidRPr="00BD04E4" w:rsidRDefault="004F7775">
            <w:pPr>
              <w:rPr>
                <w:sz w:val="20"/>
                <w:szCs w:val="20"/>
              </w:rPr>
            </w:pPr>
            <w:r w:rsidRPr="00BD04E4">
              <w:rPr>
                <w:sz w:val="20"/>
                <w:szCs w:val="20"/>
              </w:rPr>
              <w:t>Forecast Error</w:t>
            </w:r>
          </w:p>
        </w:tc>
        <w:tc>
          <w:tcPr>
            <w:tcW w:w="833" w:type="dxa"/>
          </w:tcPr>
          <w:p w:rsidR="004F7775" w:rsidRPr="00BD04E4" w:rsidRDefault="004F7775">
            <w:pPr>
              <w:jc w:val="right"/>
              <w:rPr>
                <w:sz w:val="20"/>
                <w:szCs w:val="20"/>
              </w:rPr>
            </w:pPr>
            <w:r w:rsidRPr="00BD04E4">
              <w:rPr>
                <w:sz w:val="20"/>
                <w:szCs w:val="20"/>
              </w:rPr>
              <w:t>-0.003</w:t>
            </w:r>
          </w:p>
        </w:tc>
        <w:tc>
          <w:tcPr>
            <w:tcW w:w="990" w:type="dxa"/>
          </w:tcPr>
          <w:p w:rsidR="004F7775" w:rsidRPr="00BD04E4" w:rsidRDefault="004F7775">
            <w:pPr>
              <w:jc w:val="right"/>
              <w:rPr>
                <w:sz w:val="20"/>
                <w:szCs w:val="20"/>
              </w:rPr>
            </w:pPr>
            <w:r w:rsidRPr="00BD04E4">
              <w:rPr>
                <w:sz w:val="20"/>
                <w:szCs w:val="20"/>
              </w:rPr>
              <w:t>0.0001</w:t>
            </w:r>
          </w:p>
        </w:tc>
        <w:tc>
          <w:tcPr>
            <w:tcW w:w="990" w:type="dxa"/>
          </w:tcPr>
          <w:p w:rsidR="004F7775" w:rsidRPr="00BD04E4" w:rsidRDefault="004F7775">
            <w:pPr>
              <w:jc w:val="right"/>
              <w:rPr>
                <w:sz w:val="20"/>
                <w:szCs w:val="20"/>
              </w:rPr>
            </w:pPr>
            <w:r w:rsidRPr="00BD04E4">
              <w:rPr>
                <w:sz w:val="20"/>
                <w:szCs w:val="20"/>
              </w:rPr>
              <w:t>0.016</w:t>
            </w:r>
          </w:p>
        </w:tc>
        <w:tc>
          <w:tcPr>
            <w:tcW w:w="1084" w:type="dxa"/>
          </w:tcPr>
          <w:p w:rsidR="004F7775" w:rsidRPr="00BD04E4" w:rsidRDefault="004F7775" w:rsidP="004F7775">
            <w:pPr>
              <w:jc w:val="right"/>
              <w:rPr>
                <w:sz w:val="20"/>
                <w:szCs w:val="20"/>
              </w:rPr>
            </w:pPr>
            <w:r w:rsidRPr="00BD04E4">
              <w:rPr>
                <w:sz w:val="20"/>
                <w:szCs w:val="20"/>
              </w:rPr>
              <w:t>-0.001</w:t>
            </w:r>
            <w:r>
              <w:rPr>
                <w:sz w:val="20"/>
                <w:szCs w:val="20"/>
                <w:vertAlign w:val="superscript"/>
              </w:rPr>
              <w:t>a</w:t>
            </w:r>
          </w:p>
        </w:tc>
        <w:tc>
          <w:tcPr>
            <w:tcW w:w="1179" w:type="dxa"/>
          </w:tcPr>
          <w:p w:rsidR="004F7775" w:rsidRPr="00BD04E4" w:rsidRDefault="004F7775" w:rsidP="004F7775">
            <w:pPr>
              <w:jc w:val="right"/>
              <w:rPr>
                <w:sz w:val="20"/>
                <w:szCs w:val="20"/>
              </w:rPr>
            </w:pPr>
            <w:r w:rsidRPr="00BD04E4">
              <w:rPr>
                <w:sz w:val="20"/>
                <w:szCs w:val="20"/>
              </w:rPr>
              <w:t>0.0002</w:t>
            </w:r>
            <w:r>
              <w:rPr>
                <w:sz w:val="20"/>
                <w:szCs w:val="20"/>
                <w:vertAlign w:val="superscript"/>
              </w:rPr>
              <w:t>a</w:t>
            </w:r>
          </w:p>
        </w:tc>
        <w:tc>
          <w:tcPr>
            <w:tcW w:w="928" w:type="dxa"/>
          </w:tcPr>
          <w:p w:rsidR="004F7775" w:rsidRPr="00BD04E4" w:rsidRDefault="004F7775">
            <w:pPr>
              <w:jc w:val="right"/>
              <w:rPr>
                <w:sz w:val="20"/>
                <w:szCs w:val="20"/>
              </w:rPr>
            </w:pPr>
            <w:r w:rsidRPr="00BD04E4">
              <w:rPr>
                <w:sz w:val="20"/>
                <w:szCs w:val="20"/>
              </w:rPr>
              <w:t>0.014</w:t>
            </w:r>
          </w:p>
        </w:tc>
      </w:tr>
      <w:tr w:rsidR="004F7775" w:rsidRPr="00BD04E4">
        <w:trPr>
          <w:jc w:val="center"/>
        </w:trPr>
        <w:tc>
          <w:tcPr>
            <w:tcW w:w="2348" w:type="dxa"/>
          </w:tcPr>
          <w:p w:rsidR="004F7775" w:rsidRPr="00BD04E4" w:rsidRDefault="004F7775">
            <w:pPr>
              <w:rPr>
                <w:sz w:val="20"/>
                <w:szCs w:val="20"/>
              </w:rPr>
            </w:pPr>
            <w:r w:rsidRPr="00BD04E4">
              <w:rPr>
                <w:sz w:val="20"/>
                <w:szCs w:val="20"/>
              </w:rPr>
              <w:t>Forecast Age (days)</w:t>
            </w:r>
          </w:p>
        </w:tc>
        <w:tc>
          <w:tcPr>
            <w:tcW w:w="833" w:type="dxa"/>
          </w:tcPr>
          <w:p w:rsidR="004F7775" w:rsidRPr="00BD04E4" w:rsidRDefault="004F7775">
            <w:pPr>
              <w:jc w:val="right"/>
              <w:rPr>
                <w:sz w:val="20"/>
                <w:szCs w:val="20"/>
              </w:rPr>
            </w:pPr>
            <w:r w:rsidRPr="00BD04E4">
              <w:rPr>
                <w:sz w:val="20"/>
                <w:szCs w:val="20"/>
              </w:rPr>
              <w:t>173</w:t>
            </w:r>
          </w:p>
        </w:tc>
        <w:tc>
          <w:tcPr>
            <w:tcW w:w="990" w:type="dxa"/>
          </w:tcPr>
          <w:p w:rsidR="004F7775" w:rsidRPr="00BD04E4" w:rsidRDefault="004F7775">
            <w:pPr>
              <w:jc w:val="right"/>
              <w:rPr>
                <w:sz w:val="20"/>
                <w:szCs w:val="20"/>
              </w:rPr>
            </w:pPr>
            <w:r w:rsidRPr="00BD04E4">
              <w:rPr>
                <w:sz w:val="20"/>
                <w:szCs w:val="20"/>
              </w:rPr>
              <w:t>175</w:t>
            </w:r>
          </w:p>
        </w:tc>
        <w:tc>
          <w:tcPr>
            <w:tcW w:w="990" w:type="dxa"/>
          </w:tcPr>
          <w:p w:rsidR="004F7775" w:rsidRPr="00BD04E4" w:rsidRDefault="004F7775">
            <w:pPr>
              <w:jc w:val="right"/>
              <w:rPr>
                <w:sz w:val="20"/>
                <w:szCs w:val="20"/>
              </w:rPr>
            </w:pPr>
            <w:r w:rsidRPr="00BD04E4">
              <w:rPr>
                <w:sz w:val="20"/>
                <w:szCs w:val="20"/>
              </w:rPr>
              <w:t>103</w:t>
            </w:r>
          </w:p>
        </w:tc>
        <w:tc>
          <w:tcPr>
            <w:tcW w:w="1084" w:type="dxa"/>
          </w:tcPr>
          <w:p w:rsidR="004F7775" w:rsidRPr="00BD04E4" w:rsidRDefault="004F7775" w:rsidP="004F7775">
            <w:pPr>
              <w:jc w:val="right"/>
              <w:rPr>
                <w:sz w:val="20"/>
                <w:szCs w:val="20"/>
              </w:rPr>
            </w:pPr>
            <w:r w:rsidRPr="00BD04E4">
              <w:rPr>
                <w:sz w:val="20"/>
                <w:szCs w:val="20"/>
              </w:rPr>
              <w:t>150</w:t>
            </w:r>
            <w:r>
              <w:rPr>
                <w:sz w:val="20"/>
                <w:szCs w:val="20"/>
                <w:vertAlign w:val="superscript"/>
              </w:rPr>
              <w:t>b</w:t>
            </w:r>
          </w:p>
        </w:tc>
        <w:tc>
          <w:tcPr>
            <w:tcW w:w="1179" w:type="dxa"/>
          </w:tcPr>
          <w:p w:rsidR="004F7775" w:rsidRPr="00BD04E4" w:rsidRDefault="004F7775" w:rsidP="004F7775">
            <w:pPr>
              <w:jc w:val="right"/>
              <w:rPr>
                <w:sz w:val="20"/>
                <w:szCs w:val="20"/>
              </w:rPr>
            </w:pPr>
            <w:r w:rsidRPr="00BD04E4">
              <w:rPr>
                <w:sz w:val="20"/>
                <w:szCs w:val="20"/>
              </w:rPr>
              <w:t>126</w:t>
            </w:r>
            <w:r>
              <w:rPr>
                <w:sz w:val="20"/>
                <w:szCs w:val="20"/>
                <w:vertAlign w:val="superscript"/>
              </w:rPr>
              <w:t>b</w:t>
            </w:r>
          </w:p>
        </w:tc>
        <w:tc>
          <w:tcPr>
            <w:tcW w:w="928" w:type="dxa"/>
          </w:tcPr>
          <w:p w:rsidR="004F7775" w:rsidRPr="00BD04E4" w:rsidRDefault="004F7775">
            <w:pPr>
              <w:jc w:val="right"/>
              <w:rPr>
                <w:sz w:val="20"/>
                <w:szCs w:val="20"/>
              </w:rPr>
            </w:pPr>
            <w:r w:rsidRPr="00BD04E4">
              <w:rPr>
                <w:sz w:val="20"/>
                <w:szCs w:val="20"/>
              </w:rPr>
              <w:t>97.0</w:t>
            </w:r>
          </w:p>
        </w:tc>
      </w:tr>
      <w:tr w:rsidR="004F7775" w:rsidRPr="00BD04E4">
        <w:trPr>
          <w:jc w:val="center"/>
        </w:trPr>
        <w:tc>
          <w:tcPr>
            <w:tcW w:w="2348" w:type="dxa"/>
          </w:tcPr>
          <w:p w:rsidR="004F7775" w:rsidRPr="00BD04E4" w:rsidRDefault="004F7775">
            <w:pPr>
              <w:rPr>
                <w:sz w:val="20"/>
                <w:szCs w:val="20"/>
              </w:rPr>
            </w:pPr>
            <w:r w:rsidRPr="00BD04E4">
              <w:rPr>
                <w:sz w:val="20"/>
                <w:szCs w:val="20"/>
              </w:rPr>
              <w:t>IPO Underwriter</w:t>
            </w:r>
          </w:p>
        </w:tc>
        <w:tc>
          <w:tcPr>
            <w:tcW w:w="833" w:type="dxa"/>
          </w:tcPr>
          <w:p w:rsidR="004F7775" w:rsidRPr="00BD04E4" w:rsidRDefault="004F7775">
            <w:pPr>
              <w:jc w:val="right"/>
              <w:rPr>
                <w:sz w:val="20"/>
                <w:szCs w:val="20"/>
              </w:rPr>
            </w:pPr>
            <w:r w:rsidRPr="00BD04E4">
              <w:rPr>
                <w:sz w:val="20"/>
                <w:szCs w:val="20"/>
              </w:rPr>
              <w:t>0.354</w:t>
            </w:r>
          </w:p>
        </w:tc>
        <w:tc>
          <w:tcPr>
            <w:tcW w:w="990" w:type="dxa"/>
          </w:tcPr>
          <w:p w:rsidR="004F7775" w:rsidRPr="00BD04E4" w:rsidRDefault="004F7775">
            <w:pPr>
              <w:jc w:val="right"/>
              <w:rPr>
                <w:sz w:val="20"/>
                <w:szCs w:val="20"/>
              </w:rPr>
            </w:pPr>
            <w:r w:rsidRPr="00BD04E4">
              <w:rPr>
                <w:sz w:val="20"/>
                <w:szCs w:val="20"/>
              </w:rPr>
              <w:t>0.00</w:t>
            </w:r>
          </w:p>
        </w:tc>
        <w:tc>
          <w:tcPr>
            <w:tcW w:w="990" w:type="dxa"/>
          </w:tcPr>
          <w:p w:rsidR="004F7775" w:rsidRPr="00BD04E4" w:rsidRDefault="004F7775">
            <w:pPr>
              <w:jc w:val="right"/>
              <w:rPr>
                <w:sz w:val="20"/>
                <w:szCs w:val="20"/>
              </w:rPr>
            </w:pPr>
            <w:r w:rsidRPr="00BD04E4">
              <w:rPr>
                <w:sz w:val="20"/>
                <w:szCs w:val="20"/>
              </w:rPr>
              <w:t>0.479</w:t>
            </w:r>
          </w:p>
        </w:tc>
        <w:tc>
          <w:tcPr>
            <w:tcW w:w="1084" w:type="dxa"/>
          </w:tcPr>
          <w:p w:rsidR="004F7775" w:rsidRPr="00BD04E4" w:rsidRDefault="004F7775" w:rsidP="004F7775">
            <w:pPr>
              <w:jc w:val="right"/>
              <w:rPr>
                <w:sz w:val="20"/>
                <w:szCs w:val="20"/>
              </w:rPr>
            </w:pPr>
            <w:r w:rsidRPr="00BD04E4">
              <w:rPr>
                <w:sz w:val="20"/>
                <w:szCs w:val="20"/>
              </w:rPr>
              <w:t>0.101</w:t>
            </w:r>
            <w:r>
              <w:rPr>
                <w:sz w:val="20"/>
                <w:szCs w:val="20"/>
                <w:vertAlign w:val="superscript"/>
              </w:rPr>
              <w:t>b</w:t>
            </w:r>
          </w:p>
        </w:tc>
        <w:tc>
          <w:tcPr>
            <w:tcW w:w="1179" w:type="dxa"/>
          </w:tcPr>
          <w:p w:rsidR="004F7775" w:rsidRPr="00BD04E4" w:rsidRDefault="004F7775" w:rsidP="004F7775">
            <w:pPr>
              <w:jc w:val="right"/>
              <w:rPr>
                <w:sz w:val="20"/>
                <w:szCs w:val="20"/>
              </w:rPr>
            </w:pPr>
            <w:r w:rsidRPr="00BD04E4">
              <w:rPr>
                <w:sz w:val="20"/>
                <w:szCs w:val="20"/>
              </w:rPr>
              <w:t>0.00</w:t>
            </w:r>
            <w:r>
              <w:rPr>
                <w:sz w:val="20"/>
                <w:szCs w:val="20"/>
                <w:vertAlign w:val="superscript"/>
              </w:rPr>
              <w:t>b</w:t>
            </w:r>
          </w:p>
        </w:tc>
        <w:tc>
          <w:tcPr>
            <w:tcW w:w="928" w:type="dxa"/>
          </w:tcPr>
          <w:p w:rsidR="004F7775" w:rsidRPr="00BD04E4" w:rsidRDefault="004F7775">
            <w:pPr>
              <w:jc w:val="right"/>
              <w:rPr>
                <w:sz w:val="20"/>
                <w:szCs w:val="20"/>
              </w:rPr>
            </w:pPr>
            <w:r w:rsidRPr="00BD04E4">
              <w:rPr>
                <w:sz w:val="20"/>
                <w:szCs w:val="20"/>
              </w:rPr>
              <w:t>0.301</w:t>
            </w:r>
          </w:p>
        </w:tc>
      </w:tr>
      <w:tr w:rsidR="004F7775" w:rsidRPr="00BD04E4">
        <w:trPr>
          <w:jc w:val="center"/>
        </w:trPr>
        <w:tc>
          <w:tcPr>
            <w:tcW w:w="2348" w:type="dxa"/>
          </w:tcPr>
          <w:p w:rsidR="004F7775" w:rsidRPr="00BD04E4" w:rsidRDefault="004F7775">
            <w:pPr>
              <w:rPr>
                <w:sz w:val="20"/>
                <w:szCs w:val="20"/>
              </w:rPr>
            </w:pPr>
            <w:r w:rsidRPr="00BD04E4">
              <w:rPr>
                <w:sz w:val="20"/>
                <w:szCs w:val="20"/>
              </w:rPr>
              <w:t>IPO Co-manager</w:t>
            </w:r>
          </w:p>
        </w:tc>
        <w:tc>
          <w:tcPr>
            <w:tcW w:w="833" w:type="dxa"/>
          </w:tcPr>
          <w:p w:rsidR="004F7775" w:rsidRPr="00BD04E4" w:rsidRDefault="004F7775">
            <w:pPr>
              <w:jc w:val="right"/>
              <w:rPr>
                <w:sz w:val="20"/>
                <w:szCs w:val="20"/>
              </w:rPr>
            </w:pPr>
            <w:r w:rsidRPr="00BD04E4">
              <w:rPr>
                <w:sz w:val="20"/>
                <w:szCs w:val="20"/>
              </w:rPr>
              <w:t>0.512</w:t>
            </w:r>
          </w:p>
        </w:tc>
        <w:tc>
          <w:tcPr>
            <w:tcW w:w="990" w:type="dxa"/>
          </w:tcPr>
          <w:p w:rsidR="004F7775" w:rsidRPr="00BD04E4" w:rsidRDefault="004F7775">
            <w:pPr>
              <w:jc w:val="right"/>
              <w:rPr>
                <w:sz w:val="20"/>
                <w:szCs w:val="20"/>
              </w:rPr>
            </w:pPr>
            <w:r w:rsidRPr="00BD04E4">
              <w:rPr>
                <w:sz w:val="20"/>
                <w:szCs w:val="20"/>
              </w:rPr>
              <w:t>1.00</w:t>
            </w:r>
          </w:p>
        </w:tc>
        <w:tc>
          <w:tcPr>
            <w:tcW w:w="990" w:type="dxa"/>
          </w:tcPr>
          <w:p w:rsidR="004F7775" w:rsidRPr="00BD04E4" w:rsidRDefault="004F7775">
            <w:pPr>
              <w:jc w:val="right"/>
              <w:rPr>
                <w:sz w:val="20"/>
                <w:szCs w:val="20"/>
              </w:rPr>
            </w:pPr>
            <w:r w:rsidRPr="00BD04E4">
              <w:rPr>
                <w:sz w:val="20"/>
                <w:szCs w:val="20"/>
              </w:rPr>
              <w:t>0.501</w:t>
            </w:r>
          </w:p>
        </w:tc>
        <w:tc>
          <w:tcPr>
            <w:tcW w:w="1084" w:type="dxa"/>
          </w:tcPr>
          <w:p w:rsidR="004F7775" w:rsidRPr="00BD04E4" w:rsidRDefault="004F7775" w:rsidP="004F7775">
            <w:pPr>
              <w:jc w:val="right"/>
              <w:rPr>
                <w:sz w:val="20"/>
                <w:szCs w:val="20"/>
              </w:rPr>
            </w:pPr>
            <w:r w:rsidRPr="00BD04E4">
              <w:rPr>
                <w:sz w:val="20"/>
                <w:szCs w:val="20"/>
              </w:rPr>
              <w:t>0.216</w:t>
            </w:r>
            <w:r>
              <w:rPr>
                <w:sz w:val="20"/>
                <w:szCs w:val="20"/>
                <w:vertAlign w:val="superscript"/>
              </w:rPr>
              <w:t>b</w:t>
            </w:r>
          </w:p>
        </w:tc>
        <w:tc>
          <w:tcPr>
            <w:tcW w:w="1179" w:type="dxa"/>
          </w:tcPr>
          <w:p w:rsidR="004F7775" w:rsidRPr="00BD04E4" w:rsidRDefault="004F7775" w:rsidP="004F7775">
            <w:pPr>
              <w:jc w:val="right"/>
              <w:rPr>
                <w:sz w:val="20"/>
                <w:szCs w:val="20"/>
              </w:rPr>
            </w:pPr>
            <w:r w:rsidRPr="00BD04E4">
              <w:rPr>
                <w:sz w:val="20"/>
                <w:szCs w:val="20"/>
              </w:rPr>
              <w:t>0.00</w:t>
            </w:r>
            <w:r w:rsidRPr="004F7775">
              <w:rPr>
                <w:sz w:val="20"/>
                <w:szCs w:val="20"/>
                <w:vertAlign w:val="superscript"/>
              </w:rPr>
              <w:t>b</w:t>
            </w:r>
          </w:p>
        </w:tc>
        <w:tc>
          <w:tcPr>
            <w:tcW w:w="928" w:type="dxa"/>
          </w:tcPr>
          <w:p w:rsidR="004F7775" w:rsidRPr="00BD04E4" w:rsidRDefault="004F7775">
            <w:pPr>
              <w:jc w:val="right"/>
              <w:rPr>
                <w:sz w:val="20"/>
                <w:szCs w:val="20"/>
              </w:rPr>
            </w:pPr>
            <w:r w:rsidRPr="00BD04E4">
              <w:rPr>
                <w:sz w:val="20"/>
                <w:szCs w:val="20"/>
              </w:rPr>
              <w:t>0.411</w:t>
            </w:r>
          </w:p>
        </w:tc>
      </w:tr>
      <w:tr w:rsidR="004F7775" w:rsidRPr="00BD04E4">
        <w:trPr>
          <w:jc w:val="center"/>
        </w:trPr>
        <w:tc>
          <w:tcPr>
            <w:tcW w:w="2348" w:type="dxa"/>
          </w:tcPr>
          <w:p w:rsidR="004F7775" w:rsidRPr="00BD04E4" w:rsidRDefault="004F7775">
            <w:pPr>
              <w:rPr>
                <w:sz w:val="20"/>
                <w:szCs w:val="20"/>
              </w:rPr>
            </w:pPr>
            <w:r w:rsidRPr="00BD04E4">
              <w:rPr>
                <w:sz w:val="20"/>
                <w:szCs w:val="20"/>
              </w:rPr>
              <w:t xml:space="preserve">Broker </w:t>
            </w:r>
            <w:proofErr w:type="spellStart"/>
            <w:r w:rsidRPr="00BD04E4">
              <w:rPr>
                <w:sz w:val="20"/>
                <w:szCs w:val="20"/>
              </w:rPr>
              <w:t>Decile</w:t>
            </w:r>
            <w:proofErr w:type="spellEnd"/>
          </w:p>
        </w:tc>
        <w:tc>
          <w:tcPr>
            <w:tcW w:w="833" w:type="dxa"/>
          </w:tcPr>
          <w:p w:rsidR="004F7775" w:rsidRPr="00BD04E4" w:rsidRDefault="004F7775">
            <w:pPr>
              <w:jc w:val="right"/>
              <w:rPr>
                <w:sz w:val="20"/>
                <w:szCs w:val="20"/>
              </w:rPr>
            </w:pPr>
            <w:r w:rsidRPr="00BD04E4">
              <w:rPr>
                <w:sz w:val="20"/>
                <w:szCs w:val="20"/>
              </w:rPr>
              <w:t>9.62</w:t>
            </w:r>
          </w:p>
        </w:tc>
        <w:tc>
          <w:tcPr>
            <w:tcW w:w="990" w:type="dxa"/>
          </w:tcPr>
          <w:p w:rsidR="004F7775" w:rsidRPr="00BD04E4" w:rsidRDefault="004F7775">
            <w:pPr>
              <w:jc w:val="right"/>
              <w:rPr>
                <w:sz w:val="20"/>
                <w:szCs w:val="20"/>
              </w:rPr>
            </w:pPr>
            <w:r w:rsidRPr="00BD04E4">
              <w:rPr>
                <w:sz w:val="20"/>
                <w:szCs w:val="20"/>
              </w:rPr>
              <w:t>10.0</w:t>
            </w:r>
          </w:p>
        </w:tc>
        <w:tc>
          <w:tcPr>
            <w:tcW w:w="990" w:type="dxa"/>
          </w:tcPr>
          <w:p w:rsidR="004F7775" w:rsidRPr="00BD04E4" w:rsidRDefault="004F7775">
            <w:pPr>
              <w:jc w:val="right"/>
              <w:rPr>
                <w:sz w:val="20"/>
                <w:szCs w:val="20"/>
              </w:rPr>
            </w:pPr>
            <w:r w:rsidRPr="00BD04E4">
              <w:rPr>
                <w:sz w:val="20"/>
                <w:szCs w:val="20"/>
              </w:rPr>
              <w:t>1.02</w:t>
            </w:r>
          </w:p>
        </w:tc>
        <w:tc>
          <w:tcPr>
            <w:tcW w:w="1084" w:type="dxa"/>
          </w:tcPr>
          <w:p w:rsidR="004F7775" w:rsidRPr="00BD04E4" w:rsidRDefault="004F7775" w:rsidP="004F7775">
            <w:pPr>
              <w:jc w:val="right"/>
              <w:rPr>
                <w:sz w:val="20"/>
                <w:szCs w:val="20"/>
              </w:rPr>
            </w:pPr>
            <w:r w:rsidRPr="00BD04E4">
              <w:rPr>
                <w:sz w:val="20"/>
                <w:szCs w:val="20"/>
              </w:rPr>
              <w:t>9.20</w:t>
            </w:r>
            <w:r>
              <w:rPr>
                <w:sz w:val="20"/>
                <w:szCs w:val="20"/>
                <w:vertAlign w:val="superscript"/>
              </w:rPr>
              <w:t>b</w:t>
            </w:r>
          </w:p>
        </w:tc>
        <w:tc>
          <w:tcPr>
            <w:tcW w:w="1179" w:type="dxa"/>
          </w:tcPr>
          <w:p w:rsidR="004F7775" w:rsidRPr="00BD04E4" w:rsidRDefault="004F7775" w:rsidP="004F7775">
            <w:pPr>
              <w:jc w:val="right"/>
              <w:rPr>
                <w:sz w:val="20"/>
                <w:szCs w:val="20"/>
              </w:rPr>
            </w:pPr>
            <w:r w:rsidRPr="00BD04E4">
              <w:rPr>
                <w:sz w:val="20"/>
                <w:szCs w:val="20"/>
              </w:rPr>
              <w:t>10.0</w:t>
            </w:r>
            <w:r w:rsidRPr="004F7775">
              <w:rPr>
                <w:sz w:val="20"/>
                <w:szCs w:val="20"/>
                <w:vertAlign w:val="superscript"/>
              </w:rPr>
              <w:t>b</w:t>
            </w:r>
          </w:p>
        </w:tc>
        <w:tc>
          <w:tcPr>
            <w:tcW w:w="928" w:type="dxa"/>
          </w:tcPr>
          <w:p w:rsidR="004F7775" w:rsidRPr="00BD04E4" w:rsidRDefault="004F7775">
            <w:pPr>
              <w:jc w:val="right"/>
              <w:rPr>
                <w:sz w:val="20"/>
                <w:szCs w:val="20"/>
              </w:rPr>
            </w:pPr>
            <w:r w:rsidRPr="00BD04E4">
              <w:rPr>
                <w:sz w:val="20"/>
                <w:szCs w:val="20"/>
              </w:rPr>
              <w:t>1.44</w:t>
            </w:r>
          </w:p>
        </w:tc>
      </w:tr>
      <w:tr w:rsidR="004F7775" w:rsidRPr="00BD04E4">
        <w:trPr>
          <w:jc w:val="center"/>
        </w:trPr>
        <w:tc>
          <w:tcPr>
            <w:tcW w:w="2348" w:type="dxa"/>
          </w:tcPr>
          <w:p w:rsidR="004F7775" w:rsidRPr="00BD04E4" w:rsidRDefault="004F7775">
            <w:pPr>
              <w:rPr>
                <w:sz w:val="20"/>
                <w:szCs w:val="20"/>
              </w:rPr>
            </w:pPr>
            <w:r w:rsidRPr="00BD04E4">
              <w:rPr>
                <w:sz w:val="20"/>
                <w:szCs w:val="20"/>
              </w:rPr>
              <w:t>Experience</w:t>
            </w:r>
          </w:p>
        </w:tc>
        <w:tc>
          <w:tcPr>
            <w:tcW w:w="833" w:type="dxa"/>
          </w:tcPr>
          <w:p w:rsidR="004F7775" w:rsidRPr="00BD04E4" w:rsidRDefault="004F7775">
            <w:pPr>
              <w:jc w:val="right"/>
              <w:rPr>
                <w:sz w:val="20"/>
                <w:szCs w:val="20"/>
              </w:rPr>
            </w:pPr>
            <w:r w:rsidRPr="00BD04E4">
              <w:rPr>
                <w:sz w:val="20"/>
                <w:szCs w:val="20"/>
              </w:rPr>
              <w:t>7.83</w:t>
            </w:r>
          </w:p>
        </w:tc>
        <w:tc>
          <w:tcPr>
            <w:tcW w:w="990" w:type="dxa"/>
          </w:tcPr>
          <w:p w:rsidR="004F7775" w:rsidRPr="00BD04E4" w:rsidRDefault="004F7775">
            <w:pPr>
              <w:jc w:val="right"/>
              <w:rPr>
                <w:sz w:val="20"/>
                <w:szCs w:val="20"/>
              </w:rPr>
            </w:pPr>
            <w:r w:rsidRPr="00BD04E4">
              <w:rPr>
                <w:sz w:val="20"/>
                <w:szCs w:val="20"/>
              </w:rPr>
              <w:t>7.00</w:t>
            </w:r>
          </w:p>
        </w:tc>
        <w:tc>
          <w:tcPr>
            <w:tcW w:w="990" w:type="dxa"/>
          </w:tcPr>
          <w:p w:rsidR="004F7775" w:rsidRPr="00BD04E4" w:rsidRDefault="004F7775">
            <w:pPr>
              <w:jc w:val="right"/>
              <w:rPr>
                <w:sz w:val="20"/>
                <w:szCs w:val="20"/>
              </w:rPr>
            </w:pPr>
            <w:r w:rsidRPr="00BD04E4">
              <w:rPr>
                <w:sz w:val="20"/>
                <w:szCs w:val="20"/>
              </w:rPr>
              <w:t>4.65</w:t>
            </w:r>
          </w:p>
        </w:tc>
        <w:tc>
          <w:tcPr>
            <w:tcW w:w="1084" w:type="dxa"/>
          </w:tcPr>
          <w:p w:rsidR="004F7775" w:rsidRPr="00BD04E4" w:rsidRDefault="004F7775" w:rsidP="004F7775">
            <w:pPr>
              <w:jc w:val="right"/>
              <w:rPr>
                <w:sz w:val="20"/>
                <w:szCs w:val="20"/>
              </w:rPr>
            </w:pPr>
            <w:r w:rsidRPr="00BD04E4">
              <w:rPr>
                <w:sz w:val="20"/>
                <w:szCs w:val="20"/>
              </w:rPr>
              <w:t>6.33</w:t>
            </w:r>
            <w:r w:rsidRPr="004F7775">
              <w:rPr>
                <w:sz w:val="20"/>
                <w:szCs w:val="20"/>
                <w:vertAlign w:val="superscript"/>
              </w:rPr>
              <w:t>b</w:t>
            </w:r>
          </w:p>
        </w:tc>
        <w:tc>
          <w:tcPr>
            <w:tcW w:w="1179" w:type="dxa"/>
          </w:tcPr>
          <w:p w:rsidR="004F7775" w:rsidRPr="00BD04E4" w:rsidRDefault="004F7775" w:rsidP="004F7775">
            <w:pPr>
              <w:jc w:val="right"/>
              <w:rPr>
                <w:sz w:val="20"/>
                <w:szCs w:val="20"/>
              </w:rPr>
            </w:pPr>
            <w:r w:rsidRPr="00BD04E4">
              <w:rPr>
                <w:sz w:val="20"/>
                <w:szCs w:val="20"/>
              </w:rPr>
              <w:t>5.00</w:t>
            </w:r>
            <w:r>
              <w:rPr>
                <w:sz w:val="20"/>
                <w:szCs w:val="20"/>
                <w:vertAlign w:val="superscript"/>
              </w:rPr>
              <w:t>b</w:t>
            </w:r>
          </w:p>
        </w:tc>
        <w:tc>
          <w:tcPr>
            <w:tcW w:w="928" w:type="dxa"/>
          </w:tcPr>
          <w:p w:rsidR="004F7775" w:rsidRPr="00BD04E4" w:rsidRDefault="004F7775">
            <w:pPr>
              <w:jc w:val="right"/>
              <w:rPr>
                <w:sz w:val="20"/>
                <w:szCs w:val="20"/>
              </w:rPr>
            </w:pPr>
            <w:r w:rsidRPr="00BD04E4">
              <w:rPr>
                <w:sz w:val="20"/>
                <w:szCs w:val="20"/>
              </w:rPr>
              <w:t>4.73</w:t>
            </w:r>
          </w:p>
        </w:tc>
      </w:tr>
      <w:tr w:rsidR="004F7775" w:rsidRPr="00BD04E4">
        <w:trPr>
          <w:jc w:val="center"/>
        </w:trPr>
        <w:tc>
          <w:tcPr>
            <w:tcW w:w="2348" w:type="dxa"/>
          </w:tcPr>
          <w:p w:rsidR="004F7775" w:rsidRPr="00BD04E4" w:rsidRDefault="004F7775">
            <w:pPr>
              <w:rPr>
                <w:sz w:val="20"/>
                <w:szCs w:val="20"/>
              </w:rPr>
            </w:pPr>
            <w:r w:rsidRPr="00BD04E4">
              <w:rPr>
                <w:sz w:val="20"/>
                <w:szCs w:val="20"/>
              </w:rPr>
              <w:t>Complexity</w:t>
            </w:r>
          </w:p>
        </w:tc>
        <w:tc>
          <w:tcPr>
            <w:tcW w:w="833" w:type="dxa"/>
          </w:tcPr>
          <w:p w:rsidR="004F7775" w:rsidRPr="00BD04E4" w:rsidRDefault="004F7775">
            <w:pPr>
              <w:jc w:val="right"/>
              <w:rPr>
                <w:sz w:val="20"/>
                <w:szCs w:val="20"/>
              </w:rPr>
            </w:pPr>
            <w:r w:rsidRPr="00BD04E4">
              <w:rPr>
                <w:sz w:val="20"/>
                <w:szCs w:val="20"/>
              </w:rPr>
              <w:t>21.9</w:t>
            </w:r>
          </w:p>
        </w:tc>
        <w:tc>
          <w:tcPr>
            <w:tcW w:w="990" w:type="dxa"/>
          </w:tcPr>
          <w:p w:rsidR="004F7775" w:rsidRPr="00BD04E4" w:rsidRDefault="004F7775">
            <w:pPr>
              <w:jc w:val="right"/>
              <w:rPr>
                <w:sz w:val="20"/>
                <w:szCs w:val="20"/>
              </w:rPr>
            </w:pPr>
            <w:r w:rsidRPr="00BD04E4">
              <w:rPr>
                <w:sz w:val="20"/>
                <w:szCs w:val="20"/>
              </w:rPr>
              <w:t>19.0</w:t>
            </w:r>
          </w:p>
        </w:tc>
        <w:tc>
          <w:tcPr>
            <w:tcW w:w="990" w:type="dxa"/>
          </w:tcPr>
          <w:p w:rsidR="004F7775" w:rsidRPr="00BD04E4" w:rsidRDefault="004F7775">
            <w:pPr>
              <w:jc w:val="right"/>
              <w:rPr>
                <w:sz w:val="20"/>
                <w:szCs w:val="20"/>
              </w:rPr>
            </w:pPr>
            <w:r w:rsidRPr="00BD04E4">
              <w:rPr>
                <w:sz w:val="20"/>
                <w:szCs w:val="20"/>
              </w:rPr>
              <w:t>11.7</w:t>
            </w:r>
          </w:p>
        </w:tc>
        <w:tc>
          <w:tcPr>
            <w:tcW w:w="1084" w:type="dxa"/>
          </w:tcPr>
          <w:p w:rsidR="004F7775" w:rsidRPr="00BD04E4" w:rsidRDefault="004F7775" w:rsidP="004F7775">
            <w:pPr>
              <w:jc w:val="right"/>
              <w:rPr>
                <w:sz w:val="20"/>
                <w:szCs w:val="20"/>
              </w:rPr>
            </w:pPr>
            <w:r w:rsidRPr="00BD04E4">
              <w:rPr>
                <w:sz w:val="20"/>
                <w:szCs w:val="20"/>
              </w:rPr>
              <w:t>15.1</w:t>
            </w:r>
            <w:r>
              <w:rPr>
                <w:sz w:val="20"/>
                <w:szCs w:val="20"/>
                <w:vertAlign w:val="superscript"/>
              </w:rPr>
              <w:t>b</w:t>
            </w:r>
          </w:p>
        </w:tc>
        <w:tc>
          <w:tcPr>
            <w:tcW w:w="1179" w:type="dxa"/>
          </w:tcPr>
          <w:p w:rsidR="004F7775" w:rsidRPr="00BD04E4" w:rsidRDefault="004F7775" w:rsidP="004F7775">
            <w:pPr>
              <w:jc w:val="right"/>
              <w:rPr>
                <w:sz w:val="20"/>
                <w:szCs w:val="20"/>
              </w:rPr>
            </w:pPr>
            <w:r w:rsidRPr="00BD04E4">
              <w:rPr>
                <w:sz w:val="20"/>
                <w:szCs w:val="20"/>
              </w:rPr>
              <w:t>14</w:t>
            </w:r>
            <w:r w:rsidRPr="004F7775">
              <w:rPr>
                <w:sz w:val="20"/>
                <w:szCs w:val="20"/>
                <w:vertAlign w:val="superscript"/>
              </w:rPr>
              <w:t>b</w:t>
            </w:r>
          </w:p>
        </w:tc>
        <w:tc>
          <w:tcPr>
            <w:tcW w:w="928" w:type="dxa"/>
          </w:tcPr>
          <w:p w:rsidR="004F7775" w:rsidRPr="00BD04E4" w:rsidRDefault="004F7775">
            <w:pPr>
              <w:jc w:val="right"/>
              <w:rPr>
                <w:sz w:val="20"/>
                <w:szCs w:val="20"/>
              </w:rPr>
            </w:pPr>
            <w:r w:rsidRPr="00BD04E4">
              <w:rPr>
                <w:sz w:val="20"/>
                <w:szCs w:val="20"/>
              </w:rPr>
              <w:t>8.10</w:t>
            </w:r>
          </w:p>
        </w:tc>
      </w:tr>
      <w:tr w:rsidR="004F7775" w:rsidRPr="00BD04E4">
        <w:trPr>
          <w:jc w:val="center"/>
        </w:trPr>
        <w:tc>
          <w:tcPr>
            <w:tcW w:w="2348" w:type="dxa"/>
          </w:tcPr>
          <w:p w:rsidR="004F7775" w:rsidRPr="00BD04E4" w:rsidRDefault="004F7775">
            <w:pPr>
              <w:rPr>
                <w:sz w:val="20"/>
                <w:szCs w:val="20"/>
              </w:rPr>
            </w:pPr>
            <w:r w:rsidRPr="00BD04E4">
              <w:rPr>
                <w:sz w:val="20"/>
                <w:szCs w:val="20"/>
              </w:rPr>
              <w:t>Disclose Ownership</w:t>
            </w:r>
          </w:p>
        </w:tc>
        <w:tc>
          <w:tcPr>
            <w:tcW w:w="833" w:type="dxa"/>
          </w:tcPr>
          <w:p w:rsidR="004F7775" w:rsidRPr="00BD04E4" w:rsidRDefault="004F7775">
            <w:pPr>
              <w:jc w:val="right"/>
              <w:rPr>
                <w:sz w:val="20"/>
                <w:szCs w:val="20"/>
              </w:rPr>
            </w:pPr>
            <w:r w:rsidRPr="00BD04E4">
              <w:rPr>
                <w:sz w:val="20"/>
                <w:szCs w:val="20"/>
              </w:rPr>
              <w:t>0.195</w:t>
            </w:r>
          </w:p>
        </w:tc>
        <w:tc>
          <w:tcPr>
            <w:tcW w:w="990" w:type="dxa"/>
          </w:tcPr>
          <w:p w:rsidR="004F7775" w:rsidRPr="00BD04E4" w:rsidRDefault="004F7775">
            <w:pPr>
              <w:jc w:val="right"/>
              <w:rPr>
                <w:sz w:val="20"/>
                <w:szCs w:val="20"/>
              </w:rPr>
            </w:pPr>
            <w:r w:rsidRPr="00BD04E4">
              <w:rPr>
                <w:sz w:val="20"/>
                <w:szCs w:val="20"/>
              </w:rPr>
              <w:t>0.00</w:t>
            </w:r>
          </w:p>
        </w:tc>
        <w:tc>
          <w:tcPr>
            <w:tcW w:w="990" w:type="dxa"/>
          </w:tcPr>
          <w:p w:rsidR="004F7775" w:rsidRPr="00BD04E4" w:rsidRDefault="004F7775">
            <w:pPr>
              <w:jc w:val="right"/>
              <w:rPr>
                <w:sz w:val="20"/>
                <w:szCs w:val="20"/>
              </w:rPr>
            </w:pPr>
            <w:r w:rsidRPr="00BD04E4">
              <w:rPr>
                <w:sz w:val="20"/>
                <w:szCs w:val="20"/>
              </w:rPr>
              <w:t>0.397</w:t>
            </w:r>
          </w:p>
        </w:tc>
        <w:tc>
          <w:tcPr>
            <w:tcW w:w="1084" w:type="dxa"/>
          </w:tcPr>
          <w:p w:rsidR="004F7775" w:rsidRPr="00BD04E4" w:rsidRDefault="004F7775" w:rsidP="004F7775">
            <w:pPr>
              <w:jc w:val="right"/>
              <w:rPr>
                <w:sz w:val="20"/>
                <w:szCs w:val="20"/>
              </w:rPr>
            </w:pPr>
            <w:r w:rsidRPr="00BD04E4">
              <w:rPr>
                <w:sz w:val="20"/>
                <w:szCs w:val="20"/>
              </w:rPr>
              <w:t>0.000</w:t>
            </w:r>
            <w:r>
              <w:rPr>
                <w:sz w:val="20"/>
                <w:szCs w:val="20"/>
                <w:vertAlign w:val="superscript"/>
              </w:rPr>
              <w:t>b</w:t>
            </w:r>
          </w:p>
        </w:tc>
        <w:tc>
          <w:tcPr>
            <w:tcW w:w="1179" w:type="dxa"/>
          </w:tcPr>
          <w:p w:rsidR="004F7775" w:rsidRPr="00BD04E4" w:rsidRDefault="004F7775" w:rsidP="004F7775">
            <w:pPr>
              <w:jc w:val="right"/>
              <w:rPr>
                <w:sz w:val="20"/>
                <w:szCs w:val="20"/>
              </w:rPr>
            </w:pPr>
            <w:r w:rsidRPr="00BD04E4">
              <w:rPr>
                <w:sz w:val="20"/>
                <w:szCs w:val="20"/>
              </w:rPr>
              <w:t>0.00</w:t>
            </w:r>
            <w:r w:rsidRPr="004F7775">
              <w:rPr>
                <w:sz w:val="20"/>
                <w:szCs w:val="20"/>
                <w:vertAlign w:val="superscript"/>
              </w:rPr>
              <w:t>b</w:t>
            </w:r>
          </w:p>
        </w:tc>
        <w:tc>
          <w:tcPr>
            <w:tcW w:w="928" w:type="dxa"/>
          </w:tcPr>
          <w:p w:rsidR="004F7775" w:rsidRPr="00BD04E4" w:rsidRDefault="004F7775">
            <w:pPr>
              <w:jc w:val="right"/>
              <w:rPr>
                <w:sz w:val="20"/>
                <w:szCs w:val="20"/>
              </w:rPr>
            </w:pPr>
            <w:r w:rsidRPr="00BD04E4">
              <w:rPr>
                <w:sz w:val="20"/>
                <w:szCs w:val="20"/>
              </w:rPr>
              <w:t>0.000</w:t>
            </w:r>
          </w:p>
        </w:tc>
      </w:tr>
      <w:tr w:rsidR="004F7775" w:rsidRPr="00BD04E4">
        <w:trPr>
          <w:jc w:val="center"/>
        </w:trPr>
        <w:tc>
          <w:tcPr>
            <w:tcW w:w="2348" w:type="dxa"/>
          </w:tcPr>
          <w:p w:rsidR="004F7775" w:rsidRPr="00BD04E4" w:rsidRDefault="004F7775">
            <w:pPr>
              <w:rPr>
                <w:sz w:val="20"/>
                <w:szCs w:val="20"/>
              </w:rPr>
            </w:pPr>
            <w:bookmarkStart w:id="7" w:name="OLE_LINK2"/>
            <w:bookmarkStart w:id="8" w:name="OLE_LINK3"/>
            <w:r w:rsidRPr="00BD04E4">
              <w:rPr>
                <w:sz w:val="20"/>
                <w:szCs w:val="20"/>
              </w:rPr>
              <w:t>Number of observations</w:t>
            </w:r>
            <w:bookmarkEnd w:id="7"/>
            <w:bookmarkEnd w:id="8"/>
          </w:p>
        </w:tc>
        <w:tc>
          <w:tcPr>
            <w:tcW w:w="833" w:type="dxa"/>
          </w:tcPr>
          <w:p w:rsidR="004F7775" w:rsidRPr="00BD04E4" w:rsidRDefault="004F7775">
            <w:pPr>
              <w:jc w:val="right"/>
              <w:rPr>
                <w:sz w:val="20"/>
                <w:szCs w:val="20"/>
              </w:rPr>
            </w:pPr>
            <w:r w:rsidRPr="00BD04E4">
              <w:rPr>
                <w:sz w:val="20"/>
                <w:szCs w:val="20"/>
              </w:rPr>
              <w:t>359</w:t>
            </w:r>
          </w:p>
        </w:tc>
        <w:tc>
          <w:tcPr>
            <w:tcW w:w="990" w:type="dxa"/>
          </w:tcPr>
          <w:p w:rsidR="004F7775" w:rsidRPr="00BD04E4" w:rsidRDefault="004F7775">
            <w:pPr>
              <w:jc w:val="right"/>
              <w:rPr>
                <w:sz w:val="20"/>
                <w:szCs w:val="20"/>
              </w:rPr>
            </w:pPr>
          </w:p>
        </w:tc>
        <w:tc>
          <w:tcPr>
            <w:tcW w:w="990" w:type="dxa"/>
          </w:tcPr>
          <w:p w:rsidR="004F7775" w:rsidRPr="00BD04E4" w:rsidRDefault="004F7775">
            <w:pPr>
              <w:jc w:val="right"/>
              <w:rPr>
                <w:sz w:val="20"/>
                <w:szCs w:val="20"/>
              </w:rPr>
            </w:pPr>
          </w:p>
        </w:tc>
        <w:tc>
          <w:tcPr>
            <w:tcW w:w="1084" w:type="dxa"/>
          </w:tcPr>
          <w:p w:rsidR="004F7775" w:rsidRPr="00BD04E4" w:rsidRDefault="004F7775" w:rsidP="00314FC3">
            <w:pPr>
              <w:jc w:val="right"/>
              <w:rPr>
                <w:sz w:val="20"/>
                <w:szCs w:val="20"/>
              </w:rPr>
            </w:pPr>
            <w:r w:rsidRPr="00BD04E4">
              <w:rPr>
                <w:sz w:val="20"/>
                <w:szCs w:val="20"/>
              </w:rPr>
              <w:t>2,812</w:t>
            </w:r>
          </w:p>
        </w:tc>
        <w:tc>
          <w:tcPr>
            <w:tcW w:w="1179" w:type="dxa"/>
          </w:tcPr>
          <w:p w:rsidR="004F7775" w:rsidRPr="00BD04E4" w:rsidRDefault="004F7775">
            <w:pPr>
              <w:rPr>
                <w:sz w:val="20"/>
                <w:szCs w:val="20"/>
              </w:rPr>
            </w:pPr>
          </w:p>
        </w:tc>
        <w:tc>
          <w:tcPr>
            <w:tcW w:w="928" w:type="dxa"/>
          </w:tcPr>
          <w:p w:rsidR="004F7775" w:rsidRPr="00BD04E4" w:rsidRDefault="004F7775">
            <w:pPr>
              <w:jc w:val="right"/>
              <w:rPr>
                <w:sz w:val="20"/>
                <w:szCs w:val="20"/>
              </w:rPr>
            </w:pPr>
          </w:p>
        </w:tc>
      </w:tr>
    </w:tbl>
    <w:p w:rsidR="00903D89" w:rsidRPr="00BD04E4" w:rsidRDefault="00903D89"/>
    <w:p w:rsidR="0026291C" w:rsidRDefault="0026291C" w:rsidP="0026291C">
      <w:pPr>
        <w:rPr>
          <w:b/>
        </w:rPr>
      </w:pPr>
    </w:p>
    <w:p w:rsidR="0026291C" w:rsidRDefault="0026291C" w:rsidP="0026291C">
      <w:pPr>
        <w:rPr>
          <w:b/>
        </w:rPr>
      </w:pPr>
    </w:p>
    <w:p w:rsidR="0026291C" w:rsidRDefault="0026291C" w:rsidP="0026291C">
      <w:pPr>
        <w:rPr>
          <w:b/>
        </w:rPr>
      </w:pPr>
    </w:p>
    <w:p w:rsidR="0026291C" w:rsidRDefault="0026291C" w:rsidP="0026291C">
      <w:pPr>
        <w:rPr>
          <w:b/>
        </w:rPr>
      </w:pPr>
    </w:p>
    <w:p w:rsidR="0026291C" w:rsidRDefault="0026291C" w:rsidP="0026291C">
      <w:pPr>
        <w:rPr>
          <w:b/>
        </w:rPr>
      </w:pPr>
    </w:p>
    <w:p w:rsidR="0026291C" w:rsidRDefault="0026291C" w:rsidP="0026291C">
      <w:pPr>
        <w:rPr>
          <w:b/>
        </w:rPr>
      </w:pPr>
    </w:p>
    <w:p w:rsidR="00982C1C" w:rsidRDefault="00982C1C" w:rsidP="0026291C">
      <w:pPr>
        <w:rPr>
          <w:b/>
        </w:rPr>
      </w:pPr>
    </w:p>
    <w:p w:rsidR="00982C1C" w:rsidRDefault="00982C1C" w:rsidP="0026291C">
      <w:pPr>
        <w:rPr>
          <w:b/>
        </w:rPr>
      </w:pPr>
    </w:p>
    <w:p w:rsidR="00A65A87" w:rsidRDefault="00A65A87" w:rsidP="0026291C">
      <w:pPr>
        <w:rPr>
          <w:b/>
        </w:rPr>
      </w:pPr>
    </w:p>
    <w:p w:rsidR="009C5B6A" w:rsidRDefault="009C5B6A" w:rsidP="0026291C">
      <w:pPr>
        <w:rPr>
          <w:b/>
        </w:rPr>
      </w:pPr>
    </w:p>
    <w:p w:rsidR="009C5B6A" w:rsidRDefault="009C5B6A" w:rsidP="0026291C">
      <w:pPr>
        <w:rPr>
          <w:b/>
        </w:rPr>
      </w:pPr>
    </w:p>
    <w:p w:rsidR="0026291C" w:rsidRPr="00BD04E4" w:rsidRDefault="0026291C" w:rsidP="00E5192C">
      <w:pPr>
        <w:ind w:left="720"/>
        <w:rPr>
          <w:b/>
        </w:rPr>
      </w:pPr>
      <w:r w:rsidRPr="00BD04E4">
        <w:rPr>
          <w:b/>
        </w:rPr>
        <w:lastRenderedPageBreak/>
        <w:t xml:space="preserve">Table </w:t>
      </w:r>
      <w:r w:rsidR="00E817C9">
        <w:rPr>
          <w:b/>
        </w:rPr>
        <w:t>3</w:t>
      </w:r>
      <w:r>
        <w:rPr>
          <w:b/>
        </w:rPr>
        <w:t xml:space="preserve"> - continued</w:t>
      </w:r>
    </w:p>
    <w:p w:rsidR="0026291C" w:rsidRPr="00BD04E4" w:rsidRDefault="0026291C" w:rsidP="00E5192C">
      <w:pPr>
        <w:ind w:firstLine="720"/>
        <w:rPr>
          <w:b/>
        </w:rPr>
      </w:pPr>
      <w:r>
        <w:rPr>
          <w:b/>
        </w:rPr>
        <w:t xml:space="preserve">Earnings forecasts – </w:t>
      </w:r>
      <w:proofErr w:type="spellStart"/>
      <w:r>
        <w:rPr>
          <w:b/>
        </w:rPr>
        <w:t>univariate</w:t>
      </w:r>
      <w:proofErr w:type="spellEnd"/>
      <w:r w:rsidRPr="00BD04E4">
        <w:rPr>
          <w:b/>
        </w:rPr>
        <w:t xml:space="preserve"> </w:t>
      </w:r>
      <w:r>
        <w:rPr>
          <w:b/>
        </w:rPr>
        <w:t>s</w:t>
      </w:r>
      <w:r w:rsidRPr="00BD04E4">
        <w:rPr>
          <w:b/>
        </w:rPr>
        <w:t>tatistics</w:t>
      </w:r>
    </w:p>
    <w:p w:rsidR="00903D89" w:rsidRPr="00BD04E4" w:rsidRDefault="00903D89"/>
    <w:p w:rsidR="00903D89" w:rsidRPr="00316ED4" w:rsidRDefault="0017727A" w:rsidP="00E5192C">
      <w:pPr>
        <w:ind w:firstLine="720"/>
        <w:rPr>
          <w:b/>
          <w:sz w:val="20"/>
          <w:szCs w:val="20"/>
        </w:rPr>
      </w:pPr>
      <w:r w:rsidRPr="00316ED4">
        <w:rPr>
          <w:b/>
          <w:sz w:val="20"/>
          <w:szCs w:val="20"/>
        </w:rPr>
        <w:t>PANEL</w:t>
      </w:r>
      <w:r w:rsidR="00903D89" w:rsidRPr="00316ED4">
        <w:rPr>
          <w:b/>
          <w:sz w:val="20"/>
          <w:szCs w:val="20"/>
        </w:rPr>
        <w:t xml:space="preserve"> B– Disclosing Sample</w:t>
      </w:r>
    </w:p>
    <w:p w:rsidR="00903D89" w:rsidRPr="00BD04E4" w:rsidRDefault="00903D89"/>
    <w:p w:rsidR="00D44B70" w:rsidRPr="00D44B70" w:rsidRDefault="00903D89" w:rsidP="00D44B70">
      <w:pPr>
        <w:ind w:left="720"/>
        <w:rPr>
          <w:sz w:val="20"/>
          <w:szCs w:val="20"/>
        </w:rPr>
      </w:pPr>
      <w:r w:rsidRPr="00D44B70">
        <w:rPr>
          <w:sz w:val="20"/>
          <w:szCs w:val="20"/>
        </w:rPr>
        <w:t xml:space="preserve">Owning analysts are identified as sell-side analysts that provide research coverage on a company and disclose ownership in that same company. </w:t>
      </w:r>
      <w:r w:rsidR="00CD307D" w:rsidRPr="00D44B70">
        <w:rPr>
          <w:sz w:val="20"/>
          <w:szCs w:val="20"/>
        </w:rPr>
        <w:t xml:space="preserve"> </w:t>
      </w:r>
      <w:r w:rsidR="000B4846">
        <w:rPr>
          <w:sz w:val="20"/>
          <w:szCs w:val="20"/>
        </w:rPr>
        <w:t>These disclosing analysts are employed by</w:t>
      </w:r>
      <w:r w:rsidR="000B4846" w:rsidRPr="00410B18">
        <w:rPr>
          <w:sz w:val="20"/>
          <w:szCs w:val="20"/>
        </w:rPr>
        <w:t xml:space="preserve"> of one of the few brokerage firms that historically required such disclosures</w:t>
      </w:r>
      <w:r w:rsidR="000B4846">
        <w:rPr>
          <w:sz w:val="20"/>
          <w:szCs w:val="20"/>
        </w:rPr>
        <w:t xml:space="preserve">. </w:t>
      </w:r>
      <w:r w:rsidR="000B4846" w:rsidRPr="00D44B70">
        <w:rPr>
          <w:sz w:val="20"/>
          <w:szCs w:val="20"/>
        </w:rPr>
        <w:t xml:space="preserve"> </w:t>
      </w:r>
      <w:r w:rsidRPr="00D44B70">
        <w:rPr>
          <w:sz w:val="20"/>
          <w:szCs w:val="20"/>
        </w:rPr>
        <w:t>The sample represents forecasts issued and on IBES, during the period of</w:t>
      </w:r>
      <w:r w:rsidR="00145B0F">
        <w:rPr>
          <w:sz w:val="20"/>
          <w:szCs w:val="20"/>
        </w:rPr>
        <w:t xml:space="preserve"> ownership and for which owning-</w:t>
      </w:r>
      <w:r w:rsidRPr="00D44B70">
        <w:rPr>
          <w:sz w:val="20"/>
          <w:szCs w:val="20"/>
        </w:rPr>
        <w:t xml:space="preserve">analyst reports are available on </w:t>
      </w:r>
      <w:proofErr w:type="spellStart"/>
      <w:r w:rsidRPr="00D44B70">
        <w:rPr>
          <w:sz w:val="20"/>
          <w:szCs w:val="20"/>
        </w:rPr>
        <w:t>Investext</w:t>
      </w:r>
      <w:proofErr w:type="spellEnd"/>
      <w:r w:rsidRPr="00D44B70">
        <w:rPr>
          <w:sz w:val="20"/>
          <w:szCs w:val="20"/>
        </w:rPr>
        <w:t>.  The control sample is all other analyst forecasts for the same companies</w:t>
      </w:r>
      <w:r w:rsidR="00145B0F">
        <w:rPr>
          <w:sz w:val="20"/>
          <w:szCs w:val="20"/>
        </w:rPr>
        <w:t xml:space="preserve"> and forecast periods as owning-</w:t>
      </w:r>
      <w:r w:rsidRPr="00D44B70">
        <w:rPr>
          <w:sz w:val="20"/>
          <w:szCs w:val="20"/>
        </w:rPr>
        <w:t>analyst forecasts.</w:t>
      </w:r>
      <w:r w:rsidR="009C5B6A" w:rsidRPr="00D44B70">
        <w:rPr>
          <w:sz w:val="20"/>
          <w:szCs w:val="20"/>
        </w:rPr>
        <w:t xml:space="preserve">  </w:t>
      </w:r>
      <w:r w:rsidR="00D44B70" w:rsidRPr="00D44B70">
        <w:rPr>
          <w:b/>
          <w:sz w:val="20"/>
          <w:szCs w:val="20"/>
        </w:rPr>
        <w:t xml:space="preserve">Forecast error </w:t>
      </w:r>
      <w:r w:rsidR="00D44B70" w:rsidRPr="00D44B70">
        <w:rPr>
          <w:sz w:val="20"/>
          <w:szCs w:val="20"/>
        </w:rPr>
        <w:t xml:space="preserve">is actual earnings for the quarter less the analyst’s earnings forecast all deflated by lagged stock price.  </w:t>
      </w:r>
      <w:r w:rsidR="00D44B70" w:rsidRPr="00D44B70">
        <w:rPr>
          <w:b/>
          <w:sz w:val="20"/>
          <w:szCs w:val="20"/>
        </w:rPr>
        <w:t>Forecast age</w:t>
      </w:r>
      <w:r w:rsidR="00D44B70" w:rsidRPr="00D44B70">
        <w:rPr>
          <w:sz w:val="20"/>
          <w:szCs w:val="20"/>
        </w:rPr>
        <w:t xml:space="preserve"> is the difference, in days, between the date of the analyst’s forecast and the company’s actual earnings announcement.  </w:t>
      </w:r>
      <w:r w:rsidR="00D44B70" w:rsidRPr="00D44B70">
        <w:rPr>
          <w:b/>
          <w:sz w:val="20"/>
          <w:szCs w:val="20"/>
        </w:rPr>
        <w:t xml:space="preserve">IPO Underwriter </w:t>
      </w:r>
      <w:r w:rsidR="00D44B70" w:rsidRPr="00D44B70">
        <w:rPr>
          <w:sz w:val="20"/>
          <w:szCs w:val="20"/>
        </w:rPr>
        <w:t>is a</w:t>
      </w:r>
      <w:r w:rsidR="00D44B70" w:rsidRPr="00D44B70">
        <w:rPr>
          <w:b/>
          <w:sz w:val="20"/>
          <w:szCs w:val="20"/>
        </w:rPr>
        <w:t xml:space="preserve"> </w:t>
      </w:r>
      <w:r w:rsidR="00D44B70" w:rsidRPr="00D44B70">
        <w:rPr>
          <w:sz w:val="20"/>
          <w:szCs w:val="20"/>
        </w:rPr>
        <w:t xml:space="preserve">dummy variable indicating whether the analyst's brokerage firm is the IPO lead underwriter and the analyst report is issued within one year after the IPO.  </w:t>
      </w:r>
      <w:r w:rsidR="00D44B70" w:rsidRPr="00D44B70">
        <w:rPr>
          <w:b/>
          <w:sz w:val="20"/>
          <w:szCs w:val="20"/>
        </w:rPr>
        <w:t xml:space="preserve">IPO Co-manager </w:t>
      </w:r>
      <w:r w:rsidR="00D44B70" w:rsidRPr="00D44B70">
        <w:rPr>
          <w:sz w:val="20"/>
          <w:szCs w:val="20"/>
        </w:rPr>
        <w:t xml:space="preserve">is defined in the same way.  </w:t>
      </w:r>
      <w:r w:rsidR="00D44B70" w:rsidRPr="00D44B70">
        <w:rPr>
          <w:b/>
          <w:sz w:val="20"/>
          <w:szCs w:val="20"/>
        </w:rPr>
        <w:t xml:space="preserve">SEO Underwriter </w:t>
      </w:r>
      <w:r w:rsidR="00D44B70" w:rsidRPr="00D44B70">
        <w:rPr>
          <w:sz w:val="20"/>
          <w:szCs w:val="20"/>
        </w:rPr>
        <w:t xml:space="preserve">is a dummy variable indicating whether the analyst's brokerage firm is the SEO lead underwriter and the analyst report is issued within six months before and one year after the SEO.  </w:t>
      </w:r>
      <w:r w:rsidR="00D44B70" w:rsidRPr="00D44B70">
        <w:rPr>
          <w:b/>
          <w:sz w:val="20"/>
          <w:szCs w:val="20"/>
        </w:rPr>
        <w:t>SEO Co-manager</w:t>
      </w:r>
      <w:r w:rsidR="00D44B70" w:rsidRPr="00D44B70">
        <w:rPr>
          <w:sz w:val="20"/>
          <w:szCs w:val="20"/>
        </w:rPr>
        <w:t xml:space="preserve"> is defined the same way.  </w:t>
      </w:r>
      <w:r w:rsidR="00D44B70" w:rsidRPr="00D44B70">
        <w:rPr>
          <w:b/>
          <w:sz w:val="20"/>
          <w:szCs w:val="20"/>
        </w:rPr>
        <w:t xml:space="preserve">Broker </w:t>
      </w:r>
      <w:proofErr w:type="spellStart"/>
      <w:r w:rsidR="00D44B70" w:rsidRPr="00D44B70">
        <w:rPr>
          <w:b/>
          <w:sz w:val="20"/>
          <w:szCs w:val="20"/>
        </w:rPr>
        <w:t>Decile</w:t>
      </w:r>
      <w:proofErr w:type="spellEnd"/>
      <w:r w:rsidR="00D44B70" w:rsidRPr="00D44B70">
        <w:rPr>
          <w:b/>
          <w:sz w:val="20"/>
          <w:szCs w:val="20"/>
        </w:rPr>
        <w:t xml:space="preserve"> </w:t>
      </w:r>
      <w:r w:rsidR="00D44B70" w:rsidRPr="00D44B70">
        <w:rPr>
          <w:sz w:val="20"/>
          <w:szCs w:val="20"/>
        </w:rPr>
        <w:t xml:space="preserve">is a </w:t>
      </w:r>
      <w:proofErr w:type="spellStart"/>
      <w:r w:rsidR="00D44B70" w:rsidRPr="00D44B70">
        <w:rPr>
          <w:sz w:val="20"/>
          <w:szCs w:val="20"/>
        </w:rPr>
        <w:t>decile</w:t>
      </w:r>
      <w:proofErr w:type="spellEnd"/>
      <w:r w:rsidR="00D44B70" w:rsidRPr="00D44B70">
        <w:rPr>
          <w:sz w:val="20"/>
          <w:szCs w:val="20"/>
        </w:rPr>
        <w:t xml:space="preserve"> size ranking of</w:t>
      </w:r>
      <w:r w:rsidR="00D44B70" w:rsidRPr="00D44B70">
        <w:rPr>
          <w:b/>
          <w:sz w:val="20"/>
          <w:szCs w:val="20"/>
        </w:rPr>
        <w:t xml:space="preserve"> </w:t>
      </w:r>
      <w:r w:rsidR="00D44B70" w:rsidRPr="00D44B70">
        <w:rPr>
          <w:sz w:val="20"/>
          <w:szCs w:val="20"/>
        </w:rPr>
        <w:t>the analyst’s</w:t>
      </w:r>
      <w:r w:rsidR="00D44B70" w:rsidRPr="00D44B70">
        <w:rPr>
          <w:b/>
          <w:sz w:val="20"/>
          <w:szCs w:val="20"/>
        </w:rPr>
        <w:t xml:space="preserve"> </w:t>
      </w:r>
      <w:r w:rsidR="00D44B70" w:rsidRPr="00D44B70">
        <w:rPr>
          <w:sz w:val="20"/>
          <w:szCs w:val="20"/>
        </w:rPr>
        <w:t xml:space="preserve">brokerage firm, computed annually, </w:t>
      </w:r>
      <w:r w:rsidR="00563454" w:rsidRPr="00D44B70">
        <w:rPr>
          <w:sz w:val="20"/>
          <w:szCs w:val="20"/>
        </w:rPr>
        <w:t>and based</w:t>
      </w:r>
      <w:r w:rsidR="00D44B70" w:rsidRPr="00D44B70">
        <w:rPr>
          <w:sz w:val="20"/>
          <w:szCs w:val="20"/>
        </w:rPr>
        <w:t xml:space="preserve"> on the number of analysts at each brokerage firm as reported by IBES.  </w:t>
      </w:r>
      <w:r w:rsidR="00D44B70" w:rsidRPr="00D44B70">
        <w:rPr>
          <w:b/>
          <w:sz w:val="20"/>
          <w:szCs w:val="20"/>
        </w:rPr>
        <w:t>Experience</w:t>
      </w:r>
      <w:r w:rsidR="00D44B70" w:rsidRPr="00D44B70">
        <w:rPr>
          <w:sz w:val="20"/>
          <w:szCs w:val="20"/>
        </w:rPr>
        <w:t xml:space="preserve"> is a measure of analyst tenure as a sell-side analyst, as of the current year (years in the IBES database is the proxy).  </w:t>
      </w:r>
      <w:r w:rsidR="00D44B70" w:rsidRPr="00D44B70">
        <w:rPr>
          <w:b/>
          <w:sz w:val="20"/>
          <w:szCs w:val="20"/>
        </w:rPr>
        <w:t xml:space="preserve">Complexity </w:t>
      </w:r>
      <w:r w:rsidR="00D44B70" w:rsidRPr="00D44B70">
        <w:rPr>
          <w:sz w:val="20"/>
          <w:szCs w:val="20"/>
        </w:rPr>
        <w:t>is the number of companies the analyst covers during the year.</w:t>
      </w:r>
    </w:p>
    <w:p w:rsidR="00903D89" w:rsidRPr="00BD04E4" w:rsidRDefault="00903D89"/>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8"/>
        <w:gridCol w:w="824"/>
        <w:gridCol w:w="970"/>
        <w:gridCol w:w="984"/>
        <w:gridCol w:w="1299"/>
        <w:gridCol w:w="1477"/>
        <w:gridCol w:w="920"/>
      </w:tblGrid>
      <w:tr w:rsidR="00903D89" w:rsidRPr="00BD04E4">
        <w:trPr>
          <w:jc w:val="center"/>
        </w:trPr>
        <w:tc>
          <w:tcPr>
            <w:tcW w:w="1878" w:type="dxa"/>
          </w:tcPr>
          <w:p w:rsidR="00903D89" w:rsidRPr="00BD04E4" w:rsidRDefault="00903D89">
            <w:pPr>
              <w:rPr>
                <w:sz w:val="20"/>
                <w:szCs w:val="20"/>
              </w:rPr>
            </w:pPr>
          </w:p>
        </w:tc>
        <w:tc>
          <w:tcPr>
            <w:tcW w:w="2778" w:type="dxa"/>
            <w:gridSpan w:val="3"/>
          </w:tcPr>
          <w:p w:rsidR="00903D89" w:rsidRPr="00BD04E4" w:rsidRDefault="00903D89">
            <w:pPr>
              <w:jc w:val="center"/>
              <w:rPr>
                <w:b/>
                <w:sz w:val="20"/>
                <w:szCs w:val="20"/>
              </w:rPr>
            </w:pPr>
            <w:r w:rsidRPr="00BD04E4">
              <w:rPr>
                <w:b/>
                <w:sz w:val="20"/>
                <w:szCs w:val="20"/>
              </w:rPr>
              <w:t>Owner Sample</w:t>
            </w:r>
          </w:p>
        </w:tc>
        <w:tc>
          <w:tcPr>
            <w:tcW w:w="3696" w:type="dxa"/>
            <w:gridSpan w:val="3"/>
          </w:tcPr>
          <w:p w:rsidR="00903D89" w:rsidRPr="00BD04E4" w:rsidRDefault="00903D89">
            <w:pPr>
              <w:jc w:val="center"/>
              <w:rPr>
                <w:b/>
                <w:sz w:val="20"/>
                <w:szCs w:val="20"/>
              </w:rPr>
            </w:pPr>
            <w:r w:rsidRPr="00BD04E4">
              <w:rPr>
                <w:b/>
                <w:sz w:val="20"/>
                <w:szCs w:val="20"/>
              </w:rPr>
              <w:t>Control Sample</w:t>
            </w:r>
          </w:p>
        </w:tc>
      </w:tr>
      <w:tr w:rsidR="00314FC3" w:rsidRPr="00BD04E4">
        <w:trPr>
          <w:jc w:val="center"/>
        </w:trPr>
        <w:tc>
          <w:tcPr>
            <w:tcW w:w="1878" w:type="dxa"/>
          </w:tcPr>
          <w:p w:rsidR="00314FC3" w:rsidRPr="00BD04E4" w:rsidRDefault="00314FC3">
            <w:pPr>
              <w:rPr>
                <w:sz w:val="20"/>
                <w:szCs w:val="20"/>
              </w:rPr>
            </w:pPr>
          </w:p>
        </w:tc>
        <w:tc>
          <w:tcPr>
            <w:tcW w:w="824" w:type="dxa"/>
          </w:tcPr>
          <w:p w:rsidR="00314FC3" w:rsidRPr="00BD04E4" w:rsidRDefault="00314FC3">
            <w:pPr>
              <w:jc w:val="center"/>
              <w:rPr>
                <w:b/>
                <w:sz w:val="20"/>
                <w:szCs w:val="20"/>
              </w:rPr>
            </w:pPr>
            <w:r w:rsidRPr="00BD04E4">
              <w:rPr>
                <w:b/>
                <w:sz w:val="20"/>
                <w:szCs w:val="20"/>
              </w:rPr>
              <w:t>Mean</w:t>
            </w:r>
          </w:p>
        </w:tc>
        <w:tc>
          <w:tcPr>
            <w:tcW w:w="970" w:type="dxa"/>
          </w:tcPr>
          <w:p w:rsidR="00314FC3" w:rsidRPr="00BD04E4" w:rsidRDefault="00314FC3">
            <w:pPr>
              <w:jc w:val="center"/>
              <w:rPr>
                <w:b/>
                <w:sz w:val="20"/>
                <w:szCs w:val="20"/>
              </w:rPr>
            </w:pPr>
            <w:r w:rsidRPr="00BD04E4">
              <w:rPr>
                <w:b/>
                <w:sz w:val="20"/>
                <w:szCs w:val="20"/>
              </w:rPr>
              <w:t>Median</w:t>
            </w:r>
          </w:p>
        </w:tc>
        <w:tc>
          <w:tcPr>
            <w:tcW w:w="984" w:type="dxa"/>
          </w:tcPr>
          <w:p w:rsidR="00314FC3" w:rsidRPr="00BD04E4" w:rsidRDefault="00314FC3">
            <w:pPr>
              <w:jc w:val="center"/>
              <w:rPr>
                <w:b/>
                <w:sz w:val="20"/>
                <w:szCs w:val="20"/>
              </w:rPr>
            </w:pPr>
            <w:r w:rsidRPr="00BD04E4">
              <w:rPr>
                <w:b/>
                <w:sz w:val="20"/>
                <w:szCs w:val="20"/>
              </w:rPr>
              <w:t>Std Dev.</w:t>
            </w:r>
          </w:p>
        </w:tc>
        <w:tc>
          <w:tcPr>
            <w:tcW w:w="1299" w:type="dxa"/>
          </w:tcPr>
          <w:p w:rsidR="00314FC3" w:rsidRPr="00BD04E4" w:rsidRDefault="00314FC3" w:rsidP="00314FC3">
            <w:pPr>
              <w:jc w:val="center"/>
              <w:rPr>
                <w:sz w:val="20"/>
                <w:szCs w:val="20"/>
              </w:rPr>
            </w:pPr>
            <w:r w:rsidRPr="00BD04E4">
              <w:rPr>
                <w:b/>
                <w:sz w:val="20"/>
                <w:szCs w:val="20"/>
              </w:rPr>
              <w:t>Mean</w:t>
            </w:r>
          </w:p>
        </w:tc>
        <w:tc>
          <w:tcPr>
            <w:tcW w:w="1477" w:type="dxa"/>
          </w:tcPr>
          <w:p w:rsidR="00314FC3" w:rsidRPr="00BD04E4" w:rsidRDefault="00314FC3" w:rsidP="00314FC3">
            <w:pPr>
              <w:jc w:val="center"/>
              <w:rPr>
                <w:sz w:val="20"/>
                <w:szCs w:val="20"/>
              </w:rPr>
            </w:pPr>
            <w:r w:rsidRPr="00BD04E4">
              <w:rPr>
                <w:b/>
                <w:sz w:val="20"/>
                <w:szCs w:val="20"/>
              </w:rPr>
              <w:t>Median</w:t>
            </w:r>
          </w:p>
        </w:tc>
        <w:tc>
          <w:tcPr>
            <w:tcW w:w="920" w:type="dxa"/>
          </w:tcPr>
          <w:p w:rsidR="00314FC3" w:rsidRPr="00BD04E4" w:rsidRDefault="00314FC3">
            <w:pPr>
              <w:rPr>
                <w:sz w:val="20"/>
                <w:szCs w:val="20"/>
              </w:rPr>
            </w:pPr>
            <w:r w:rsidRPr="00BD04E4">
              <w:rPr>
                <w:b/>
                <w:sz w:val="20"/>
                <w:szCs w:val="20"/>
              </w:rPr>
              <w:t>Std Dev.</w:t>
            </w:r>
          </w:p>
        </w:tc>
      </w:tr>
      <w:tr w:rsidR="00314FC3" w:rsidRPr="00BD04E4">
        <w:trPr>
          <w:jc w:val="center"/>
        </w:trPr>
        <w:tc>
          <w:tcPr>
            <w:tcW w:w="1878" w:type="dxa"/>
          </w:tcPr>
          <w:p w:rsidR="00314FC3" w:rsidRPr="00BD04E4" w:rsidRDefault="00314FC3">
            <w:pPr>
              <w:rPr>
                <w:sz w:val="20"/>
                <w:szCs w:val="20"/>
              </w:rPr>
            </w:pPr>
            <w:r w:rsidRPr="00BD04E4">
              <w:rPr>
                <w:sz w:val="20"/>
                <w:szCs w:val="20"/>
              </w:rPr>
              <w:t>Forecast Error</w:t>
            </w:r>
          </w:p>
        </w:tc>
        <w:tc>
          <w:tcPr>
            <w:tcW w:w="824" w:type="dxa"/>
          </w:tcPr>
          <w:p w:rsidR="00314FC3" w:rsidRPr="00BD04E4" w:rsidRDefault="00314FC3">
            <w:pPr>
              <w:jc w:val="right"/>
              <w:rPr>
                <w:sz w:val="20"/>
                <w:szCs w:val="20"/>
              </w:rPr>
            </w:pPr>
            <w:r w:rsidRPr="00BD04E4">
              <w:rPr>
                <w:sz w:val="20"/>
                <w:szCs w:val="20"/>
              </w:rPr>
              <w:t>-0.003</w:t>
            </w:r>
          </w:p>
        </w:tc>
        <w:tc>
          <w:tcPr>
            <w:tcW w:w="970" w:type="dxa"/>
          </w:tcPr>
          <w:p w:rsidR="00314FC3" w:rsidRPr="00BD04E4" w:rsidRDefault="00314FC3">
            <w:pPr>
              <w:jc w:val="right"/>
              <w:rPr>
                <w:sz w:val="20"/>
                <w:szCs w:val="20"/>
              </w:rPr>
            </w:pPr>
            <w:r w:rsidRPr="00BD04E4">
              <w:rPr>
                <w:sz w:val="20"/>
                <w:szCs w:val="20"/>
              </w:rPr>
              <w:t>0.000</w:t>
            </w:r>
          </w:p>
        </w:tc>
        <w:tc>
          <w:tcPr>
            <w:tcW w:w="984" w:type="dxa"/>
          </w:tcPr>
          <w:p w:rsidR="00314FC3" w:rsidRPr="00BD04E4" w:rsidRDefault="00314FC3">
            <w:pPr>
              <w:jc w:val="right"/>
              <w:rPr>
                <w:sz w:val="20"/>
                <w:szCs w:val="20"/>
              </w:rPr>
            </w:pPr>
            <w:r w:rsidRPr="00BD04E4">
              <w:rPr>
                <w:sz w:val="20"/>
                <w:szCs w:val="20"/>
              </w:rPr>
              <w:t>0.008</w:t>
            </w:r>
          </w:p>
        </w:tc>
        <w:tc>
          <w:tcPr>
            <w:tcW w:w="1299" w:type="dxa"/>
          </w:tcPr>
          <w:p w:rsidR="00314FC3" w:rsidRPr="00BD04E4" w:rsidRDefault="00314FC3">
            <w:pPr>
              <w:jc w:val="right"/>
              <w:rPr>
                <w:sz w:val="20"/>
                <w:szCs w:val="20"/>
              </w:rPr>
            </w:pPr>
            <w:r w:rsidRPr="00BD04E4">
              <w:rPr>
                <w:sz w:val="20"/>
                <w:szCs w:val="20"/>
              </w:rPr>
              <w:t>-0.001</w:t>
            </w:r>
            <w:r>
              <w:rPr>
                <w:sz w:val="20"/>
                <w:szCs w:val="20"/>
                <w:vertAlign w:val="superscript"/>
              </w:rPr>
              <w:t>b</w:t>
            </w:r>
          </w:p>
        </w:tc>
        <w:tc>
          <w:tcPr>
            <w:tcW w:w="1477" w:type="dxa"/>
          </w:tcPr>
          <w:p w:rsidR="00314FC3" w:rsidRPr="00BD04E4" w:rsidRDefault="00314FC3">
            <w:pPr>
              <w:jc w:val="right"/>
              <w:rPr>
                <w:sz w:val="20"/>
                <w:szCs w:val="20"/>
              </w:rPr>
            </w:pPr>
            <w:r w:rsidRPr="00BD04E4">
              <w:rPr>
                <w:sz w:val="20"/>
                <w:szCs w:val="20"/>
              </w:rPr>
              <w:t>0.000</w:t>
            </w:r>
            <w:r w:rsidRPr="00314FC3">
              <w:rPr>
                <w:sz w:val="20"/>
                <w:szCs w:val="20"/>
                <w:vertAlign w:val="superscript"/>
              </w:rPr>
              <w:t>a</w:t>
            </w:r>
          </w:p>
        </w:tc>
        <w:tc>
          <w:tcPr>
            <w:tcW w:w="920" w:type="dxa"/>
          </w:tcPr>
          <w:p w:rsidR="00314FC3" w:rsidRPr="00BD04E4" w:rsidRDefault="00314FC3">
            <w:pPr>
              <w:jc w:val="right"/>
              <w:rPr>
                <w:sz w:val="20"/>
                <w:szCs w:val="20"/>
              </w:rPr>
            </w:pPr>
            <w:r w:rsidRPr="00BD04E4">
              <w:rPr>
                <w:sz w:val="20"/>
                <w:szCs w:val="20"/>
              </w:rPr>
              <w:t>0.005</w:t>
            </w:r>
          </w:p>
        </w:tc>
      </w:tr>
      <w:tr w:rsidR="00314FC3" w:rsidRPr="00BD04E4">
        <w:trPr>
          <w:jc w:val="center"/>
        </w:trPr>
        <w:tc>
          <w:tcPr>
            <w:tcW w:w="1878" w:type="dxa"/>
          </w:tcPr>
          <w:p w:rsidR="00314FC3" w:rsidRPr="00BD04E4" w:rsidRDefault="00314FC3">
            <w:pPr>
              <w:rPr>
                <w:sz w:val="20"/>
                <w:szCs w:val="20"/>
              </w:rPr>
            </w:pPr>
            <w:r w:rsidRPr="00BD04E4">
              <w:rPr>
                <w:sz w:val="20"/>
                <w:szCs w:val="20"/>
              </w:rPr>
              <w:t>Forecast Age (days)</w:t>
            </w:r>
          </w:p>
        </w:tc>
        <w:tc>
          <w:tcPr>
            <w:tcW w:w="824" w:type="dxa"/>
          </w:tcPr>
          <w:p w:rsidR="00314FC3" w:rsidRPr="00BD04E4" w:rsidRDefault="00314FC3">
            <w:pPr>
              <w:jc w:val="right"/>
              <w:rPr>
                <w:sz w:val="20"/>
                <w:szCs w:val="20"/>
              </w:rPr>
            </w:pPr>
            <w:r w:rsidRPr="00BD04E4">
              <w:rPr>
                <w:sz w:val="20"/>
                <w:szCs w:val="20"/>
              </w:rPr>
              <w:t>187</w:t>
            </w:r>
          </w:p>
        </w:tc>
        <w:tc>
          <w:tcPr>
            <w:tcW w:w="970" w:type="dxa"/>
          </w:tcPr>
          <w:p w:rsidR="00314FC3" w:rsidRPr="00BD04E4" w:rsidRDefault="00314FC3">
            <w:pPr>
              <w:jc w:val="right"/>
              <w:rPr>
                <w:sz w:val="20"/>
                <w:szCs w:val="20"/>
              </w:rPr>
            </w:pPr>
            <w:r w:rsidRPr="00BD04E4">
              <w:rPr>
                <w:sz w:val="20"/>
                <w:szCs w:val="20"/>
              </w:rPr>
              <w:t>181</w:t>
            </w:r>
          </w:p>
        </w:tc>
        <w:tc>
          <w:tcPr>
            <w:tcW w:w="984" w:type="dxa"/>
          </w:tcPr>
          <w:p w:rsidR="00314FC3" w:rsidRPr="00BD04E4" w:rsidRDefault="00314FC3">
            <w:pPr>
              <w:jc w:val="right"/>
              <w:rPr>
                <w:sz w:val="20"/>
                <w:szCs w:val="20"/>
              </w:rPr>
            </w:pPr>
            <w:r w:rsidRPr="00BD04E4">
              <w:rPr>
                <w:sz w:val="20"/>
                <w:szCs w:val="20"/>
              </w:rPr>
              <w:t>103</w:t>
            </w:r>
          </w:p>
        </w:tc>
        <w:tc>
          <w:tcPr>
            <w:tcW w:w="1299" w:type="dxa"/>
          </w:tcPr>
          <w:p w:rsidR="00314FC3" w:rsidRPr="00BD04E4" w:rsidRDefault="00314FC3">
            <w:pPr>
              <w:jc w:val="right"/>
              <w:rPr>
                <w:sz w:val="20"/>
                <w:szCs w:val="20"/>
              </w:rPr>
            </w:pPr>
            <w:r w:rsidRPr="00BD04E4">
              <w:rPr>
                <w:sz w:val="20"/>
                <w:szCs w:val="20"/>
              </w:rPr>
              <w:t>173</w:t>
            </w:r>
            <w:r>
              <w:rPr>
                <w:sz w:val="20"/>
                <w:szCs w:val="20"/>
                <w:vertAlign w:val="superscript"/>
              </w:rPr>
              <w:t>b</w:t>
            </w:r>
          </w:p>
        </w:tc>
        <w:tc>
          <w:tcPr>
            <w:tcW w:w="1477" w:type="dxa"/>
          </w:tcPr>
          <w:p w:rsidR="00314FC3" w:rsidRPr="00BD04E4" w:rsidRDefault="00314FC3">
            <w:pPr>
              <w:jc w:val="right"/>
              <w:rPr>
                <w:sz w:val="20"/>
                <w:szCs w:val="20"/>
              </w:rPr>
            </w:pPr>
            <w:r w:rsidRPr="00BD04E4">
              <w:rPr>
                <w:sz w:val="20"/>
                <w:szCs w:val="20"/>
              </w:rPr>
              <w:t>175</w:t>
            </w:r>
            <w:r w:rsidRPr="00314FC3">
              <w:rPr>
                <w:sz w:val="20"/>
                <w:szCs w:val="20"/>
                <w:vertAlign w:val="superscript"/>
              </w:rPr>
              <w:t>b</w:t>
            </w:r>
          </w:p>
        </w:tc>
        <w:tc>
          <w:tcPr>
            <w:tcW w:w="920" w:type="dxa"/>
          </w:tcPr>
          <w:p w:rsidR="00314FC3" w:rsidRPr="00BD04E4" w:rsidRDefault="00314FC3">
            <w:pPr>
              <w:jc w:val="right"/>
              <w:rPr>
                <w:sz w:val="20"/>
                <w:szCs w:val="20"/>
              </w:rPr>
            </w:pPr>
            <w:r w:rsidRPr="00BD04E4">
              <w:rPr>
                <w:sz w:val="20"/>
                <w:szCs w:val="20"/>
              </w:rPr>
              <w:t>104</w:t>
            </w:r>
          </w:p>
        </w:tc>
      </w:tr>
      <w:tr w:rsidR="00314FC3" w:rsidRPr="00BD04E4">
        <w:trPr>
          <w:jc w:val="center"/>
        </w:trPr>
        <w:tc>
          <w:tcPr>
            <w:tcW w:w="1878" w:type="dxa"/>
          </w:tcPr>
          <w:p w:rsidR="00314FC3" w:rsidRPr="00BD04E4" w:rsidRDefault="00314FC3">
            <w:pPr>
              <w:rPr>
                <w:sz w:val="20"/>
                <w:szCs w:val="20"/>
              </w:rPr>
            </w:pPr>
            <w:r w:rsidRPr="00BD04E4">
              <w:rPr>
                <w:sz w:val="20"/>
                <w:szCs w:val="20"/>
              </w:rPr>
              <w:t>IPO Underwriter</w:t>
            </w:r>
          </w:p>
        </w:tc>
        <w:tc>
          <w:tcPr>
            <w:tcW w:w="824" w:type="dxa"/>
          </w:tcPr>
          <w:p w:rsidR="00314FC3" w:rsidRPr="00BD04E4" w:rsidRDefault="00314FC3">
            <w:pPr>
              <w:jc w:val="right"/>
              <w:rPr>
                <w:sz w:val="20"/>
                <w:szCs w:val="20"/>
              </w:rPr>
            </w:pPr>
            <w:r w:rsidRPr="00BD04E4">
              <w:rPr>
                <w:sz w:val="20"/>
                <w:szCs w:val="20"/>
              </w:rPr>
              <w:t>0.061</w:t>
            </w:r>
          </w:p>
        </w:tc>
        <w:tc>
          <w:tcPr>
            <w:tcW w:w="970" w:type="dxa"/>
          </w:tcPr>
          <w:p w:rsidR="00314FC3" w:rsidRPr="00BD04E4" w:rsidRDefault="00314FC3">
            <w:pPr>
              <w:jc w:val="right"/>
              <w:rPr>
                <w:sz w:val="20"/>
                <w:szCs w:val="20"/>
              </w:rPr>
            </w:pPr>
            <w:r w:rsidRPr="00BD04E4">
              <w:rPr>
                <w:sz w:val="20"/>
                <w:szCs w:val="20"/>
              </w:rPr>
              <w:t>0.000</w:t>
            </w:r>
          </w:p>
        </w:tc>
        <w:tc>
          <w:tcPr>
            <w:tcW w:w="984" w:type="dxa"/>
          </w:tcPr>
          <w:p w:rsidR="00314FC3" w:rsidRPr="00BD04E4" w:rsidRDefault="00314FC3">
            <w:pPr>
              <w:jc w:val="right"/>
              <w:rPr>
                <w:sz w:val="20"/>
                <w:szCs w:val="20"/>
              </w:rPr>
            </w:pPr>
            <w:r w:rsidRPr="00BD04E4">
              <w:rPr>
                <w:sz w:val="20"/>
                <w:szCs w:val="20"/>
              </w:rPr>
              <w:t>0.240</w:t>
            </w:r>
          </w:p>
        </w:tc>
        <w:tc>
          <w:tcPr>
            <w:tcW w:w="1299" w:type="dxa"/>
          </w:tcPr>
          <w:p w:rsidR="00314FC3" w:rsidRPr="00BD04E4" w:rsidRDefault="00314FC3">
            <w:pPr>
              <w:jc w:val="right"/>
              <w:rPr>
                <w:sz w:val="20"/>
                <w:szCs w:val="20"/>
              </w:rPr>
            </w:pPr>
            <w:r w:rsidRPr="00BD04E4">
              <w:rPr>
                <w:sz w:val="20"/>
                <w:szCs w:val="20"/>
              </w:rPr>
              <w:t>0.010</w:t>
            </w:r>
            <w:r>
              <w:rPr>
                <w:sz w:val="20"/>
                <w:szCs w:val="20"/>
                <w:vertAlign w:val="superscript"/>
              </w:rPr>
              <w:t>b</w:t>
            </w:r>
          </w:p>
        </w:tc>
        <w:tc>
          <w:tcPr>
            <w:tcW w:w="1477" w:type="dxa"/>
          </w:tcPr>
          <w:p w:rsidR="00314FC3" w:rsidRPr="00BD04E4" w:rsidRDefault="00314FC3">
            <w:pPr>
              <w:jc w:val="right"/>
              <w:rPr>
                <w:sz w:val="20"/>
                <w:szCs w:val="20"/>
              </w:rPr>
            </w:pPr>
            <w:r w:rsidRPr="00BD04E4">
              <w:rPr>
                <w:sz w:val="20"/>
                <w:szCs w:val="20"/>
              </w:rPr>
              <w:t>0.000</w:t>
            </w:r>
            <w:r w:rsidRPr="00314FC3">
              <w:rPr>
                <w:sz w:val="20"/>
                <w:szCs w:val="20"/>
                <w:vertAlign w:val="superscript"/>
              </w:rPr>
              <w:t>b</w:t>
            </w:r>
          </w:p>
        </w:tc>
        <w:tc>
          <w:tcPr>
            <w:tcW w:w="920" w:type="dxa"/>
          </w:tcPr>
          <w:p w:rsidR="00314FC3" w:rsidRPr="00BD04E4" w:rsidRDefault="00314FC3">
            <w:pPr>
              <w:jc w:val="right"/>
              <w:rPr>
                <w:sz w:val="20"/>
                <w:szCs w:val="20"/>
              </w:rPr>
            </w:pPr>
            <w:r w:rsidRPr="00BD04E4">
              <w:rPr>
                <w:sz w:val="20"/>
                <w:szCs w:val="20"/>
              </w:rPr>
              <w:t>0.103</w:t>
            </w:r>
          </w:p>
        </w:tc>
      </w:tr>
      <w:tr w:rsidR="00314FC3" w:rsidRPr="00BD04E4">
        <w:trPr>
          <w:jc w:val="center"/>
        </w:trPr>
        <w:tc>
          <w:tcPr>
            <w:tcW w:w="1878" w:type="dxa"/>
          </w:tcPr>
          <w:p w:rsidR="00314FC3" w:rsidRPr="00BD04E4" w:rsidRDefault="00314FC3">
            <w:pPr>
              <w:rPr>
                <w:sz w:val="20"/>
                <w:szCs w:val="20"/>
              </w:rPr>
            </w:pPr>
            <w:r w:rsidRPr="00BD04E4">
              <w:rPr>
                <w:sz w:val="20"/>
                <w:szCs w:val="20"/>
              </w:rPr>
              <w:t>IPO Co-manager</w:t>
            </w:r>
          </w:p>
        </w:tc>
        <w:tc>
          <w:tcPr>
            <w:tcW w:w="824" w:type="dxa"/>
          </w:tcPr>
          <w:p w:rsidR="00314FC3" w:rsidRPr="00BD04E4" w:rsidRDefault="00314FC3">
            <w:pPr>
              <w:jc w:val="right"/>
              <w:rPr>
                <w:sz w:val="20"/>
                <w:szCs w:val="20"/>
              </w:rPr>
            </w:pPr>
            <w:r w:rsidRPr="00BD04E4">
              <w:rPr>
                <w:sz w:val="20"/>
                <w:szCs w:val="20"/>
              </w:rPr>
              <w:t>0.102</w:t>
            </w:r>
          </w:p>
        </w:tc>
        <w:tc>
          <w:tcPr>
            <w:tcW w:w="970" w:type="dxa"/>
          </w:tcPr>
          <w:p w:rsidR="00314FC3" w:rsidRPr="00BD04E4" w:rsidRDefault="00314FC3">
            <w:pPr>
              <w:jc w:val="right"/>
              <w:rPr>
                <w:sz w:val="20"/>
                <w:szCs w:val="20"/>
              </w:rPr>
            </w:pPr>
            <w:r w:rsidRPr="00BD04E4">
              <w:rPr>
                <w:sz w:val="20"/>
                <w:szCs w:val="20"/>
              </w:rPr>
              <w:t>0.000</w:t>
            </w:r>
          </w:p>
        </w:tc>
        <w:tc>
          <w:tcPr>
            <w:tcW w:w="984" w:type="dxa"/>
          </w:tcPr>
          <w:p w:rsidR="00314FC3" w:rsidRPr="00BD04E4" w:rsidRDefault="00314FC3">
            <w:pPr>
              <w:jc w:val="right"/>
              <w:rPr>
                <w:sz w:val="20"/>
                <w:szCs w:val="20"/>
              </w:rPr>
            </w:pPr>
            <w:r w:rsidRPr="00BD04E4">
              <w:rPr>
                <w:sz w:val="20"/>
                <w:szCs w:val="20"/>
              </w:rPr>
              <w:t>0.302</w:t>
            </w:r>
          </w:p>
        </w:tc>
        <w:tc>
          <w:tcPr>
            <w:tcW w:w="1299" w:type="dxa"/>
          </w:tcPr>
          <w:p w:rsidR="00314FC3" w:rsidRPr="00BD04E4" w:rsidRDefault="00314FC3">
            <w:pPr>
              <w:jc w:val="right"/>
              <w:rPr>
                <w:sz w:val="20"/>
                <w:szCs w:val="20"/>
              </w:rPr>
            </w:pPr>
            <w:r w:rsidRPr="00BD04E4">
              <w:rPr>
                <w:sz w:val="20"/>
                <w:szCs w:val="20"/>
              </w:rPr>
              <w:t>0.022</w:t>
            </w:r>
            <w:r>
              <w:rPr>
                <w:sz w:val="20"/>
                <w:szCs w:val="20"/>
                <w:vertAlign w:val="superscript"/>
              </w:rPr>
              <w:t>b</w:t>
            </w:r>
          </w:p>
        </w:tc>
        <w:tc>
          <w:tcPr>
            <w:tcW w:w="1477" w:type="dxa"/>
          </w:tcPr>
          <w:p w:rsidR="00314FC3" w:rsidRPr="00BD04E4" w:rsidRDefault="00314FC3">
            <w:pPr>
              <w:jc w:val="right"/>
              <w:rPr>
                <w:sz w:val="20"/>
                <w:szCs w:val="20"/>
              </w:rPr>
            </w:pPr>
            <w:r w:rsidRPr="00BD04E4">
              <w:rPr>
                <w:sz w:val="20"/>
                <w:szCs w:val="20"/>
              </w:rPr>
              <w:t>0.000</w:t>
            </w:r>
            <w:r>
              <w:rPr>
                <w:sz w:val="20"/>
                <w:szCs w:val="20"/>
                <w:vertAlign w:val="superscript"/>
              </w:rPr>
              <w:t>b</w:t>
            </w:r>
          </w:p>
        </w:tc>
        <w:tc>
          <w:tcPr>
            <w:tcW w:w="920" w:type="dxa"/>
          </w:tcPr>
          <w:p w:rsidR="00314FC3" w:rsidRPr="00BD04E4" w:rsidRDefault="00314FC3">
            <w:pPr>
              <w:jc w:val="right"/>
              <w:rPr>
                <w:sz w:val="20"/>
                <w:szCs w:val="20"/>
              </w:rPr>
            </w:pPr>
            <w:r w:rsidRPr="00BD04E4">
              <w:rPr>
                <w:sz w:val="20"/>
                <w:szCs w:val="20"/>
              </w:rPr>
              <w:t>0.146</w:t>
            </w:r>
          </w:p>
        </w:tc>
      </w:tr>
      <w:tr w:rsidR="00314FC3" w:rsidRPr="00BD04E4">
        <w:trPr>
          <w:jc w:val="center"/>
        </w:trPr>
        <w:tc>
          <w:tcPr>
            <w:tcW w:w="1878" w:type="dxa"/>
          </w:tcPr>
          <w:p w:rsidR="00314FC3" w:rsidRPr="00BD04E4" w:rsidRDefault="00314FC3">
            <w:pPr>
              <w:rPr>
                <w:sz w:val="20"/>
                <w:szCs w:val="20"/>
              </w:rPr>
            </w:pPr>
            <w:r w:rsidRPr="00BD04E4">
              <w:rPr>
                <w:sz w:val="20"/>
                <w:szCs w:val="20"/>
              </w:rPr>
              <w:t>SEO Underwriter</w:t>
            </w:r>
          </w:p>
        </w:tc>
        <w:tc>
          <w:tcPr>
            <w:tcW w:w="824" w:type="dxa"/>
          </w:tcPr>
          <w:p w:rsidR="00314FC3" w:rsidRPr="00BD04E4" w:rsidRDefault="00314FC3">
            <w:pPr>
              <w:jc w:val="right"/>
              <w:rPr>
                <w:sz w:val="20"/>
                <w:szCs w:val="20"/>
              </w:rPr>
            </w:pPr>
            <w:r w:rsidRPr="00BD04E4">
              <w:rPr>
                <w:sz w:val="20"/>
                <w:szCs w:val="20"/>
              </w:rPr>
              <w:t>0.061</w:t>
            </w:r>
          </w:p>
        </w:tc>
        <w:tc>
          <w:tcPr>
            <w:tcW w:w="970" w:type="dxa"/>
          </w:tcPr>
          <w:p w:rsidR="00314FC3" w:rsidRPr="00BD04E4" w:rsidRDefault="00314FC3">
            <w:pPr>
              <w:jc w:val="right"/>
              <w:rPr>
                <w:sz w:val="20"/>
                <w:szCs w:val="20"/>
              </w:rPr>
            </w:pPr>
            <w:r w:rsidRPr="00BD04E4">
              <w:rPr>
                <w:sz w:val="20"/>
                <w:szCs w:val="20"/>
              </w:rPr>
              <w:t>0.000</w:t>
            </w:r>
          </w:p>
        </w:tc>
        <w:tc>
          <w:tcPr>
            <w:tcW w:w="984" w:type="dxa"/>
          </w:tcPr>
          <w:p w:rsidR="00314FC3" w:rsidRPr="00BD04E4" w:rsidRDefault="00314FC3">
            <w:pPr>
              <w:jc w:val="right"/>
              <w:rPr>
                <w:sz w:val="20"/>
                <w:szCs w:val="20"/>
              </w:rPr>
            </w:pPr>
            <w:r w:rsidRPr="00BD04E4">
              <w:rPr>
                <w:sz w:val="20"/>
                <w:szCs w:val="20"/>
              </w:rPr>
              <w:t>0.240</w:t>
            </w:r>
          </w:p>
        </w:tc>
        <w:tc>
          <w:tcPr>
            <w:tcW w:w="1299" w:type="dxa"/>
          </w:tcPr>
          <w:p w:rsidR="00314FC3" w:rsidRPr="00BD04E4" w:rsidRDefault="00314FC3">
            <w:pPr>
              <w:jc w:val="right"/>
              <w:rPr>
                <w:sz w:val="20"/>
                <w:szCs w:val="20"/>
              </w:rPr>
            </w:pPr>
            <w:r w:rsidRPr="00BD04E4">
              <w:rPr>
                <w:sz w:val="20"/>
                <w:szCs w:val="20"/>
              </w:rPr>
              <w:t>0.013</w:t>
            </w:r>
            <w:r>
              <w:rPr>
                <w:sz w:val="20"/>
                <w:szCs w:val="20"/>
                <w:vertAlign w:val="superscript"/>
              </w:rPr>
              <w:t>b</w:t>
            </w:r>
          </w:p>
        </w:tc>
        <w:tc>
          <w:tcPr>
            <w:tcW w:w="1477" w:type="dxa"/>
          </w:tcPr>
          <w:p w:rsidR="00314FC3" w:rsidRPr="00BD04E4" w:rsidRDefault="00314FC3">
            <w:pPr>
              <w:jc w:val="right"/>
              <w:rPr>
                <w:sz w:val="20"/>
                <w:szCs w:val="20"/>
              </w:rPr>
            </w:pPr>
            <w:r w:rsidRPr="00BD04E4">
              <w:rPr>
                <w:sz w:val="20"/>
                <w:szCs w:val="20"/>
              </w:rPr>
              <w:t>0.000</w:t>
            </w:r>
            <w:r w:rsidRPr="00314FC3">
              <w:rPr>
                <w:sz w:val="20"/>
                <w:szCs w:val="20"/>
                <w:vertAlign w:val="superscript"/>
              </w:rPr>
              <w:t>b</w:t>
            </w:r>
          </w:p>
        </w:tc>
        <w:tc>
          <w:tcPr>
            <w:tcW w:w="920" w:type="dxa"/>
          </w:tcPr>
          <w:p w:rsidR="00314FC3" w:rsidRPr="00BD04E4" w:rsidRDefault="00314FC3">
            <w:pPr>
              <w:jc w:val="right"/>
              <w:rPr>
                <w:sz w:val="20"/>
                <w:szCs w:val="20"/>
              </w:rPr>
            </w:pPr>
            <w:r w:rsidRPr="00BD04E4">
              <w:rPr>
                <w:sz w:val="20"/>
                <w:szCs w:val="20"/>
              </w:rPr>
              <w:t>0.113</w:t>
            </w:r>
          </w:p>
        </w:tc>
      </w:tr>
      <w:tr w:rsidR="00314FC3" w:rsidRPr="00BD04E4">
        <w:trPr>
          <w:jc w:val="center"/>
        </w:trPr>
        <w:tc>
          <w:tcPr>
            <w:tcW w:w="1878" w:type="dxa"/>
          </w:tcPr>
          <w:p w:rsidR="00314FC3" w:rsidRPr="00BD04E4" w:rsidRDefault="00314FC3">
            <w:pPr>
              <w:rPr>
                <w:sz w:val="20"/>
                <w:szCs w:val="20"/>
              </w:rPr>
            </w:pPr>
            <w:r w:rsidRPr="00BD04E4">
              <w:rPr>
                <w:sz w:val="20"/>
                <w:szCs w:val="20"/>
              </w:rPr>
              <w:t>SEO Co-manager</w:t>
            </w:r>
          </w:p>
        </w:tc>
        <w:tc>
          <w:tcPr>
            <w:tcW w:w="824" w:type="dxa"/>
          </w:tcPr>
          <w:p w:rsidR="00314FC3" w:rsidRPr="00BD04E4" w:rsidRDefault="00314FC3">
            <w:pPr>
              <w:jc w:val="right"/>
              <w:rPr>
                <w:sz w:val="20"/>
                <w:szCs w:val="20"/>
              </w:rPr>
            </w:pPr>
            <w:r w:rsidRPr="00BD04E4">
              <w:rPr>
                <w:sz w:val="20"/>
                <w:szCs w:val="20"/>
              </w:rPr>
              <w:t>0.108</w:t>
            </w:r>
          </w:p>
        </w:tc>
        <w:tc>
          <w:tcPr>
            <w:tcW w:w="970" w:type="dxa"/>
          </w:tcPr>
          <w:p w:rsidR="00314FC3" w:rsidRPr="00BD04E4" w:rsidRDefault="00314FC3">
            <w:pPr>
              <w:jc w:val="right"/>
              <w:rPr>
                <w:sz w:val="20"/>
                <w:szCs w:val="20"/>
              </w:rPr>
            </w:pPr>
            <w:r w:rsidRPr="00BD04E4">
              <w:rPr>
                <w:sz w:val="20"/>
                <w:szCs w:val="20"/>
              </w:rPr>
              <w:t>0.000</w:t>
            </w:r>
          </w:p>
        </w:tc>
        <w:tc>
          <w:tcPr>
            <w:tcW w:w="984" w:type="dxa"/>
          </w:tcPr>
          <w:p w:rsidR="00314FC3" w:rsidRPr="00BD04E4" w:rsidRDefault="00314FC3">
            <w:pPr>
              <w:jc w:val="right"/>
              <w:rPr>
                <w:sz w:val="20"/>
                <w:szCs w:val="20"/>
              </w:rPr>
            </w:pPr>
            <w:r w:rsidRPr="00BD04E4">
              <w:rPr>
                <w:sz w:val="20"/>
                <w:szCs w:val="20"/>
              </w:rPr>
              <w:t>0.311</w:t>
            </w:r>
          </w:p>
        </w:tc>
        <w:tc>
          <w:tcPr>
            <w:tcW w:w="1299" w:type="dxa"/>
          </w:tcPr>
          <w:p w:rsidR="00314FC3" w:rsidRPr="00BD04E4" w:rsidRDefault="00314FC3">
            <w:pPr>
              <w:jc w:val="right"/>
              <w:rPr>
                <w:sz w:val="20"/>
                <w:szCs w:val="20"/>
              </w:rPr>
            </w:pPr>
            <w:r w:rsidRPr="00BD04E4">
              <w:rPr>
                <w:sz w:val="20"/>
                <w:szCs w:val="20"/>
              </w:rPr>
              <w:t>0.034</w:t>
            </w:r>
            <w:r>
              <w:rPr>
                <w:sz w:val="20"/>
                <w:szCs w:val="20"/>
                <w:vertAlign w:val="superscript"/>
              </w:rPr>
              <w:t>b</w:t>
            </w:r>
          </w:p>
        </w:tc>
        <w:tc>
          <w:tcPr>
            <w:tcW w:w="1477" w:type="dxa"/>
          </w:tcPr>
          <w:p w:rsidR="00314FC3" w:rsidRPr="00BD04E4" w:rsidRDefault="00314FC3">
            <w:pPr>
              <w:jc w:val="right"/>
              <w:rPr>
                <w:sz w:val="20"/>
                <w:szCs w:val="20"/>
              </w:rPr>
            </w:pPr>
            <w:r w:rsidRPr="00BD04E4">
              <w:rPr>
                <w:sz w:val="20"/>
                <w:szCs w:val="20"/>
              </w:rPr>
              <w:t>0.000</w:t>
            </w:r>
            <w:r>
              <w:rPr>
                <w:sz w:val="20"/>
                <w:szCs w:val="20"/>
                <w:vertAlign w:val="superscript"/>
              </w:rPr>
              <w:t>b</w:t>
            </w:r>
          </w:p>
        </w:tc>
        <w:tc>
          <w:tcPr>
            <w:tcW w:w="920" w:type="dxa"/>
          </w:tcPr>
          <w:p w:rsidR="00314FC3" w:rsidRPr="00BD04E4" w:rsidRDefault="00314FC3">
            <w:pPr>
              <w:jc w:val="right"/>
              <w:rPr>
                <w:sz w:val="20"/>
                <w:szCs w:val="20"/>
              </w:rPr>
            </w:pPr>
            <w:r w:rsidRPr="00BD04E4">
              <w:rPr>
                <w:sz w:val="20"/>
                <w:szCs w:val="20"/>
              </w:rPr>
              <w:t>0.183</w:t>
            </w:r>
          </w:p>
        </w:tc>
      </w:tr>
      <w:tr w:rsidR="00314FC3" w:rsidRPr="00BD04E4">
        <w:trPr>
          <w:jc w:val="center"/>
        </w:trPr>
        <w:tc>
          <w:tcPr>
            <w:tcW w:w="1878" w:type="dxa"/>
          </w:tcPr>
          <w:p w:rsidR="00314FC3" w:rsidRPr="00BD04E4" w:rsidRDefault="00314FC3">
            <w:pPr>
              <w:rPr>
                <w:sz w:val="20"/>
                <w:szCs w:val="20"/>
              </w:rPr>
            </w:pPr>
            <w:r w:rsidRPr="00BD04E4">
              <w:rPr>
                <w:sz w:val="20"/>
                <w:szCs w:val="20"/>
              </w:rPr>
              <w:t xml:space="preserve">Broker </w:t>
            </w:r>
            <w:proofErr w:type="spellStart"/>
            <w:r w:rsidRPr="00BD04E4">
              <w:rPr>
                <w:sz w:val="20"/>
                <w:szCs w:val="20"/>
              </w:rPr>
              <w:t>Decile</w:t>
            </w:r>
            <w:proofErr w:type="spellEnd"/>
          </w:p>
        </w:tc>
        <w:tc>
          <w:tcPr>
            <w:tcW w:w="824" w:type="dxa"/>
          </w:tcPr>
          <w:p w:rsidR="00314FC3" w:rsidRPr="00BD04E4" w:rsidRDefault="00314FC3">
            <w:pPr>
              <w:jc w:val="right"/>
              <w:rPr>
                <w:sz w:val="20"/>
                <w:szCs w:val="20"/>
              </w:rPr>
            </w:pPr>
            <w:r w:rsidRPr="00BD04E4">
              <w:rPr>
                <w:sz w:val="20"/>
                <w:szCs w:val="20"/>
              </w:rPr>
              <w:t>10</w:t>
            </w:r>
          </w:p>
        </w:tc>
        <w:tc>
          <w:tcPr>
            <w:tcW w:w="970" w:type="dxa"/>
          </w:tcPr>
          <w:p w:rsidR="00314FC3" w:rsidRPr="00BD04E4" w:rsidRDefault="00314FC3">
            <w:pPr>
              <w:jc w:val="right"/>
              <w:rPr>
                <w:sz w:val="20"/>
                <w:szCs w:val="20"/>
              </w:rPr>
            </w:pPr>
            <w:r w:rsidRPr="00BD04E4">
              <w:rPr>
                <w:sz w:val="20"/>
                <w:szCs w:val="20"/>
              </w:rPr>
              <w:t>10</w:t>
            </w:r>
          </w:p>
        </w:tc>
        <w:tc>
          <w:tcPr>
            <w:tcW w:w="984" w:type="dxa"/>
          </w:tcPr>
          <w:p w:rsidR="00314FC3" w:rsidRPr="00BD04E4" w:rsidRDefault="00314FC3">
            <w:pPr>
              <w:jc w:val="right"/>
              <w:rPr>
                <w:sz w:val="20"/>
                <w:szCs w:val="20"/>
              </w:rPr>
            </w:pPr>
            <w:r w:rsidRPr="00BD04E4">
              <w:rPr>
                <w:sz w:val="20"/>
                <w:szCs w:val="20"/>
              </w:rPr>
              <w:t>n/a</w:t>
            </w:r>
          </w:p>
        </w:tc>
        <w:tc>
          <w:tcPr>
            <w:tcW w:w="1299" w:type="dxa"/>
          </w:tcPr>
          <w:p w:rsidR="00314FC3" w:rsidRPr="00BD04E4" w:rsidRDefault="00314FC3">
            <w:pPr>
              <w:jc w:val="right"/>
              <w:rPr>
                <w:sz w:val="20"/>
                <w:szCs w:val="20"/>
              </w:rPr>
            </w:pPr>
            <w:r w:rsidRPr="00BD04E4">
              <w:rPr>
                <w:sz w:val="20"/>
                <w:szCs w:val="20"/>
              </w:rPr>
              <w:t>9.32</w:t>
            </w:r>
            <w:r>
              <w:rPr>
                <w:sz w:val="20"/>
                <w:szCs w:val="20"/>
                <w:vertAlign w:val="superscript"/>
              </w:rPr>
              <w:t>b</w:t>
            </w:r>
          </w:p>
        </w:tc>
        <w:tc>
          <w:tcPr>
            <w:tcW w:w="1477" w:type="dxa"/>
          </w:tcPr>
          <w:p w:rsidR="00314FC3" w:rsidRPr="00BD04E4" w:rsidRDefault="00314FC3">
            <w:pPr>
              <w:jc w:val="right"/>
              <w:rPr>
                <w:sz w:val="20"/>
                <w:szCs w:val="20"/>
              </w:rPr>
            </w:pPr>
            <w:r w:rsidRPr="00BD04E4">
              <w:rPr>
                <w:sz w:val="20"/>
                <w:szCs w:val="20"/>
              </w:rPr>
              <w:t>10</w:t>
            </w:r>
            <w:r>
              <w:rPr>
                <w:sz w:val="20"/>
                <w:szCs w:val="20"/>
                <w:vertAlign w:val="superscript"/>
              </w:rPr>
              <w:t>b</w:t>
            </w:r>
          </w:p>
        </w:tc>
        <w:tc>
          <w:tcPr>
            <w:tcW w:w="920" w:type="dxa"/>
          </w:tcPr>
          <w:p w:rsidR="00314FC3" w:rsidRPr="00BD04E4" w:rsidRDefault="00314FC3">
            <w:pPr>
              <w:jc w:val="right"/>
              <w:rPr>
                <w:sz w:val="20"/>
                <w:szCs w:val="20"/>
              </w:rPr>
            </w:pPr>
            <w:r w:rsidRPr="00BD04E4">
              <w:rPr>
                <w:sz w:val="20"/>
                <w:szCs w:val="20"/>
              </w:rPr>
              <w:t>1.38</w:t>
            </w:r>
          </w:p>
        </w:tc>
      </w:tr>
      <w:tr w:rsidR="00314FC3" w:rsidRPr="00BD04E4">
        <w:trPr>
          <w:jc w:val="center"/>
        </w:trPr>
        <w:tc>
          <w:tcPr>
            <w:tcW w:w="1878" w:type="dxa"/>
          </w:tcPr>
          <w:p w:rsidR="00314FC3" w:rsidRPr="00BD04E4" w:rsidRDefault="00314FC3">
            <w:pPr>
              <w:rPr>
                <w:sz w:val="20"/>
                <w:szCs w:val="20"/>
              </w:rPr>
            </w:pPr>
            <w:r w:rsidRPr="00BD04E4">
              <w:rPr>
                <w:sz w:val="20"/>
                <w:szCs w:val="20"/>
              </w:rPr>
              <w:t>Experience</w:t>
            </w:r>
          </w:p>
        </w:tc>
        <w:tc>
          <w:tcPr>
            <w:tcW w:w="824" w:type="dxa"/>
          </w:tcPr>
          <w:p w:rsidR="00314FC3" w:rsidRPr="00BD04E4" w:rsidRDefault="00314FC3">
            <w:pPr>
              <w:jc w:val="right"/>
              <w:rPr>
                <w:sz w:val="20"/>
                <w:szCs w:val="20"/>
              </w:rPr>
            </w:pPr>
            <w:r w:rsidRPr="00BD04E4">
              <w:rPr>
                <w:sz w:val="20"/>
                <w:szCs w:val="20"/>
              </w:rPr>
              <w:t>6.66</w:t>
            </w:r>
          </w:p>
        </w:tc>
        <w:tc>
          <w:tcPr>
            <w:tcW w:w="970" w:type="dxa"/>
          </w:tcPr>
          <w:p w:rsidR="00314FC3" w:rsidRPr="00BD04E4" w:rsidRDefault="00314FC3">
            <w:pPr>
              <w:jc w:val="right"/>
              <w:rPr>
                <w:sz w:val="20"/>
                <w:szCs w:val="20"/>
              </w:rPr>
            </w:pPr>
            <w:r w:rsidRPr="00BD04E4">
              <w:rPr>
                <w:sz w:val="20"/>
                <w:szCs w:val="20"/>
              </w:rPr>
              <w:t>5.00</w:t>
            </w:r>
          </w:p>
        </w:tc>
        <w:tc>
          <w:tcPr>
            <w:tcW w:w="984" w:type="dxa"/>
          </w:tcPr>
          <w:p w:rsidR="00314FC3" w:rsidRPr="00BD04E4" w:rsidRDefault="00314FC3">
            <w:pPr>
              <w:jc w:val="right"/>
              <w:rPr>
                <w:sz w:val="20"/>
                <w:szCs w:val="20"/>
              </w:rPr>
            </w:pPr>
            <w:r w:rsidRPr="00BD04E4">
              <w:rPr>
                <w:sz w:val="20"/>
                <w:szCs w:val="20"/>
              </w:rPr>
              <w:t>4.20</w:t>
            </w:r>
          </w:p>
        </w:tc>
        <w:tc>
          <w:tcPr>
            <w:tcW w:w="1299" w:type="dxa"/>
          </w:tcPr>
          <w:p w:rsidR="00314FC3" w:rsidRPr="00BD04E4" w:rsidRDefault="00314FC3">
            <w:pPr>
              <w:jc w:val="right"/>
              <w:rPr>
                <w:sz w:val="20"/>
                <w:szCs w:val="20"/>
              </w:rPr>
            </w:pPr>
            <w:r w:rsidRPr="00BD04E4">
              <w:rPr>
                <w:sz w:val="20"/>
                <w:szCs w:val="20"/>
              </w:rPr>
              <w:t>7.19</w:t>
            </w:r>
            <w:r>
              <w:rPr>
                <w:sz w:val="20"/>
                <w:szCs w:val="20"/>
                <w:vertAlign w:val="superscript"/>
              </w:rPr>
              <w:t>b</w:t>
            </w:r>
          </w:p>
        </w:tc>
        <w:tc>
          <w:tcPr>
            <w:tcW w:w="1477" w:type="dxa"/>
          </w:tcPr>
          <w:p w:rsidR="00314FC3" w:rsidRPr="00BD04E4" w:rsidRDefault="00314FC3">
            <w:pPr>
              <w:jc w:val="right"/>
              <w:rPr>
                <w:sz w:val="20"/>
                <w:szCs w:val="20"/>
              </w:rPr>
            </w:pPr>
            <w:r w:rsidRPr="00BD04E4">
              <w:rPr>
                <w:sz w:val="20"/>
                <w:szCs w:val="20"/>
              </w:rPr>
              <w:t>5.00</w:t>
            </w:r>
          </w:p>
        </w:tc>
        <w:tc>
          <w:tcPr>
            <w:tcW w:w="920" w:type="dxa"/>
          </w:tcPr>
          <w:p w:rsidR="00314FC3" w:rsidRPr="00BD04E4" w:rsidRDefault="00314FC3">
            <w:pPr>
              <w:jc w:val="right"/>
              <w:rPr>
                <w:sz w:val="20"/>
                <w:szCs w:val="20"/>
              </w:rPr>
            </w:pPr>
            <w:r w:rsidRPr="00BD04E4">
              <w:rPr>
                <w:sz w:val="20"/>
                <w:szCs w:val="20"/>
              </w:rPr>
              <w:t>5.11</w:t>
            </w:r>
          </w:p>
        </w:tc>
      </w:tr>
      <w:tr w:rsidR="00314FC3" w:rsidRPr="00BD04E4">
        <w:trPr>
          <w:jc w:val="center"/>
        </w:trPr>
        <w:tc>
          <w:tcPr>
            <w:tcW w:w="1878" w:type="dxa"/>
          </w:tcPr>
          <w:p w:rsidR="00314FC3" w:rsidRPr="00BD04E4" w:rsidRDefault="00314FC3">
            <w:pPr>
              <w:rPr>
                <w:sz w:val="20"/>
                <w:szCs w:val="20"/>
              </w:rPr>
            </w:pPr>
            <w:r w:rsidRPr="00BD04E4">
              <w:rPr>
                <w:sz w:val="20"/>
                <w:szCs w:val="20"/>
              </w:rPr>
              <w:t>Complexity</w:t>
            </w:r>
          </w:p>
        </w:tc>
        <w:tc>
          <w:tcPr>
            <w:tcW w:w="824" w:type="dxa"/>
          </w:tcPr>
          <w:p w:rsidR="00314FC3" w:rsidRPr="00BD04E4" w:rsidRDefault="00314FC3">
            <w:pPr>
              <w:jc w:val="right"/>
              <w:rPr>
                <w:sz w:val="20"/>
                <w:szCs w:val="20"/>
              </w:rPr>
            </w:pPr>
            <w:r w:rsidRPr="00BD04E4">
              <w:rPr>
                <w:sz w:val="20"/>
                <w:szCs w:val="20"/>
              </w:rPr>
              <w:t>18.0</w:t>
            </w:r>
          </w:p>
        </w:tc>
        <w:tc>
          <w:tcPr>
            <w:tcW w:w="970" w:type="dxa"/>
          </w:tcPr>
          <w:p w:rsidR="00314FC3" w:rsidRPr="00BD04E4" w:rsidRDefault="00314FC3">
            <w:pPr>
              <w:jc w:val="right"/>
              <w:rPr>
                <w:sz w:val="20"/>
                <w:szCs w:val="20"/>
              </w:rPr>
            </w:pPr>
            <w:r w:rsidRPr="00BD04E4">
              <w:rPr>
                <w:sz w:val="20"/>
                <w:szCs w:val="20"/>
              </w:rPr>
              <w:t>18.0</w:t>
            </w:r>
          </w:p>
        </w:tc>
        <w:tc>
          <w:tcPr>
            <w:tcW w:w="984" w:type="dxa"/>
          </w:tcPr>
          <w:p w:rsidR="00314FC3" w:rsidRPr="00BD04E4" w:rsidRDefault="00314FC3">
            <w:pPr>
              <w:jc w:val="right"/>
              <w:rPr>
                <w:sz w:val="20"/>
                <w:szCs w:val="20"/>
              </w:rPr>
            </w:pPr>
            <w:r w:rsidRPr="00BD04E4">
              <w:rPr>
                <w:sz w:val="20"/>
                <w:szCs w:val="20"/>
              </w:rPr>
              <w:t>6.39</w:t>
            </w:r>
          </w:p>
        </w:tc>
        <w:tc>
          <w:tcPr>
            <w:tcW w:w="1299" w:type="dxa"/>
          </w:tcPr>
          <w:p w:rsidR="00314FC3" w:rsidRPr="00BD04E4" w:rsidRDefault="00314FC3">
            <w:pPr>
              <w:jc w:val="right"/>
              <w:rPr>
                <w:sz w:val="20"/>
                <w:szCs w:val="20"/>
              </w:rPr>
            </w:pPr>
            <w:r w:rsidRPr="00BD04E4">
              <w:rPr>
                <w:sz w:val="20"/>
                <w:szCs w:val="20"/>
              </w:rPr>
              <w:t>14.7</w:t>
            </w:r>
            <w:r>
              <w:rPr>
                <w:sz w:val="20"/>
                <w:szCs w:val="20"/>
                <w:vertAlign w:val="superscript"/>
              </w:rPr>
              <w:t>b</w:t>
            </w:r>
          </w:p>
        </w:tc>
        <w:tc>
          <w:tcPr>
            <w:tcW w:w="1477" w:type="dxa"/>
          </w:tcPr>
          <w:p w:rsidR="00314FC3" w:rsidRPr="00BD04E4" w:rsidRDefault="00314FC3">
            <w:pPr>
              <w:jc w:val="right"/>
              <w:rPr>
                <w:sz w:val="20"/>
                <w:szCs w:val="20"/>
              </w:rPr>
            </w:pPr>
            <w:r w:rsidRPr="00BD04E4">
              <w:rPr>
                <w:sz w:val="20"/>
                <w:szCs w:val="20"/>
              </w:rPr>
              <w:t>13.0</w:t>
            </w:r>
            <w:r>
              <w:rPr>
                <w:sz w:val="20"/>
                <w:szCs w:val="20"/>
                <w:vertAlign w:val="superscript"/>
              </w:rPr>
              <w:t>b</w:t>
            </w:r>
          </w:p>
        </w:tc>
        <w:tc>
          <w:tcPr>
            <w:tcW w:w="920" w:type="dxa"/>
          </w:tcPr>
          <w:p w:rsidR="00314FC3" w:rsidRPr="00BD04E4" w:rsidRDefault="00314FC3">
            <w:pPr>
              <w:jc w:val="right"/>
              <w:rPr>
                <w:sz w:val="20"/>
                <w:szCs w:val="20"/>
              </w:rPr>
            </w:pPr>
            <w:r w:rsidRPr="00BD04E4">
              <w:rPr>
                <w:sz w:val="20"/>
                <w:szCs w:val="20"/>
              </w:rPr>
              <w:t>7.13</w:t>
            </w:r>
          </w:p>
        </w:tc>
      </w:tr>
      <w:tr w:rsidR="00314FC3" w:rsidRPr="00BD04E4">
        <w:trPr>
          <w:jc w:val="center"/>
        </w:trPr>
        <w:tc>
          <w:tcPr>
            <w:tcW w:w="1878" w:type="dxa"/>
          </w:tcPr>
          <w:p w:rsidR="00314FC3" w:rsidRPr="00BD04E4" w:rsidRDefault="00314FC3">
            <w:pPr>
              <w:rPr>
                <w:sz w:val="20"/>
                <w:szCs w:val="20"/>
              </w:rPr>
            </w:pPr>
            <w:r w:rsidRPr="00BD04E4">
              <w:rPr>
                <w:sz w:val="20"/>
                <w:szCs w:val="20"/>
              </w:rPr>
              <w:t>Number of obs.</w:t>
            </w:r>
          </w:p>
        </w:tc>
        <w:tc>
          <w:tcPr>
            <w:tcW w:w="824" w:type="dxa"/>
          </w:tcPr>
          <w:p w:rsidR="00314FC3" w:rsidRPr="00BD04E4" w:rsidRDefault="00314FC3">
            <w:pPr>
              <w:jc w:val="right"/>
              <w:rPr>
                <w:sz w:val="20"/>
                <w:szCs w:val="20"/>
              </w:rPr>
            </w:pPr>
            <w:r w:rsidRPr="00BD04E4">
              <w:rPr>
                <w:sz w:val="20"/>
                <w:szCs w:val="20"/>
              </w:rPr>
              <w:t>1,253</w:t>
            </w:r>
          </w:p>
        </w:tc>
        <w:tc>
          <w:tcPr>
            <w:tcW w:w="970" w:type="dxa"/>
          </w:tcPr>
          <w:p w:rsidR="00314FC3" w:rsidRPr="00BD04E4" w:rsidRDefault="00314FC3">
            <w:pPr>
              <w:jc w:val="right"/>
              <w:rPr>
                <w:sz w:val="20"/>
                <w:szCs w:val="20"/>
              </w:rPr>
            </w:pPr>
          </w:p>
        </w:tc>
        <w:tc>
          <w:tcPr>
            <w:tcW w:w="984" w:type="dxa"/>
          </w:tcPr>
          <w:p w:rsidR="00314FC3" w:rsidRPr="00BD04E4" w:rsidRDefault="00314FC3">
            <w:pPr>
              <w:jc w:val="right"/>
              <w:rPr>
                <w:sz w:val="20"/>
                <w:szCs w:val="20"/>
              </w:rPr>
            </w:pPr>
          </w:p>
        </w:tc>
        <w:tc>
          <w:tcPr>
            <w:tcW w:w="1299" w:type="dxa"/>
          </w:tcPr>
          <w:p w:rsidR="00314FC3" w:rsidRPr="00BD04E4" w:rsidRDefault="00314FC3">
            <w:pPr>
              <w:jc w:val="right"/>
              <w:rPr>
                <w:sz w:val="20"/>
                <w:szCs w:val="20"/>
              </w:rPr>
            </w:pPr>
            <w:r w:rsidRPr="00BD04E4">
              <w:rPr>
                <w:sz w:val="20"/>
                <w:szCs w:val="20"/>
              </w:rPr>
              <w:t>12,085</w:t>
            </w:r>
          </w:p>
        </w:tc>
        <w:tc>
          <w:tcPr>
            <w:tcW w:w="1477" w:type="dxa"/>
          </w:tcPr>
          <w:p w:rsidR="00314FC3" w:rsidRPr="00BD04E4" w:rsidRDefault="00314FC3">
            <w:pPr>
              <w:jc w:val="right"/>
              <w:rPr>
                <w:sz w:val="20"/>
                <w:szCs w:val="20"/>
              </w:rPr>
            </w:pPr>
          </w:p>
        </w:tc>
        <w:tc>
          <w:tcPr>
            <w:tcW w:w="920" w:type="dxa"/>
          </w:tcPr>
          <w:p w:rsidR="00314FC3" w:rsidRPr="00BD04E4" w:rsidRDefault="00314FC3">
            <w:pPr>
              <w:jc w:val="right"/>
              <w:rPr>
                <w:sz w:val="20"/>
                <w:szCs w:val="20"/>
              </w:rPr>
            </w:pPr>
          </w:p>
        </w:tc>
      </w:tr>
    </w:tbl>
    <w:p w:rsidR="00903D89" w:rsidRPr="00BD04E4" w:rsidRDefault="00903D89"/>
    <w:p w:rsidR="00903D89" w:rsidRPr="00BD04E4" w:rsidRDefault="00903D89"/>
    <w:p w:rsidR="00903D89" w:rsidRPr="00BD04E4" w:rsidRDefault="00903D89"/>
    <w:p w:rsidR="00903D89" w:rsidRPr="00BD04E4" w:rsidRDefault="00903D89"/>
    <w:p w:rsidR="00903D89" w:rsidRPr="00BD04E4" w:rsidRDefault="00903D89"/>
    <w:p w:rsidR="00903D89" w:rsidRPr="00BD04E4" w:rsidRDefault="00903D89">
      <w:pPr>
        <w:rPr>
          <w:b/>
        </w:rPr>
      </w:pPr>
    </w:p>
    <w:p w:rsidR="00903D89" w:rsidRPr="00BD04E4" w:rsidRDefault="00903D89">
      <w:pPr>
        <w:pStyle w:val="Footer"/>
        <w:tabs>
          <w:tab w:val="clear" w:pos="4320"/>
          <w:tab w:val="clear" w:pos="8640"/>
        </w:tabs>
        <w:sectPr w:rsidR="00903D89" w:rsidRPr="00BD04E4" w:rsidSect="008B69D7">
          <w:footerReference w:type="default" r:id="rId9"/>
          <w:footerReference w:type="first" r:id="rId10"/>
          <w:endnotePr>
            <w:numFmt w:val="decimal"/>
          </w:endnotePr>
          <w:pgSz w:w="12240" w:h="15840" w:code="1"/>
          <w:pgMar w:top="1440" w:right="1440" w:bottom="1440" w:left="1440" w:header="720" w:footer="2160" w:gutter="0"/>
          <w:pgNumType w:start="0"/>
          <w:cols w:space="720"/>
          <w:titlePg/>
          <w:docGrid w:linePitch="360"/>
        </w:sectPr>
      </w:pPr>
    </w:p>
    <w:p w:rsidR="00903D89" w:rsidRPr="00BD04E4" w:rsidRDefault="00903D89">
      <w:pPr>
        <w:rPr>
          <w:b/>
        </w:rPr>
      </w:pPr>
      <w:r w:rsidRPr="00BD04E4">
        <w:rPr>
          <w:b/>
        </w:rPr>
        <w:lastRenderedPageBreak/>
        <w:t xml:space="preserve">Table </w:t>
      </w:r>
      <w:r w:rsidR="00E817C9">
        <w:rPr>
          <w:b/>
        </w:rPr>
        <w:t>4</w:t>
      </w:r>
    </w:p>
    <w:p w:rsidR="005D221D" w:rsidRDefault="00A3582C">
      <w:pPr>
        <w:rPr>
          <w:b/>
        </w:rPr>
      </w:pPr>
      <w:r>
        <w:rPr>
          <w:b/>
        </w:rPr>
        <w:t xml:space="preserve">Cross-sectional </w:t>
      </w:r>
      <w:r w:rsidR="00903D89" w:rsidRPr="00BD04E4">
        <w:rPr>
          <w:b/>
        </w:rPr>
        <w:t>Forecast Error Regression</w:t>
      </w:r>
    </w:p>
    <w:p w:rsidR="005D221D" w:rsidRDefault="005D221D">
      <w:pPr>
        <w:rPr>
          <w:b/>
        </w:rPr>
      </w:pPr>
    </w:p>
    <w:p w:rsidR="005D221D" w:rsidRPr="00576D32" w:rsidRDefault="00F64F5E" w:rsidP="00576D32">
      <w:pPr>
        <w:pStyle w:val="BodyTextIndent"/>
        <w:spacing w:line="240" w:lineRule="auto"/>
        <w:ind w:firstLine="0"/>
        <w:rPr>
          <w:sz w:val="20"/>
          <w:szCs w:val="20"/>
        </w:rPr>
      </w:pPr>
      <w:r w:rsidRPr="00576D32">
        <w:rPr>
          <w:sz w:val="20"/>
          <w:szCs w:val="20"/>
        </w:rPr>
        <w:t>T</w:t>
      </w:r>
      <w:r w:rsidR="00B83C07" w:rsidRPr="00576D32">
        <w:rPr>
          <w:sz w:val="20"/>
          <w:szCs w:val="20"/>
        </w:rPr>
        <w:t>he Form 144 Sample</w:t>
      </w:r>
      <w:r w:rsidRPr="00576D32">
        <w:rPr>
          <w:sz w:val="20"/>
          <w:szCs w:val="20"/>
        </w:rPr>
        <w:t xml:space="preserve"> are</w:t>
      </w:r>
      <w:r w:rsidR="00B83C07" w:rsidRPr="00576D32">
        <w:rPr>
          <w:sz w:val="20"/>
          <w:szCs w:val="20"/>
        </w:rPr>
        <w:t xml:space="preserve"> sell-side analyst</w:t>
      </w:r>
      <w:r w:rsidRPr="00576D32">
        <w:rPr>
          <w:sz w:val="20"/>
          <w:szCs w:val="20"/>
        </w:rPr>
        <w:t>s</w:t>
      </w:r>
      <w:r w:rsidR="00B83C07" w:rsidRPr="00576D32">
        <w:rPr>
          <w:sz w:val="20"/>
          <w:szCs w:val="20"/>
        </w:rPr>
        <w:t xml:space="preserve"> that provide research coverage on a company and file a Form 144 with the SEC upon the sale of their restricted stock in that same company.  The Disclosing Sample represents sell-side analysts that provide research coverage on a company and disclose ownership in that same company.  </w:t>
      </w:r>
      <w:r w:rsidR="00340867" w:rsidRPr="00576D32">
        <w:rPr>
          <w:b/>
          <w:sz w:val="20"/>
          <w:szCs w:val="20"/>
        </w:rPr>
        <w:t xml:space="preserve">Forecast error </w:t>
      </w:r>
      <w:r w:rsidR="00340867" w:rsidRPr="00576D32">
        <w:rPr>
          <w:sz w:val="20"/>
          <w:szCs w:val="20"/>
        </w:rPr>
        <w:t xml:space="preserve">is actual earnings for the quarter less the analyst’s earnings forecast all deflated by lagged stock price. </w:t>
      </w:r>
      <w:r w:rsidR="009C5B6A" w:rsidRPr="00576D32">
        <w:rPr>
          <w:b/>
          <w:sz w:val="20"/>
          <w:szCs w:val="20"/>
        </w:rPr>
        <w:t>Own</w:t>
      </w:r>
      <w:r w:rsidR="009C5B6A" w:rsidRPr="00576D32">
        <w:rPr>
          <w:sz w:val="20"/>
          <w:szCs w:val="20"/>
        </w:rPr>
        <w:t xml:space="preserve"> is a dummy variable indicating whether the analyst owns the stock on which she issues a report. </w:t>
      </w:r>
      <w:r w:rsidR="00340867" w:rsidRPr="00576D32">
        <w:rPr>
          <w:b/>
          <w:sz w:val="20"/>
          <w:szCs w:val="20"/>
        </w:rPr>
        <w:t xml:space="preserve">IPO Underwriter </w:t>
      </w:r>
      <w:r w:rsidR="00340867" w:rsidRPr="00576D32">
        <w:rPr>
          <w:sz w:val="20"/>
          <w:szCs w:val="20"/>
        </w:rPr>
        <w:t>is a</w:t>
      </w:r>
      <w:r w:rsidR="00340867" w:rsidRPr="00576D32">
        <w:rPr>
          <w:b/>
          <w:sz w:val="20"/>
          <w:szCs w:val="20"/>
        </w:rPr>
        <w:t xml:space="preserve"> </w:t>
      </w:r>
      <w:r w:rsidR="00340867" w:rsidRPr="00576D32">
        <w:rPr>
          <w:sz w:val="20"/>
          <w:szCs w:val="20"/>
        </w:rPr>
        <w:t xml:space="preserve">dummy variable indicating whether the analyst's brokerage firm is the IPO lead underwriter and the analyst report is issued within one year after the IPO.  </w:t>
      </w:r>
      <w:r w:rsidR="00340867" w:rsidRPr="00576D32">
        <w:rPr>
          <w:b/>
          <w:sz w:val="20"/>
          <w:szCs w:val="20"/>
        </w:rPr>
        <w:t xml:space="preserve">IPO Co-manager </w:t>
      </w:r>
      <w:r w:rsidR="00340867" w:rsidRPr="00576D32">
        <w:rPr>
          <w:sz w:val="20"/>
          <w:szCs w:val="20"/>
        </w:rPr>
        <w:t xml:space="preserve">is defined in the same way.  </w:t>
      </w:r>
      <w:r w:rsidR="00340867" w:rsidRPr="00576D32">
        <w:rPr>
          <w:b/>
          <w:sz w:val="20"/>
          <w:szCs w:val="20"/>
        </w:rPr>
        <w:t xml:space="preserve">SEO Underwriter </w:t>
      </w:r>
      <w:r w:rsidR="00340867" w:rsidRPr="00576D32">
        <w:rPr>
          <w:sz w:val="20"/>
          <w:szCs w:val="20"/>
        </w:rPr>
        <w:t xml:space="preserve">is a dummy variable indicating whether the analyst's brokerage firm is the SEO lead underwriter and the analyst report is issued within six months before and one year after the SEO.  </w:t>
      </w:r>
      <w:r w:rsidR="00340867" w:rsidRPr="00576D32">
        <w:rPr>
          <w:b/>
          <w:sz w:val="20"/>
          <w:szCs w:val="20"/>
        </w:rPr>
        <w:t>SEO Co-manager</w:t>
      </w:r>
      <w:r w:rsidR="00340867" w:rsidRPr="00576D32">
        <w:rPr>
          <w:sz w:val="20"/>
          <w:szCs w:val="20"/>
        </w:rPr>
        <w:t xml:space="preserve"> is defined the same way.  </w:t>
      </w:r>
      <w:r w:rsidR="00340867" w:rsidRPr="00576D32">
        <w:rPr>
          <w:b/>
          <w:sz w:val="20"/>
          <w:szCs w:val="20"/>
        </w:rPr>
        <w:t>Forecast age</w:t>
      </w:r>
      <w:r w:rsidR="00340867" w:rsidRPr="00576D32">
        <w:rPr>
          <w:sz w:val="20"/>
          <w:szCs w:val="20"/>
        </w:rPr>
        <w:t xml:space="preserve"> is the difference, in days, between the date of the analyst’s forecast and the company’s actual earnings announcement.  </w:t>
      </w:r>
      <w:r w:rsidR="009C5B6A" w:rsidRPr="00576D32">
        <w:rPr>
          <w:b/>
          <w:sz w:val="20"/>
          <w:szCs w:val="20"/>
        </w:rPr>
        <w:t xml:space="preserve">Loss </w:t>
      </w:r>
      <w:r w:rsidR="009C5B6A" w:rsidRPr="00576D32">
        <w:rPr>
          <w:sz w:val="20"/>
          <w:szCs w:val="20"/>
        </w:rPr>
        <w:t>is a dummy variable indicating whether the current quarter’s income is a loss or not.</w:t>
      </w:r>
      <w:r w:rsidR="009C5B6A" w:rsidRPr="00576D32">
        <w:rPr>
          <w:b/>
          <w:sz w:val="20"/>
          <w:szCs w:val="20"/>
        </w:rPr>
        <w:t xml:space="preserve">  Follow </w:t>
      </w:r>
      <w:r w:rsidR="009C5B6A" w:rsidRPr="00576D32">
        <w:rPr>
          <w:sz w:val="20"/>
          <w:szCs w:val="20"/>
        </w:rPr>
        <w:t xml:space="preserve">is the number of analysts reporting earnings forecasts on the company during the quarter. </w:t>
      </w:r>
      <w:r w:rsidR="00340867" w:rsidRPr="00576D32">
        <w:rPr>
          <w:sz w:val="20"/>
          <w:szCs w:val="20"/>
        </w:rPr>
        <w:t xml:space="preserve"> </w:t>
      </w:r>
      <w:r w:rsidR="00340867" w:rsidRPr="00576D32">
        <w:rPr>
          <w:b/>
          <w:sz w:val="20"/>
          <w:szCs w:val="20"/>
        </w:rPr>
        <w:t xml:space="preserve">Broker </w:t>
      </w:r>
      <w:proofErr w:type="spellStart"/>
      <w:r w:rsidR="00340867" w:rsidRPr="00576D32">
        <w:rPr>
          <w:b/>
          <w:sz w:val="20"/>
          <w:szCs w:val="20"/>
        </w:rPr>
        <w:t>Decile</w:t>
      </w:r>
      <w:proofErr w:type="spellEnd"/>
      <w:r w:rsidR="00340867" w:rsidRPr="00576D32">
        <w:rPr>
          <w:b/>
          <w:sz w:val="20"/>
          <w:szCs w:val="20"/>
        </w:rPr>
        <w:t xml:space="preserve"> </w:t>
      </w:r>
      <w:r w:rsidR="00340867" w:rsidRPr="00576D32">
        <w:rPr>
          <w:sz w:val="20"/>
          <w:szCs w:val="20"/>
        </w:rPr>
        <w:t xml:space="preserve">is a </w:t>
      </w:r>
      <w:proofErr w:type="spellStart"/>
      <w:r w:rsidR="00340867" w:rsidRPr="00576D32">
        <w:rPr>
          <w:sz w:val="20"/>
          <w:szCs w:val="20"/>
        </w:rPr>
        <w:t>decile</w:t>
      </w:r>
      <w:proofErr w:type="spellEnd"/>
      <w:r w:rsidR="00340867" w:rsidRPr="00576D32">
        <w:rPr>
          <w:sz w:val="20"/>
          <w:szCs w:val="20"/>
        </w:rPr>
        <w:t xml:space="preserve"> size ranking of</w:t>
      </w:r>
      <w:r w:rsidR="00340867" w:rsidRPr="00576D32">
        <w:rPr>
          <w:b/>
          <w:sz w:val="20"/>
          <w:szCs w:val="20"/>
        </w:rPr>
        <w:t xml:space="preserve"> </w:t>
      </w:r>
      <w:r w:rsidR="00340867" w:rsidRPr="00576D32">
        <w:rPr>
          <w:sz w:val="20"/>
          <w:szCs w:val="20"/>
        </w:rPr>
        <w:t>the analyst’s</w:t>
      </w:r>
      <w:r w:rsidR="00340867" w:rsidRPr="00576D32">
        <w:rPr>
          <w:b/>
          <w:sz w:val="20"/>
          <w:szCs w:val="20"/>
        </w:rPr>
        <w:t xml:space="preserve"> </w:t>
      </w:r>
      <w:r w:rsidR="00340867" w:rsidRPr="00576D32">
        <w:rPr>
          <w:sz w:val="20"/>
          <w:szCs w:val="20"/>
        </w:rPr>
        <w:t xml:space="preserve">brokerage firm, computed annually, </w:t>
      </w:r>
      <w:r w:rsidR="00563454" w:rsidRPr="00576D32">
        <w:rPr>
          <w:sz w:val="20"/>
          <w:szCs w:val="20"/>
        </w:rPr>
        <w:t>and based</w:t>
      </w:r>
      <w:r w:rsidR="00340867" w:rsidRPr="00576D32">
        <w:rPr>
          <w:sz w:val="20"/>
          <w:szCs w:val="20"/>
        </w:rPr>
        <w:t xml:space="preserve"> on the number of analysts at each brokerage firm as reported by IBES.  </w:t>
      </w:r>
      <w:r w:rsidR="00340867" w:rsidRPr="00576D32">
        <w:rPr>
          <w:b/>
          <w:sz w:val="20"/>
          <w:szCs w:val="20"/>
        </w:rPr>
        <w:t>Experience</w:t>
      </w:r>
      <w:r w:rsidR="00340867" w:rsidRPr="00576D32">
        <w:rPr>
          <w:sz w:val="20"/>
          <w:szCs w:val="20"/>
        </w:rPr>
        <w:t xml:space="preserve"> is a measure of analyst tenure as a sell-side analyst, as of the current year (years in the IBES database is the proxy).  </w:t>
      </w:r>
      <w:r w:rsidR="00340867" w:rsidRPr="00576D32">
        <w:rPr>
          <w:b/>
          <w:sz w:val="20"/>
          <w:szCs w:val="20"/>
        </w:rPr>
        <w:t xml:space="preserve">Complexity </w:t>
      </w:r>
      <w:r w:rsidR="00340867" w:rsidRPr="00576D32">
        <w:rPr>
          <w:sz w:val="20"/>
          <w:szCs w:val="20"/>
        </w:rPr>
        <w:t xml:space="preserve">is the number of companies the analyst covers during the year.  </w:t>
      </w:r>
      <w:r w:rsidR="00340867" w:rsidRPr="00576D32">
        <w:rPr>
          <w:b/>
          <w:sz w:val="20"/>
          <w:szCs w:val="20"/>
        </w:rPr>
        <w:t xml:space="preserve">Disclose </w:t>
      </w:r>
      <w:r w:rsidR="00340867" w:rsidRPr="00576D32">
        <w:rPr>
          <w:sz w:val="20"/>
          <w:szCs w:val="20"/>
        </w:rPr>
        <w:t>is a</w:t>
      </w:r>
      <w:r w:rsidR="00340867" w:rsidRPr="00576D32">
        <w:rPr>
          <w:b/>
          <w:sz w:val="20"/>
          <w:szCs w:val="20"/>
        </w:rPr>
        <w:t xml:space="preserve"> </w:t>
      </w:r>
      <w:r w:rsidR="00340867" w:rsidRPr="00576D32">
        <w:rPr>
          <w:sz w:val="20"/>
          <w:szCs w:val="20"/>
        </w:rPr>
        <w:t xml:space="preserve">dummy variable indicating whether the analyst is a restricted stockowner and whether their ownership was disclosed to the public, prior to the Form 144.  </w:t>
      </w:r>
      <w:r w:rsidR="005D221D" w:rsidRPr="00576D32">
        <w:rPr>
          <w:b/>
          <w:sz w:val="20"/>
          <w:szCs w:val="20"/>
        </w:rPr>
        <w:t xml:space="preserve">Internet </w:t>
      </w:r>
      <w:r w:rsidR="005D221D" w:rsidRPr="00576D32">
        <w:rPr>
          <w:sz w:val="20"/>
          <w:szCs w:val="20"/>
        </w:rPr>
        <w:t>is</w:t>
      </w:r>
      <w:r w:rsidR="005D221D" w:rsidRPr="00576D32">
        <w:rPr>
          <w:b/>
          <w:sz w:val="20"/>
          <w:szCs w:val="20"/>
        </w:rPr>
        <w:t xml:space="preserve"> </w:t>
      </w:r>
      <w:r w:rsidR="005D221D" w:rsidRPr="00576D32">
        <w:rPr>
          <w:sz w:val="20"/>
          <w:szCs w:val="20"/>
        </w:rPr>
        <w:t>a</w:t>
      </w:r>
      <w:r w:rsidR="005D221D" w:rsidRPr="00576D32">
        <w:rPr>
          <w:b/>
          <w:sz w:val="20"/>
          <w:szCs w:val="20"/>
        </w:rPr>
        <w:t xml:space="preserve"> </w:t>
      </w:r>
      <w:r w:rsidR="005D221D" w:rsidRPr="00576D32">
        <w:rPr>
          <w:sz w:val="20"/>
          <w:szCs w:val="20"/>
        </w:rPr>
        <w:t xml:space="preserve">dummy variable indicating whether the sample company belongs to one of the four </w:t>
      </w:r>
      <w:proofErr w:type="gramStart"/>
      <w:r w:rsidR="005D221D" w:rsidRPr="00576D32">
        <w:rPr>
          <w:sz w:val="20"/>
          <w:szCs w:val="20"/>
        </w:rPr>
        <w:t>digit</w:t>
      </w:r>
      <w:proofErr w:type="gramEnd"/>
      <w:r w:rsidR="005D221D" w:rsidRPr="00576D32">
        <w:rPr>
          <w:sz w:val="20"/>
          <w:szCs w:val="20"/>
        </w:rPr>
        <w:t xml:space="preserve"> SIC groups specified by </w:t>
      </w:r>
      <w:proofErr w:type="spellStart"/>
      <w:r w:rsidR="005D221D" w:rsidRPr="00576D32">
        <w:rPr>
          <w:sz w:val="20"/>
          <w:szCs w:val="20"/>
        </w:rPr>
        <w:t>Loughran</w:t>
      </w:r>
      <w:proofErr w:type="spellEnd"/>
      <w:r w:rsidR="005D221D" w:rsidRPr="00576D32">
        <w:rPr>
          <w:sz w:val="20"/>
          <w:szCs w:val="20"/>
        </w:rPr>
        <w:t xml:space="preserve"> and Ritter (2002) for Technology stocks.  </w:t>
      </w:r>
      <w:r w:rsidR="005D221D" w:rsidRPr="00576D32">
        <w:rPr>
          <w:b/>
          <w:sz w:val="20"/>
          <w:szCs w:val="20"/>
        </w:rPr>
        <w:t>Volatility (lagged)</w:t>
      </w:r>
      <w:r w:rsidR="005D221D" w:rsidRPr="00576D32">
        <w:rPr>
          <w:sz w:val="20"/>
          <w:szCs w:val="20"/>
        </w:rPr>
        <w:t xml:space="preserve"> is the standard deviation of daily stock returns for the preceding year.  </w:t>
      </w:r>
      <w:r w:rsidR="005D221D" w:rsidRPr="00576D32">
        <w:rPr>
          <w:b/>
          <w:sz w:val="20"/>
          <w:szCs w:val="20"/>
        </w:rPr>
        <w:t xml:space="preserve">Industry </w:t>
      </w:r>
      <w:r w:rsidR="005D221D" w:rsidRPr="00576D32">
        <w:rPr>
          <w:sz w:val="20"/>
          <w:szCs w:val="20"/>
        </w:rPr>
        <w:t xml:space="preserve">is a dummy variable, </w:t>
      </w:r>
      <w:r w:rsidR="001F41C5" w:rsidRPr="00576D32">
        <w:rPr>
          <w:sz w:val="20"/>
          <w:szCs w:val="20"/>
        </w:rPr>
        <w:t>one for each one digit SIC code</w:t>
      </w:r>
      <w:r w:rsidR="005D221D" w:rsidRPr="00576D32">
        <w:rPr>
          <w:sz w:val="20"/>
          <w:szCs w:val="20"/>
        </w:rPr>
        <w:t>.</w:t>
      </w:r>
      <w:r w:rsidR="00DB381E">
        <w:rPr>
          <w:sz w:val="20"/>
          <w:szCs w:val="20"/>
        </w:rPr>
        <w:t xml:space="preserve">  * Statistically significant at the 5% level or better.</w:t>
      </w:r>
    </w:p>
    <w:p w:rsidR="00903D89" w:rsidRPr="00BD04E4" w:rsidRDefault="00903D89">
      <w:pPr>
        <w:rPr>
          <w:i/>
        </w:rPr>
      </w:pPr>
      <w:r w:rsidRPr="00BD04E4">
        <w:rPr>
          <w:i/>
        </w:rPr>
        <w:t>Dependent variable:  Forecast Error (FE).</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6"/>
        <w:gridCol w:w="236"/>
        <w:gridCol w:w="1164"/>
        <w:gridCol w:w="287"/>
        <w:gridCol w:w="1211"/>
        <w:gridCol w:w="247"/>
        <w:gridCol w:w="1164"/>
        <w:gridCol w:w="236"/>
        <w:gridCol w:w="1359"/>
      </w:tblGrid>
      <w:tr w:rsidR="00903D89" w:rsidRPr="00BD04E4">
        <w:trPr>
          <w:jc w:val="center"/>
        </w:trPr>
        <w:tc>
          <w:tcPr>
            <w:tcW w:w="2918" w:type="dxa"/>
          </w:tcPr>
          <w:p w:rsidR="00903D89" w:rsidRPr="00A3582C" w:rsidRDefault="00903D89">
            <w:pPr>
              <w:rPr>
                <w:sz w:val="20"/>
                <w:szCs w:val="20"/>
              </w:rPr>
            </w:pPr>
          </w:p>
        </w:tc>
        <w:tc>
          <w:tcPr>
            <w:tcW w:w="236" w:type="dxa"/>
          </w:tcPr>
          <w:p w:rsidR="00903D89" w:rsidRPr="00A3582C" w:rsidRDefault="00903D89">
            <w:pPr>
              <w:rPr>
                <w:sz w:val="20"/>
                <w:szCs w:val="20"/>
              </w:rPr>
            </w:pPr>
          </w:p>
        </w:tc>
        <w:tc>
          <w:tcPr>
            <w:tcW w:w="2804" w:type="dxa"/>
            <w:gridSpan w:val="3"/>
          </w:tcPr>
          <w:p w:rsidR="00903D89" w:rsidRPr="00A3582C" w:rsidRDefault="00903D89">
            <w:pPr>
              <w:jc w:val="center"/>
              <w:rPr>
                <w:b/>
                <w:i/>
                <w:sz w:val="20"/>
                <w:szCs w:val="20"/>
              </w:rPr>
            </w:pPr>
            <w:r w:rsidRPr="00A3582C">
              <w:rPr>
                <w:b/>
                <w:i/>
                <w:sz w:val="20"/>
                <w:szCs w:val="20"/>
              </w:rPr>
              <w:t>Form 144 Sample</w:t>
            </w:r>
          </w:p>
        </w:tc>
        <w:tc>
          <w:tcPr>
            <w:tcW w:w="248" w:type="dxa"/>
          </w:tcPr>
          <w:p w:rsidR="00903D89" w:rsidRPr="00A3582C" w:rsidRDefault="00903D89">
            <w:pPr>
              <w:jc w:val="center"/>
              <w:rPr>
                <w:b/>
                <w:sz w:val="20"/>
                <w:szCs w:val="20"/>
              </w:rPr>
            </w:pPr>
          </w:p>
        </w:tc>
        <w:tc>
          <w:tcPr>
            <w:tcW w:w="1440" w:type="dxa"/>
            <w:gridSpan w:val="3"/>
          </w:tcPr>
          <w:p w:rsidR="00903D89" w:rsidRPr="00A3582C" w:rsidRDefault="00903D89">
            <w:pPr>
              <w:jc w:val="center"/>
              <w:rPr>
                <w:b/>
                <w:i/>
                <w:sz w:val="20"/>
                <w:szCs w:val="20"/>
              </w:rPr>
            </w:pPr>
            <w:r w:rsidRPr="00A3582C">
              <w:rPr>
                <w:b/>
                <w:i/>
                <w:sz w:val="20"/>
                <w:szCs w:val="20"/>
              </w:rPr>
              <w:t>Disclosing Sample</w:t>
            </w:r>
          </w:p>
        </w:tc>
      </w:tr>
      <w:tr w:rsidR="00903D89" w:rsidRPr="00BD04E4">
        <w:trPr>
          <w:jc w:val="center"/>
        </w:trPr>
        <w:tc>
          <w:tcPr>
            <w:tcW w:w="2918" w:type="dxa"/>
          </w:tcPr>
          <w:p w:rsidR="00903D89" w:rsidRPr="00A3582C" w:rsidRDefault="00903D89">
            <w:pPr>
              <w:rPr>
                <w:sz w:val="20"/>
                <w:szCs w:val="20"/>
              </w:rPr>
            </w:pPr>
          </w:p>
        </w:tc>
        <w:tc>
          <w:tcPr>
            <w:tcW w:w="236" w:type="dxa"/>
          </w:tcPr>
          <w:p w:rsidR="00903D89" w:rsidRPr="00A3582C" w:rsidRDefault="00903D89">
            <w:pPr>
              <w:rPr>
                <w:sz w:val="20"/>
                <w:szCs w:val="20"/>
              </w:rPr>
            </w:pPr>
          </w:p>
        </w:tc>
        <w:tc>
          <w:tcPr>
            <w:tcW w:w="1231" w:type="dxa"/>
          </w:tcPr>
          <w:p w:rsidR="00903D89" w:rsidRPr="00A3582C" w:rsidRDefault="00903D89">
            <w:pPr>
              <w:jc w:val="center"/>
              <w:rPr>
                <w:b/>
                <w:sz w:val="20"/>
                <w:szCs w:val="20"/>
              </w:rPr>
            </w:pPr>
            <w:r w:rsidRPr="00A3582C">
              <w:rPr>
                <w:b/>
                <w:sz w:val="20"/>
                <w:szCs w:val="20"/>
              </w:rPr>
              <w:t>Coefficient</w:t>
            </w:r>
          </w:p>
          <w:p w:rsidR="00903D89" w:rsidRPr="00A3582C" w:rsidRDefault="00903D89">
            <w:pPr>
              <w:jc w:val="center"/>
              <w:rPr>
                <w:b/>
                <w:sz w:val="20"/>
                <w:szCs w:val="20"/>
              </w:rPr>
            </w:pPr>
            <w:r w:rsidRPr="00A3582C">
              <w:rPr>
                <w:b/>
                <w:sz w:val="20"/>
                <w:szCs w:val="20"/>
              </w:rPr>
              <w:t>(OLS)</w:t>
            </w:r>
          </w:p>
        </w:tc>
        <w:tc>
          <w:tcPr>
            <w:tcW w:w="291" w:type="dxa"/>
          </w:tcPr>
          <w:p w:rsidR="00903D89" w:rsidRPr="00A3582C" w:rsidRDefault="00903D89">
            <w:pPr>
              <w:rPr>
                <w:sz w:val="20"/>
                <w:szCs w:val="20"/>
              </w:rPr>
            </w:pPr>
          </w:p>
        </w:tc>
        <w:tc>
          <w:tcPr>
            <w:tcW w:w="1282" w:type="dxa"/>
          </w:tcPr>
          <w:p w:rsidR="00903D89" w:rsidRPr="00A3582C" w:rsidRDefault="00903D89">
            <w:pPr>
              <w:jc w:val="center"/>
              <w:rPr>
                <w:b/>
                <w:sz w:val="20"/>
                <w:szCs w:val="20"/>
              </w:rPr>
            </w:pPr>
            <w:r w:rsidRPr="00A3582C">
              <w:rPr>
                <w:b/>
                <w:sz w:val="20"/>
                <w:szCs w:val="20"/>
              </w:rPr>
              <w:t>T-Statistic (OLS)</w:t>
            </w:r>
          </w:p>
        </w:tc>
        <w:tc>
          <w:tcPr>
            <w:tcW w:w="248" w:type="dxa"/>
          </w:tcPr>
          <w:p w:rsidR="00903D89" w:rsidRPr="00A3582C" w:rsidRDefault="00903D89">
            <w:pPr>
              <w:jc w:val="center"/>
              <w:rPr>
                <w:b/>
                <w:sz w:val="20"/>
                <w:szCs w:val="20"/>
              </w:rPr>
            </w:pPr>
          </w:p>
        </w:tc>
        <w:tc>
          <w:tcPr>
            <w:tcW w:w="1231" w:type="dxa"/>
          </w:tcPr>
          <w:p w:rsidR="00903D89" w:rsidRPr="00A3582C" w:rsidRDefault="00903D89">
            <w:pPr>
              <w:jc w:val="center"/>
              <w:rPr>
                <w:b/>
                <w:sz w:val="20"/>
                <w:szCs w:val="20"/>
              </w:rPr>
            </w:pPr>
            <w:r w:rsidRPr="00A3582C">
              <w:rPr>
                <w:b/>
                <w:sz w:val="20"/>
                <w:szCs w:val="20"/>
              </w:rPr>
              <w:t>Coefficient</w:t>
            </w:r>
          </w:p>
          <w:p w:rsidR="00903D89" w:rsidRPr="00A3582C" w:rsidRDefault="00903D89">
            <w:pPr>
              <w:jc w:val="center"/>
              <w:rPr>
                <w:b/>
                <w:sz w:val="20"/>
                <w:szCs w:val="20"/>
              </w:rPr>
            </w:pPr>
            <w:r w:rsidRPr="00A3582C">
              <w:rPr>
                <w:b/>
                <w:sz w:val="20"/>
                <w:szCs w:val="20"/>
              </w:rPr>
              <w:t>(1)</w:t>
            </w:r>
          </w:p>
        </w:tc>
        <w:tc>
          <w:tcPr>
            <w:tcW w:w="236" w:type="dxa"/>
          </w:tcPr>
          <w:p w:rsidR="00903D89" w:rsidRPr="00A3582C" w:rsidRDefault="00903D89">
            <w:pPr>
              <w:rPr>
                <w:sz w:val="20"/>
                <w:szCs w:val="20"/>
              </w:rPr>
            </w:pPr>
          </w:p>
        </w:tc>
        <w:tc>
          <w:tcPr>
            <w:tcW w:w="1440" w:type="dxa"/>
          </w:tcPr>
          <w:p w:rsidR="00903D89" w:rsidRPr="00A3582C" w:rsidRDefault="00903D89">
            <w:pPr>
              <w:jc w:val="center"/>
              <w:rPr>
                <w:b/>
                <w:sz w:val="20"/>
                <w:szCs w:val="20"/>
              </w:rPr>
            </w:pPr>
            <w:r w:rsidRPr="00A3582C">
              <w:rPr>
                <w:b/>
                <w:sz w:val="20"/>
                <w:szCs w:val="20"/>
              </w:rPr>
              <w:t>T-Statistic</w:t>
            </w:r>
          </w:p>
          <w:p w:rsidR="00903D89" w:rsidRPr="00A3582C" w:rsidRDefault="00903D89">
            <w:pPr>
              <w:jc w:val="center"/>
              <w:rPr>
                <w:b/>
                <w:sz w:val="20"/>
                <w:szCs w:val="20"/>
              </w:rPr>
            </w:pPr>
            <w:r w:rsidRPr="00A3582C">
              <w:rPr>
                <w:b/>
                <w:sz w:val="20"/>
                <w:szCs w:val="20"/>
              </w:rPr>
              <w:t>(1)</w:t>
            </w:r>
          </w:p>
        </w:tc>
      </w:tr>
      <w:tr w:rsidR="00903D89" w:rsidRPr="00BD04E4">
        <w:trPr>
          <w:jc w:val="center"/>
        </w:trPr>
        <w:tc>
          <w:tcPr>
            <w:tcW w:w="2918" w:type="dxa"/>
          </w:tcPr>
          <w:p w:rsidR="00903D89" w:rsidRPr="00A3582C" w:rsidRDefault="00903D89">
            <w:pPr>
              <w:rPr>
                <w:sz w:val="20"/>
                <w:szCs w:val="20"/>
              </w:rPr>
            </w:pPr>
            <w:r w:rsidRPr="00A3582C">
              <w:rPr>
                <w:sz w:val="20"/>
                <w:szCs w:val="20"/>
              </w:rPr>
              <w:t>Intercept</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0.0031</w:t>
            </w: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sz w:val="20"/>
                <w:szCs w:val="20"/>
              </w:rPr>
              <w:t>1.93</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-0.0048</w:t>
            </w:r>
          </w:p>
        </w:tc>
        <w:tc>
          <w:tcPr>
            <w:tcW w:w="236" w:type="dxa"/>
          </w:tcPr>
          <w:p w:rsidR="00903D89" w:rsidRPr="00A3582C" w:rsidRDefault="00DB381E">
            <w:pPr>
              <w:jc w:val="right"/>
              <w:rPr>
                <w:sz w:val="20"/>
                <w:szCs w:val="20"/>
              </w:rPr>
            </w:pPr>
            <w:r>
              <w:rPr>
                <w:sz w:val="20"/>
                <w:szCs w:val="20"/>
              </w:rPr>
              <w:t>*</w:t>
            </w:r>
          </w:p>
        </w:tc>
        <w:tc>
          <w:tcPr>
            <w:tcW w:w="1440" w:type="dxa"/>
          </w:tcPr>
          <w:p w:rsidR="00903D89" w:rsidRPr="00A3582C" w:rsidRDefault="00903D89">
            <w:pPr>
              <w:jc w:val="right"/>
              <w:rPr>
                <w:sz w:val="20"/>
                <w:szCs w:val="20"/>
              </w:rPr>
            </w:pPr>
            <w:r w:rsidRPr="00A3582C">
              <w:rPr>
                <w:sz w:val="20"/>
                <w:szCs w:val="20"/>
              </w:rPr>
              <w:t>-2.26</w:t>
            </w:r>
          </w:p>
        </w:tc>
      </w:tr>
      <w:tr w:rsidR="00903D89" w:rsidRPr="00BD04E4">
        <w:trPr>
          <w:jc w:val="center"/>
        </w:trPr>
        <w:tc>
          <w:tcPr>
            <w:tcW w:w="2918" w:type="dxa"/>
          </w:tcPr>
          <w:p w:rsidR="00903D89" w:rsidRPr="00A3582C" w:rsidRDefault="00903D89">
            <w:pPr>
              <w:rPr>
                <w:sz w:val="20"/>
                <w:szCs w:val="20"/>
              </w:rPr>
            </w:pPr>
            <w:r w:rsidRPr="00A3582C">
              <w:rPr>
                <w:sz w:val="20"/>
                <w:szCs w:val="20"/>
              </w:rPr>
              <w:t>Analyst Owner Dummy (OWN)</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0.0003</w:t>
            </w: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sz w:val="20"/>
                <w:szCs w:val="20"/>
              </w:rPr>
              <w:t>0.36</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-0.0013</w:t>
            </w:r>
          </w:p>
        </w:tc>
        <w:tc>
          <w:tcPr>
            <w:tcW w:w="236" w:type="dxa"/>
          </w:tcPr>
          <w:p w:rsidR="00903D89" w:rsidRPr="00A3582C" w:rsidRDefault="00DB381E">
            <w:pPr>
              <w:jc w:val="right"/>
              <w:rPr>
                <w:sz w:val="20"/>
                <w:szCs w:val="20"/>
              </w:rPr>
            </w:pPr>
            <w:r>
              <w:rPr>
                <w:sz w:val="20"/>
                <w:szCs w:val="20"/>
              </w:rPr>
              <w:t>*</w:t>
            </w:r>
          </w:p>
        </w:tc>
        <w:tc>
          <w:tcPr>
            <w:tcW w:w="1440" w:type="dxa"/>
          </w:tcPr>
          <w:p w:rsidR="00903D89" w:rsidRPr="00A3582C" w:rsidRDefault="00903D89">
            <w:pPr>
              <w:jc w:val="right"/>
              <w:rPr>
                <w:sz w:val="20"/>
                <w:szCs w:val="20"/>
              </w:rPr>
            </w:pPr>
            <w:r w:rsidRPr="00A3582C">
              <w:rPr>
                <w:sz w:val="20"/>
                <w:szCs w:val="20"/>
              </w:rPr>
              <w:t>-2.34</w:t>
            </w:r>
          </w:p>
        </w:tc>
      </w:tr>
      <w:tr w:rsidR="00903D89" w:rsidRPr="00BD04E4">
        <w:trPr>
          <w:jc w:val="center"/>
        </w:trPr>
        <w:tc>
          <w:tcPr>
            <w:tcW w:w="2918" w:type="dxa"/>
          </w:tcPr>
          <w:p w:rsidR="00903D89" w:rsidRPr="00A3582C" w:rsidRDefault="00903D89">
            <w:pPr>
              <w:rPr>
                <w:sz w:val="20"/>
                <w:szCs w:val="20"/>
              </w:rPr>
            </w:pPr>
            <w:r w:rsidRPr="00A3582C">
              <w:rPr>
                <w:sz w:val="20"/>
                <w:szCs w:val="20"/>
              </w:rPr>
              <w:t>IPO Underwriter</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0.0006</w:t>
            </w: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sz w:val="20"/>
                <w:szCs w:val="20"/>
              </w:rPr>
              <w:t>0.69</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0.0018</w:t>
            </w:r>
          </w:p>
        </w:tc>
        <w:tc>
          <w:tcPr>
            <w:tcW w:w="236" w:type="dxa"/>
          </w:tcPr>
          <w:p w:rsidR="00903D89" w:rsidRPr="00A3582C" w:rsidRDefault="00DB381E">
            <w:pPr>
              <w:jc w:val="right"/>
              <w:rPr>
                <w:sz w:val="20"/>
                <w:szCs w:val="20"/>
              </w:rPr>
            </w:pPr>
            <w:r>
              <w:rPr>
                <w:sz w:val="20"/>
                <w:szCs w:val="20"/>
              </w:rPr>
              <w:t>*</w:t>
            </w:r>
          </w:p>
        </w:tc>
        <w:tc>
          <w:tcPr>
            <w:tcW w:w="1440" w:type="dxa"/>
          </w:tcPr>
          <w:p w:rsidR="00903D89" w:rsidRPr="00A3582C" w:rsidRDefault="00903D89">
            <w:pPr>
              <w:jc w:val="right"/>
              <w:rPr>
                <w:sz w:val="20"/>
                <w:szCs w:val="20"/>
              </w:rPr>
            </w:pPr>
            <w:r w:rsidRPr="00A3582C">
              <w:rPr>
                <w:sz w:val="20"/>
                <w:szCs w:val="20"/>
              </w:rPr>
              <w:t>1.96</w:t>
            </w:r>
          </w:p>
        </w:tc>
      </w:tr>
      <w:tr w:rsidR="00903D89" w:rsidRPr="00BD04E4">
        <w:trPr>
          <w:jc w:val="center"/>
        </w:trPr>
        <w:tc>
          <w:tcPr>
            <w:tcW w:w="2918" w:type="dxa"/>
          </w:tcPr>
          <w:p w:rsidR="00903D89" w:rsidRPr="00A3582C" w:rsidRDefault="00903D89">
            <w:pPr>
              <w:rPr>
                <w:sz w:val="20"/>
                <w:szCs w:val="20"/>
              </w:rPr>
            </w:pPr>
            <w:r w:rsidRPr="00A3582C">
              <w:rPr>
                <w:sz w:val="20"/>
                <w:szCs w:val="20"/>
              </w:rPr>
              <w:t>IPO Co-manager</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-0.0008</w:t>
            </w: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sz w:val="20"/>
                <w:szCs w:val="20"/>
              </w:rPr>
              <w:t>-1.15</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0.0009</w:t>
            </w:r>
          </w:p>
        </w:tc>
        <w:tc>
          <w:tcPr>
            <w:tcW w:w="236" w:type="dxa"/>
          </w:tcPr>
          <w:p w:rsidR="00903D89" w:rsidRPr="00A3582C" w:rsidRDefault="00903D89">
            <w:pPr>
              <w:jc w:val="right"/>
              <w:rPr>
                <w:sz w:val="20"/>
                <w:szCs w:val="20"/>
              </w:rPr>
            </w:pPr>
          </w:p>
        </w:tc>
        <w:tc>
          <w:tcPr>
            <w:tcW w:w="1440" w:type="dxa"/>
          </w:tcPr>
          <w:p w:rsidR="00903D89" w:rsidRPr="00A3582C" w:rsidRDefault="00903D89">
            <w:pPr>
              <w:jc w:val="right"/>
              <w:rPr>
                <w:sz w:val="20"/>
                <w:szCs w:val="20"/>
              </w:rPr>
            </w:pPr>
            <w:r w:rsidRPr="00A3582C">
              <w:rPr>
                <w:sz w:val="20"/>
                <w:szCs w:val="20"/>
              </w:rPr>
              <w:t>1.19</w:t>
            </w:r>
          </w:p>
        </w:tc>
      </w:tr>
      <w:tr w:rsidR="00903D89" w:rsidRPr="00BD04E4">
        <w:trPr>
          <w:jc w:val="center"/>
        </w:trPr>
        <w:tc>
          <w:tcPr>
            <w:tcW w:w="2918" w:type="dxa"/>
          </w:tcPr>
          <w:p w:rsidR="00903D89" w:rsidRPr="00A3582C" w:rsidRDefault="00903D89">
            <w:pPr>
              <w:rPr>
                <w:sz w:val="20"/>
                <w:szCs w:val="20"/>
              </w:rPr>
            </w:pPr>
            <w:r w:rsidRPr="00A3582C">
              <w:rPr>
                <w:sz w:val="20"/>
                <w:szCs w:val="20"/>
              </w:rPr>
              <w:t>SEO Underwriter</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n/a</w:t>
            </w: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sz w:val="20"/>
                <w:szCs w:val="20"/>
              </w:rPr>
              <w:t>n/a</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0.0019</w:t>
            </w:r>
          </w:p>
        </w:tc>
        <w:tc>
          <w:tcPr>
            <w:tcW w:w="236" w:type="dxa"/>
          </w:tcPr>
          <w:p w:rsidR="00903D89" w:rsidRPr="00A3582C" w:rsidRDefault="00DB381E">
            <w:pPr>
              <w:jc w:val="right"/>
              <w:rPr>
                <w:sz w:val="20"/>
                <w:szCs w:val="20"/>
              </w:rPr>
            </w:pPr>
            <w:r>
              <w:rPr>
                <w:sz w:val="20"/>
                <w:szCs w:val="20"/>
              </w:rPr>
              <w:t>*</w:t>
            </w:r>
          </w:p>
        </w:tc>
        <w:tc>
          <w:tcPr>
            <w:tcW w:w="1440" w:type="dxa"/>
          </w:tcPr>
          <w:p w:rsidR="00903D89" w:rsidRPr="00A3582C" w:rsidRDefault="00903D89">
            <w:pPr>
              <w:jc w:val="right"/>
              <w:rPr>
                <w:sz w:val="20"/>
                <w:szCs w:val="20"/>
              </w:rPr>
            </w:pPr>
            <w:r w:rsidRPr="00A3582C">
              <w:rPr>
                <w:sz w:val="20"/>
                <w:szCs w:val="20"/>
              </w:rPr>
              <w:t>4.13</w:t>
            </w:r>
          </w:p>
        </w:tc>
      </w:tr>
      <w:tr w:rsidR="00903D89" w:rsidRPr="00BD04E4">
        <w:trPr>
          <w:jc w:val="center"/>
        </w:trPr>
        <w:tc>
          <w:tcPr>
            <w:tcW w:w="2918" w:type="dxa"/>
          </w:tcPr>
          <w:p w:rsidR="00903D89" w:rsidRPr="00A3582C" w:rsidRDefault="00903D89">
            <w:pPr>
              <w:rPr>
                <w:sz w:val="20"/>
                <w:szCs w:val="20"/>
              </w:rPr>
            </w:pPr>
            <w:r w:rsidRPr="00A3582C">
              <w:rPr>
                <w:sz w:val="20"/>
                <w:szCs w:val="20"/>
              </w:rPr>
              <w:t>SEO Co-manager</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n/a</w:t>
            </w: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sz w:val="20"/>
                <w:szCs w:val="20"/>
              </w:rPr>
              <w:t>n/a</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0.0021</w:t>
            </w:r>
          </w:p>
        </w:tc>
        <w:tc>
          <w:tcPr>
            <w:tcW w:w="236" w:type="dxa"/>
          </w:tcPr>
          <w:p w:rsidR="00903D89" w:rsidRPr="00A3582C" w:rsidRDefault="00DB381E">
            <w:pPr>
              <w:jc w:val="right"/>
              <w:rPr>
                <w:sz w:val="20"/>
                <w:szCs w:val="20"/>
              </w:rPr>
            </w:pPr>
            <w:r>
              <w:rPr>
                <w:sz w:val="20"/>
                <w:szCs w:val="20"/>
              </w:rPr>
              <w:t>*</w:t>
            </w:r>
          </w:p>
        </w:tc>
        <w:tc>
          <w:tcPr>
            <w:tcW w:w="1440" w:type="dxa"/>
          </w:tcPr>
          <w:p w:rsidR="00903D89" w:rsidRPr="00A3582C" w:rsidRDefault="00903D89">
            <w:pPr>
              <w:jc w:val="right"/>
              <w:rPr>
                <w:sz w:val="20"/>
                <w:szCs w:val="20"/>
              </w:rPr>
            </w:pPr>
            <w:r w:rsidRPr="00A3582C">
              <w:rPr>
                <w:sz w:val="20"/>
                <w:szCs w:val="20"/>
              </w:rPr>
              <w:t>3.30</w:t>
            </w:r>
          </w:p>
        </w:tc>
      </w:tr>
      <w:tr w:rsidR="00903D89" w:rsidRPr="00BD04E4">
        <w:trPr>
          <w:jc w:val="center"/>
        </w:trPr>
        <w:tc>
          <w:tcPr>
            <w:tcW w:w="2918" w:type="dxa"/>
          </w:tcPr>
          <w:p w:rsidR="00903D89" w:rsidRPr="00A3582C" w:rsidRDefault="0083713B">
            <w:pPr>
              <w:rPr>
                <w:sz w:val="20"/>
                <w:szCs w:val="20"/>
              </w:rPr>
            </w:pPr>
            <w:r>
              <w:rPr>
                <w:sz w:val="20"/>
                <w:szCs w:val="20"/>
              </w:rPr>
              <w:t>Forecast Age</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-0.0000</w:t>
            </w:r>
          </w:p>
        </w:tc>
        <w:tc>
          <w:tcPr>
            <w:tcW w:w="291" w:type="dxa"/>
          </w:tcPr>
          <w:p w:rsidR="00903D89" w:rsidRPr="00A3582C" w:rsidRDefault="00DB381E">
            <w:pPr>
              <w:rPr>
                <w:sz w:val="20"/>
                <w:szCs w:val="20"/>
              </w:rPr>
            </w:pPr>
            <w:r>
              <w:rPr>
                <w:sz w:val="20"/>
                <w:szCs w:val="20"/>
              </w:rPr>
              <w:t>*</w:t>
            </w:r>
          </w:p>
        </w:tc>
        <w:tc>
          <w:tcPr>
            <w:tcW w:w="1282" w:type="dxa"/>
          </w:tcPr>
          <w:p w:rsidR="00903D89" w:rsidRPr="00A3582C" w:rsidRDefault="00903D89">
            <w:pPr>
              <w:jc w:val="right"/>
              <w:rPr>
                <w:sz w:val="20"/>
                <w:szCs w:val="20"/>
              </w:rPr>
            </w:pPr>
            <w:r w:rsidRPr="00A3582C">
              <w:rPr>
                <w:sz w:val="20"/>
                <w:szCs w:val="20"/>
              </w:rPr>
              <w:t>-11.0</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-0.0000</w:t>
            </w:r>
          </w:p>
        </w:tc>
        <w:tc>
          <w:tcPr>
            <w:tcW w:w="236" w:type="dxa"/>
          </w:tcPr>
          <w:p w:rsidR="00903D89" w:rsidRPr="00A3582C" w:rsidRDefault="00DB381E">
            <w:pPr>
              <w:jc w:val="right"/>
              <w:rPr>
                <w:sz w:val="20"/>
                <w:szCs w:val="20"/>
              </w:rPr>
            </w:pPr>
            <w:r>
              <w:rPr>
                <w:sz w:val="20"/>
                <w:szCs w:val="20"/>
              </w:rPr>
              <w:t>*</w:t>
            </w:r>
          </w:p>
        </w:tc>
        <w:tc>
          <w:tcPr>
            <w:tcW w:w="1440" w:type="dxa"/>
          </w:tcPr>
          <w:p w:rsidR="00903D89" w:rsidRPr="00A3582C" w:rsidRDefault="00903D89">
            <w:pPr>
              <w:jc w:val="right"/>
              <w:rPr>
                <w:sz w:val="20"/>
                <w:szCs w:val="20"/>
              </w:rPr>
            </w:pPr>
            <w:r w:rsidRPr="00A3582C">
              <w:rPr>
                <w:sz w:val="20"/>
                <w:szCs w:val="20"/>
              </w:rPr>
              <w:t>-8.74</w:t>
            </w:r>
          </w:p>
        </w:tc>
      </w:tr>
      <w:tr w:rsidR="00903D89" w:rsidRPr="00BD04E4">
        <w:trPr>
          <w:jc w:val="center"/>
        </w:trPr>
        <w:tc>
          <w:tcPr>
            <w:tcW w:w="2918" w:type="dxa"/>
          </w:tcPr>
          <w:p w:rsidR="00903D89" w:rsidRPr="00A3582C" w:rsidRDefault="00903D89">
            <w:pPr>
              <w:rPr>
                <w:sz w:val="20"/>
                <w:szCs w:val="20"/>
              </w:rPr>
            </w:pPr>
            <w:r w:rsidRPr="00A3582C">
              <w:rPr>
                <w:sz w:val="20"/>
                <w:szCs w:val="20"/>
              </w:rPr>
              <w:t>Loss</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-0.0051</w:t>
            </w:r>
          </w:p>
        </w:tc>
        <w:tc>
          <w:tcPr>
            <w:tcW w:w="291" w:type="dxa"/>
          </w:tcPr>
          <w:p w:rsidR="00903D89" w:rsidRPr="00A3582C" w:rsidRDefault="00DB381E">
            <w:pPr>
              <w:rPr>
                <w:sz w:val="20"/>
                <w:szCs w:val="20"/>
              </w:rPr>
            </w:pPr>
            <w:r>
              <w:rPr>
                <w:sz w:val="20"/>
                <w:szCs w:val="20"/>
              </w:rPr>
              <w:t>*</w:t>
            </w:r>
          </w:p>
        </w:tc>
        <w:tc>
          <w:tcPr>
            <w:tcW w:w="1282" w:type="dxa"/>
          </w:tcPr>
          <w:p w:rsidR="00903D89" w:rsidRPr="00A3582C" w:rsidRDefault="00903D89">
            <w:pPr>
              <w:jc w:val="right"/>
              <w:rPr>
                <w:sz w:val="20"/>
                <w:szCs w:val="20"/>
              </w:rPr>
            </w:pPr>
            <w:r w:rsidRPr="00A3582C">
              <w:rPr>
                <w:sz w:val="20"/>
                <w:szCs w:val="20"/>
              </w:rPr>
              <w:t>-8.14</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-0.0080</w:t>
            </w:r>
          </w:p>
        </w:tc>
        <w:tc>
          <w:tcPr>
            <w:tcW w:w="236" w:type="dxa"/>
          </w:tcPr>
          <w:p w:rsidR="00903D89" w:rsidRPr="00A3582C" w:rsidRDefault="00DB381E">
            <w:pPr>
              <w:jc w:val="right"/>
              <w:rPr>
                <w:sz w:val="20"/>
                <w:szCs w:val="20"/>
              </w:rPr>
            </w:pPr>
            <w:r>
              <w:rPr>
                <w:sz w:val="20"/>
                <w:szCs w:val="20"/>
              </w:rPr>
              <w:t>*</w:t>
            </w:r>
          </w:p>
        </w:tc>
        <w:tc>
          <w:tcPr>
            <w:tcW w:w="1440" w:type="dxa"/>
          </w:tcPr>
          <w:p w:rsidR="00903D89" w:rsidRPr="00A3582C" w:rsidRDefault="00903D89">
            <w:pPr>
              <w:jc w:val="right"/>
              <w:rPr>
                <w:sz w:val="20"/>
                <w:szCs w:val="20"/>
              </w:rPr>
            </w:pPr>
            <w:r w:rsidRPr="00A3582C">
              <w:rPr>
                <w:sz w:val="20"/>
                <w:szCs w:val="20"/>
              </w:rPr>
              <w:t>-5.90</w:t>
            </w:r>
          </w:p>
        </w:tc>
      </w:tr>
      <w:tr w:rsidR="00903D89" w:rsidRPr="00BD04E4">
        <w:trPr>
          <w:jc w:val="center"/>
        </w:trPr>
        <w:tc>
          <w:tcPr>
            <w:tcW w:w="2918" w:type="dxa"/>
          </w:tcPr>
          <w:p w:rsidR="00903D89" w:rsidRPr="00A3582C" w:rsidRDefault="00903D89">
            <w:pPr>
              <w:rPr>
                <w:sz w:val="20"/>
                <w:szCs w:val="20"/>
              </w:rPr>
            </w:pPr>
            <w:r w:rsidRPr="00A3582C">
              <w:rPr>
                <w:sz w:val="20"/>
                <w:szCs w:val="20"/>
              </w:rPr>
              <w:t>Analyst Following (Follow)</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0.0001</w:t>
            </w:r>
          </w:p>
        </w:tc>
        <w:tc>
          <w:tcPr>
            <w:tcW w:w="291" w:type="dxa"/>
          </w:tcPr>
          <w:p w:rsidR="00903D89" w:rsidRPr="00A3582C" w:rsidRDefault="00DB381E">
            <w:pPr>
              <w:rPr>
                <w:sz w:val="20"/>
                <w:szCs w:val="20"/>
              </w:rPr>
            </w:pPr>
            <w:r>
              <w:rPr>
                <w:sz w:val="20"/>
                <w:szCs w:val="20"/>
              </w:rPr>
              <w:t>*</w:t>
            </w:r>
          </w:p>
        </w:tc>
        <w:tc>
          <w:tcPr>
            <w:tcW w:w="1282" w:type="dxa"/>
          </w:tcPr>
          <w:p w:rsidR="00903D89" w:rsidRPr="00A3582C" w:rsidRDefault="00903D89">
            <w:pPr>
              <w:jc w:val="right"/>
              <w:rPr>
                <w:sz w:val="20"/>
                <w:szCs w:val="20"/>
              </w:rPr>
            </w:pPr>
            <w:r w:rsidRPr="00A3582C">
              <w:rPr>
                <w:sz w:val="20"/>
                <w:szCs w:val="20"/>
              </w:rPr>
              <w:t>4.97</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0.0001</w:t>
            </w:r>
          </w:p>
        </w:tc>
        <w:tc>
          <w:tcPr>
            <w:tcW w:w="236" w:type="dxa"/>
          </w:tcPr>
          <w:p w:rsidR="00903D89" w:rsidRPr="00A3582C" w:rsidRDefault="00DB381E">
            <w:pPr>
              <w:jc w:val="right"/>
              <w:rPr>
                <w:sz w:val="20"/>
                <w:szCs w:val="20"/>
              </w:rPr>
            </w:pPr>
            <w:r>
              <w:rPr>
                <w:sz w:val="20"/>
                <w:szCs w:val="20"/>
              </w:rPr>
              <w:t>*</w:t>
            </w:r>
          </w:p>
        </w:tc>
        <w:tc>
          <w:tcPr>
            <w:tcW w:w="1440" w:type="dxa"/>
          </w:tcPr>
          <w:p w:rsidR="00903D89" w:rsidRPr="00A3582C" w:rsidRDefault="00903D89">
            <w:pPr>
              <w:jc w:val="right"/>
              <w:rPr>
                <w:sz w:val="20"/>
                <w:szCs w:val="20"/>
              </w:rPr>
            </w:pPr>
            <w:r w:rsidRPr="00A3582C">
              <w:rPr>
                <w:sz w:val="20"/>
                <w:szCs w:val="20"/>
              </w:rPr>
              <w:t>6.13</w:t>
            </w:r>
          </w:p>
        </w:tc>
      </w:tr>
      <w:tr w:rsidR="00903D89" w:rsidRPr="00BD04E4">
        <w:trPr>
          <w:jc w:val="center"/>
        </w:trPr>
        <w:tc>
          <w:tcPr>
            <w:tcW w:w="2918" w:type="dxa"/>
          </w:tcPr>
          <w:p w:rsidR="00903D89" w:rsidRPr="00A3582C" w:rsidRDefault="00903D89">
            <w:pPr>
              <w:rPr>
                <w:sz w:val="20"/>
                <w:szCs w:val="20"/>
              </w:rPr>
            </w:pPr>
            <w:r w:rsidRPr="00A3582C">
              <w:rPr>
                <w:sz w:val="20"/>
                <w:szCs w:val="20"/>
              </w:rPr>
              <w:t>Own x Follow</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n/a</w:t>
            </w: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sz w:val="20"/>
                <w:szCs w:val="20"/>
              </w:rPr>
              <w:t>n/a</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0.0000</w:t>
            </w:r>
          </w:p>
        </w:tc>
        <w:tc>
          <w:tcPr>
            <w:tcW w:w="236" w:type="dxa"/>
          </w:tcPr>
          <w:p w:rsidR="00903D89" w:rsidRPr="00A3582C" w:rsidRDefault="00DB381E">
            <w:pPr>
              <w:jc w:val="right"/>
              <w:rPr>
                <w:sz w:val="20"/>
                <w:szCs w:val="20"/>
              </w:rPr>
            </w:pPr>
            <w:r>
              <w:rPr>
                <w:sz w:val="20"/>
                <w:szCs w:val="20"/>
              </w:rPr>
              <w:t>*</w:t>
            </w:r>
          </w:p>
        </w:tc>
        <w:tc>
          <w:tcPr>
            <w:tcW w:w="1440" w:type="dxa"/>
          </w:tcPr>
          <w:p w:rsidR="00903D89" w:rsidRPr="00A3582C" w:rsidRDefault="00903D89">
            <w:pPr>
              <w:jc w:val="right"/>
              <w:rPr>
                <w:sz w:val="20"/>
                <w:szCs w:val="20"/>
              </w:rPr>
            </w:pPr>
            <w:r w:rsidRPr="00A3582C">
              <w:rPr>
                <w:sz w:val="20"/>
                <w:szCs w:val="20"/>
              </w:rPr>
              <w:t>2.06</w:t>
            </w:r>
          </w:p>
        </w:tc>
      </w:tr>
      <w:tr w:rsidR="00903D89" w:rsidRPr="00BD04E4">
        <w:trPr>
          <w:jc w:val="center"/>
        </w:trPr>
        <w:tc>
          <w:tcPr>
            <w:tcW w:w="2918" w:type="dxa"/>
          </w:tcPr>
          <w:p w:rsidR="00903D89" w:rsidRPr="00A3582C" w:rsidRDefault="00903D89">
            <w:pPr>
              <w:rPr>
                <w:sz w:val="20"/>
                <w:szCs w:val="20"/>
              </w:rPr>
            </w:pPr>
            <w:r w:rsidRPr="00A3582C">
              <w:rPr>
                <w:sz w:val="20"/>
                <w:szCs w:val="20"/>
              </w:rPr>
              <w:t xml:space="preserve">Broker </w:t>
            </w:r>
            <w:proofErr w:type="spellStart"/>
            <w:r w:rsidRPr="00A3582C">
              <w:rPr>
                <w:sz w:val="20"/>
                <w:szCs w:val="20"/>
              </w:rPr>
              <w:t>Decile</w:t>
            </w:r>
            <w:proofErr w:type="spellEnd"/>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0.0000</w:t>
            </w: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sz w:val="20"/>
                <w:szCs w:val="20"/>
              </w:rPr>
              <w:t>0.46</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0.0001</w:t>
            </w:r>
          </w:p>
        </w:tc>
        <w:tc>
          <w:tcPr>
            <w:tcW w:w="236" w:type="dxa"/>
          </w:tcPr>
          <w:p w:rsidR="00903D89" w:rsidRPr="00A3582C" w:rsidRDefault="00903D89">
            <w:pPr>
              <w:jc w:val="right"/>
              <w:rPr>
                <w:sz w:val="20"/>
                <w:szCs w:val="20"/>
              </w:rPr>
            </w:pPr>
          </w:p>
        </w:tc>
        <w:tc>
          <w:tcPr>
            <w:tcW w:w="1440" w:type="dxa"/>
          </w:tcPr>
          <w:p w:rsidR="00903D89" w:rsidRPr="00A3582C" w:rsidRDefault="00903D89">
            <w:pPr>
              <w:jc w:val="right"/>
              <w:rPr>
                <w:sz w:val="20"/>
                <w:szCs w:val="20"/>
              </w:rPr>
            </w:pPr>
            <w:r w:rsidRPr="00A3582C">
              <w:rPr>
                <w:sz w:val="20"/>
                <w:szCs w:val="20"/>
              </w:rPr>
              <w:t>1.95</w:t>
            </w:r>
          </w:p>
        </w:tc>
      </w:tr>
      <w:tr w:rsidR="00903D89" w:rsidRPr="00BD04E4">
        <w:trPr>
          <w:jc w:val="center"/>
        </w:trPr>
        <w:tc>
          <w:tcPr>
            <w:tcW w:w="2918" w:type="dxa"/>
          </w:tcPr>
          <w:p w:rsidR="00903D89" w:rsidRPr="00A3582C" w:rsidRDefault="00903D89">
            <w:pPr>
              <w:rPr>
                <w:sz w:val="20"/>
                <w:szCs w:val="20"/>
              </w:rPr>
            </w:pPr>
            <w:r w:rsidRPr="00A3582C">
              <w:rPr>
                <w:sz w:val="20"/>
                <w:szCs w:val="20"/>
              </w:rPr>
              <w:t>Experience</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-0.0000</w:t>
            </w: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sz w:val="20"/>
                <w:szCs w:val="20"/>
              </w:rPr>
              <w:t>-0.39</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-0.0001</w:t>
            </w:r>
          </w:p>
        </w:tc>
        <w:tc>
          <w:tcPr>
            <w:tcW w:w="236" w:type="dxa"/>
          </w:tcPr>
          <w:p w:rsidR="00903D89" w:rsidRPr="00A3582C" w:rsidRDefault="00DB381E">
            <w:pPr>
              <w:jc w:val="right"/>
              <w:rPr>
                <w:sz w:val="20"/>
                <w:szCs w:val="20"/>
              </w:rPr>
            </w:pPr>
            <w:r>
              <w:rPr>
                <w:sz w:val="20"/>
                <w:szCs w:val="20"/>
              </w:rPr>
              <w:t>*</w:t>
            </w:r>
          </w:p>
        </w:tc>
        <w:tc>
          <w:tcPr>
            <w:tcW w:w="1440" w:type="dxa"/>
          </w:tcPr>
          <w:p w:rsidR="00903D89" w:rsidRPr="00A3582C" w:rsidRDefault="00903D89">
            <w:pPr>
              <w:jc w:val="right"/>
              <w:rPr>
                <w:sz w:val="20"/>
                <w:szCs w:val="20"/>
              </w:rPr>
            </w:pPr>
            <w:r w:rsidRPr="00A3582C">
              <w:rPr>
                <w:sz w:val="20"/>
                <w:szCs w:val="20"/>
              </w:rPr>
              <w:t>-3.94</w:t>
            </w:r>
          </w:p>
        </w:tc>
      </w:tr>
      <w:tr w:rsidR="00903D89" w:rsidRPr="00BD04E4">
        <w:trPr>
          <w:jc w:val="center"/>
        </w:trPr>
        <w:tc>
          <w:tcPr>
            <w:tcW w:w="2918" w:type="dxa"/>
          </w:tcPr>
          <w:p w:rsidR="00903D89" w:rsidRPr="00A3582C" w:rsidRDefault="00903D89">
            <w:pPr>
              <w:rPr>
                <w:sz w:val="20"/>
                <w:szCs w:val="20"/>
              </w:rPr>
            </w:pPr>
            <w:r w:rsidRPr="00A3582C">
              <w:rPr>
                <w:sz w:val="20"/>
                <w:szCs w:val="20"/>
              </w:rPr>
              <w:t>Complexity</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-0.0000</w:t>
            </w: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sz w:val="20"/>
                <w:szCs w:val="20"/>
              </w:rPr>
              <w:t>-1.37</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0.0000</w:t>
            </w:r>
          </w:p>
        </w:tc>
        <w:tc>
          <w:tcPr>
            <w:tcW w:w="236" w:type="dxa"/>
          </w:tcPr>
          <w:p w:rsidR="00903D89" w:rsidRPr="00A3582C" w:rsidRDefault="00903D89">
            <w:pPr>
              <w:jc w:val="right"/>
              <w:rPr>
                <w:sz w:val="20"/>
                <w:szCs w:val="20"/>
              </w:rPr>
            </w:pPr>
          </w:p>
        </w:tc>
        <w:tc>
          <w:tcPr>
            <w:tcW w:w="1440" w:type="dxa"/>
          </w:tcPr>
          <w:p w:rsidR="00903D89" w:rsidRPr="00A3582C" w:rsidRDefault="00903D89">
            <w:pPr>
              <w:jc w:val="right"/>
              <w:rPr>
                <w:sz w:val="20"/>
                <w:szCs w:val="20"/>
              </w:rPr>
            </w:pPr>
            <w:r w:rsidRPr="00A3582C">
              <w:rPr>
                <w:sz w:val="20"/>
                <w:szCs w:val="20"/>
              </w:rPr>
              <w:t>1.24</w:t>
            </w:r>
          </w:p>
        </w:tc>
      </w:tr>
      <w:tr w:rsidR="00903D89" w:rsidRPr="00BD04E4">
        <w:trPr>
          <w:jc w:val="center"/>
        </w:trPr>
        <w:tc>
          <w:tcPr>
            <w:tcW w:w="2918" w:type="dxa"/>
          </w:tcPr>
          <w:p w:rsidR="00903D89" w:rsidRPr="00A3582C" w:rsidRDefault="00903D89">
            <w:pPr>
              <w:rPr>
                <w:sz w:val="20"/>
                <w:szCs w:val="20"/>
              </w:rPr>
            </w:pPr>
            <w:r w:rsidRPr="00A3582C">
              <w:rPr>
                <w:sz w:val="20"/>
                <w:szCs w:val="20"/>
              </w:rPr>
              <w:t>Disclose Ownership</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-0.0025</w:t>
            </w: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sz w:val="20"/>
                <w:szCs w:val="20"/>
              </w:rPr>
              <w:t>-1.34</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n/a</w:t>
            </w:r>
          </w:p>
        </w:tc>
        <w:tc>
          <w:tcPr>
            <w:tcW w:w="236" w:type="dxa"/>
          </w:tcPr>
          <w:p w:rsidR="00903D89" w:rsidRPr="00A3582C" w:rsidRDefault="00903D89">
            <w:pPr>
              <w:rPr>
                <w:sz w:val="20"/>
                <w:szCs w:val="20"/>
              </w:rPr>
            </w:pPr>
          </w:p>
        </w:tc>
        <w:tc>
          <w:tcPr>
            <w:tcW w:w="1440" w:type="dxa"/>
          </w:tcPr>
          <w:p w:rsidR="00903D89" w:rsidRPr="00A3582C" w:rsidRDefault="00903D89">
            <w:pPr>
              <w:jc w:val="right"/>
              <w:rPr>
                <w:sz w:val="20"/>
                <w:szCs w:val="20"/>
              </w:rPr>
            </w:pPr>
            <w:r w:rsidRPr="00A3582C">
              <w:rPr>
                <w:sz w:val="20"/>
                <w:szCs w:val="20"/>
              </w:rPr>
              <w:t>n/a</w:t>
            </w:r>
          </w:p>
        </w:tc>
      </w:tr>
      <w:tr w:rsidR="00903D89" w:rsidRPr="00BD04E4">
        <w:trPr>
          <w:jc w:val="center"/>
        </w:trPr>
        <w:tc>
          <w:tcPr>
            <w:tcW w:w="2918" w:type="dxa"/>
          </w:tcPr>
          <w:p w:rsidR="00903D89" w:rsidRPr="00A3582C" w:rsidRDefault="00903D89">
            <w:pPr>
              <w:rPr>
                <w:sz w:val="20"/>
                <w:szCs w:val="20"/>
              </w:rPr>
            </w:pPr>
            <w:r w:rsidRPr="00A3582C">
              <w:rPr>
                <w:sz w:val="20"/>
                <w:szCs w:val="20"/>
              </w:rPr>
              <w:t>Internet</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r w:rsidRPr="00A3582C">
              <w:rPr>
                <w:sz w:val="20"/>
                <w:szCs w:val="20"/>
              </w:rPr>
              <w:t>0.0023</w:t>
            </w:r>
          </w:p>
        </w:tc>
        <w:tc>
          <w:tcPr>
            <w:tcW w:w="291" w:type="dxa"/>
          </w:tcPr>
          <w:p w:rsidR="00903D89" w:rsidRPr="00A3582C" w:rsidRDefault="00DB381E">
            <w:pPr>
              <w:rPr>
                <w:sz w:val="20"/>
                <w:szCs w:val="20"/>
              </w:rPr>
            </w:pPr>
            <w:r>
              <w:rPr>
                <w:sz w:val="20"/>
                <w:szCs w:val="20"/>
              </w:rPr>
              <w:t>*</w:t>
            </w:r>
          </w:p>
        </w:tc>
        <w:tc>
          <w:tcPr>
            <w:tcW w:w="1282" w:type="dxa"/>
          </w:tcPr>
          <w:p w:rsidR="00903D89" w:rsidRPr="00A3582C" w:rsidRDefault="00903D89">
            <w:pPr>
              <w:jc w:val="right"/>
              <w:rPr>
                <w:sz w:val="20"/>
                <w:szCs w:val="20"/>
              </w:rPr>
            </w:pPr>
            <w:r w:rsidRPr="00A3582C">
              <w:rPr>
                <w:sz w:val="20"/>
                <w:szCs w:val="20"/>
              </w:rPr>
              <w:t>3.50</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n/a</w:t>
            </w:r>
          </w:p>
        </w:tc>
        <w:tc>
          <w:tcPr>
            <w:tcW w:w="236" w:type="dxa"/>
          </w:tcPr>
          <w:p w:rsidR="00903D89" w:rsidRPr="00A3582C" w:rsidRDefault="00903D89">
            <w:pPr>
              <w:rPr>
                <w:sz w:val="20"/>
                <w:szCs w:val="20"/>
              </w:rPr>
            </w:pPr>
          </w:p>
        </w:tc>
        <w:tc>
          <w:tcPr>
            <w:tcW w:w="1440" w:type="dxa"/>
          </w:tcPr>
          <w:p w:rsidR="00903D89" w:rsidRPr="00A3582C" w:rsidRDefault="00903D89">
            <w:pPr>
              <w:jc w:val="right"/>
              <w:rPr>
                <w:sz w:val="20"/>
                <w:szCs w:val="20"/>
              </w:rPr>
            </w:pPr>
            <w:r w:rsidRPr="00A3582C">
              <w:rPr>
                <w:sz w:val="20"/>
                <w:szCs w:val="20"/>
              </w:rPr>
              <w:t>n/a</w:t>
            </w:r>
          </w:p>
        </w:tc>
      </w:tr>
      <w:tr w:rsidR="00903D89" w:rsidRPr="00BD04E4">
        <w:trPr>
          <w:jc w:val="center"/>
        </w:trPr>
        <w:tc>
          <w:tcPr>
            <w:tcW w:w="2918" w:type="dxa"/>
          </w:tcPr>
          <w:p w:rsidR="00903D89" w:rsidRPr="00A3582C" w:rsidRDefault="00903D89">
            <w:pPr>
              <w:rPr>
                <w:sz w:val="20"/>
                <w:szCs w:val="20"/>
              </w:rPr>
            </w:pPr>
            <w:r w:rsidRPr="00A3582C">
              <w:rPr>
                <w:sz w:val="20"/>
                <w:szCs w:val="20"/>
              </w:rPr>
              <w:t>Volatility (lagged)</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0.0756</w:t>
            </w:r>
          </w:p>
        </w:tc>
        <w:tc>
          <w:tcPr>
            <w:tcW w:w="236" w:type="dxa"/>
          </w:tcPr>
          <w:p w:rsidR="00903D89" w:rsidRPr="00A3582C" w:rsidRDefault="00DB381E">
            <w:pPr>
              <w:jc w:val="right"/>
              <w:rPr>
                <w:sz w:val="20"/>
                <w:szCs w:val="20"/>
              </w:rPr>
            </w:pPr>
            <w:r>
              <w:rPr>
                <w:sz w:val="20"/>
                <w:szCs w:val="20"/>
              </w:rPr>
              <w:t>*</w:t>
            </w:r>
          </w:p>
        </w:tc>
        <w:tc>
          <w:tcPr>
            <w:tcW w:w="1440" w:type="dxa"/>
          </w:tcPr>
          <w:p w:rsidR="00903D89" w:rsidRPr="00A3582C" w:rsidRDefault="00903D89">
            <w:pPr>
              <w:jc w:val="right"/>
              <w:rPr>
                <w:sz w:val="20"/>
                <w:szCs w:val="20"/>
              </w:rPr>
            </w:pPr>
            <w:r w:rsidRPr="00A3582C">
              <w:rPr>
                <w:sz w:val="20"/>
                <w:szCs w:val="20"/>
              </w:rPr>
              <w:t>3.22</w:t>
            </w:r>
          </w:p>
        </w:tc>
      </w:tr>
      <w:tr w:rsidR="00903D89" w:rsidRPr="00BD04E4">
        <w:trPr>
          <w:jc w:val="center"/>
        </w:trPr>
        <w:tc>
          <w:tcPr>
            <w:tcW w:w="2918" w:type="dxa"/>
          </w:tcPr>
          <w:p w:rsidR="00903D89" w:rsidRPr="00A3582C" w:rsidRDefault="00903D89">
            <w:pPr>
              <w:rPr>
                <w:sz w:val="20"/>
                <w:szCs w:val="20"/>
              </w:rPr>
            </w:pPr>
            <w:r w:rsidRPr="00A3582C">
              <w:rPr>
                <w:sz w:val="20"/>
                <w:szCs w:val="20"/>
              </w:rPr>
              <w:t>Industry Dummies</w:t>
            </w:r>
            <w:r w:rsidR="00681C37">
              <w:rPr>
                <w:sz w:val="20"/>
                <w:szCs w:val="20"/>
              </w:rPr>
              <w:t xml:space="preserve"> </w:t>
            </w:r>
            <w:r w:rsidRPr="00A3582C">
              <w:rPr>
                <w:sz w:val="20"/>
                <w:szCs w:val="20"/>
              </w:rPr>
              <w:t>(not reported)</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r w:rsidRPr="00A3582C">
              <w:rPr>
                <w:sz w:val="20"/>
                <w:szCs w:val="20"/>
              </w:rPr>
              <w:t>Yes</w:t>
            </w:r>
          </w:p>
        </w:tc>
        <w:tc>
          <w:tcPr>
            <w:tcW w:w="236" w:type="dxa"/>
          </w:tcPr>
          <w:p w:rsidR="00903D89" w:rsidRPr="00A3582C" w:rsidRDefault="00903D89">
            <w:pPr>
              <w:jc w:val="right"/>
              <w:rPr>
                <w:sz w:val="20"/>
                <w:szCs w:val="20"/>
              </w:rPr>
            </w:pPr>
          </w:p>
        </w:tc>
        <w:tc>
          <w:tcPr>
            <w:tcW w:w="1440" w:type="dxa"/>
          </w:tcPr>
          <w:p w:rsidR="00903D89" w:rsidRPr="00A3582C" w:rsidRDefault="00903D89">
            <w:pPr>
              <w:jc w:val="right"/>
              <w:rPr>
                <w:sz w:val="20"/>
                <w:szCs w:val="20"/>
              </w:rPr>
            </w:pPr>
          </w:p>
        </w:tc>
      </w:tr>
      <w:tr w:rsidR="00903D89" w:rsidRPr="00BD04E4">
        <w:trPr>
          <w:jc w:val="center"/>
        </w:trPr>
        <w:tc>
          <w:tcPr>
            <w:tcW w:w="2918" w:type="dxa"/>
          </w:tcPr>
          <w:p w:rsidR="00903D89" w:rsidRPr="00A3582C" w:rsidRDefault="00903D89">
            <w:pPr>
              <w:rPr>
                <w:b/>
                <w:sz w:val="20"/>
                <w:szCs w:val="20"/>
              </w:rPr>
            </w:pPr>
            <w:r w:rsidRPr="00A3582C">
              <w:rPr>
                <w:b/>
                <w:sz w:val="20"/>
                <w:szCs w:val="20"/>
              </w:rPr>
              <w:t xml:space="preserve">Adj. R square = </w:t>
            </w:r>
          </w:p>
        </w:tc>
        <w:tc>
          <w:tcPr>
            <w:tcW w:w="236" w:type="dxa"/>
          </w:tcPr>
          <w:p w:rsidR="00903D89" w:rsidRPr="00A3582C" w:rsidRDefault="00903D89">
            <w:pPr>
              <w:rPr>
                <w:sz w:val="20"/>
                <w:szCs w:val="20"/>
              </w:rPr>
            </w:pPr>
          </w:p>
        </w:tc>
        <w:tc>
          <w:tcPr>
            <w:tcW w:w="1231" w:type="dxa"/>
          </w:tcPr>
          <w:p w:rsidR="00903D89" w:rsidRPr="00A3582C" w:rsidRDefault="00903D89">
            <w:pPr>
              <w:jc w:val="right"/>
              <w:rPr>
                <w:sz w:val="20"/>
                <w:szCs w:val="20"/>
              </w:rPr>
            </w:pPr>
          </w:p>
        </w:tc>
        <w:tc>
          <w:tcPr>
            <w:tcW w:w="291" w:type="dxa"/>
          </w:tcPr>
          <w:p w:rsidR="00903D89" w:rsidRPr="00A3582C" w:rsidRDefault="00903D89">
            <w:pPr>
              <w:rPr>
                <w:sz w:val="20"/>
                <w:szCs w:val="20"/>
              </w:rPr>
            </w:pPr>
          </w:p>
        </w:tc>
        <w:tc>
          <w:tcPr>
            <w:tcW w:w="1282" w:type="dxa"/>
          </w:tcPr>
          <w:p w:rsidR="00903D89" w:rsidRPr="00A3582C" w:rsidRDefault="00903D89">
            <w:pPr>
              <w:jc w:val="right"/>
              <w:rPr>
                <w:sz w:val="20"/>
                <w:szCs w:val="20"/>
              </w:rPr>
            </w:pPr>
            <w:r w:rsidRPr="00A3582C">
              <w:rPr>
                <w:b/>
                <w:sz w:val="20"/>
                <w:szCs w:val="20"/>
              </w:rPr>
              <w:t>6.3 %</w:t>
            </w:r>
          </w:p>
        </w:tc>
        <w:tc>
          <w:tcPr>
            <w:tcW w:w="248" w:type="dxa"/>
          </w:tcPr>
          <w:p w:rsidR="00903D89" w:rsidRPr="00A3582C" w:rsidRDefault="00903D89">
            <w:pPr>
              <w:jc w:val="right"/>
              <w:rPr>
                <w:sz w:val="20"/>
                <w:szCs w:val="20"/>
              </w:rPr>
            </w:pPr>
          </w:p>
        </w:tc>
        <w:tc>
          <w:tcPr>
            <w:tcW w:w="1231" w:type="dxa"/>
          </w:tcPr>
          <w:p w:rsidR="00903D89" w:rsidRPr="00A3582C" w:rsidRDefault="00903D89">
            <w:pPr>
              <w:jc w:val="right"/>
              <w:rPr>
                <w:sz w:val="20"/>
                <w:szCs w:val="20"/>
              </w:rPr>
            </w:pPr>
          </w:p>
        </w:tc>
        <w:tc>
          <w:tcPr>
            <w:tcW w:w="236" w:type="dxa"/>
          </w:tcPr>
          <w:p w:rsidR="00903D89" w:rsidRPr="00A3582C" w:rsidRDefault="00903D89">
            <w:pPr>
              <w:jc w:val="right"/>
              <w:rPr>
                <w:sz w:val="20"/>
                <w:szCs w:val="20"/>
              </w:rPr>
            </w:pPr>
          </w:p>
        </w:tc>
        <w:tc>
          <w:tcPr>
            <w:tcW w:w="1440" w:type="dxa"/>
          </w:tcPr>
          <w:p w:rsidR="00903D89" w:rsidRPr="00A3582C" w:rsidRDefault="00903D89">
            <w:pPr>
              <w:jc w:val="right"/>
              <w:rPr>
                <w:sz w:val="20"/>
                <w:szCs w:val="20"/>
              </w:rPr>
            </w:pPr>
          </w:p>
        </w:tc>
      </w:tr>
      <w:tr w:rsidR="00576D32" w:rsidRPr="00BD04E4">
        <w:trPr>
          <w:jc w:val="center"/>
        </w:trPr>
        <w:tc>
          <w:tcPr>
            <w:tcW w:w="2918" w:type="dxa"/>
          </w:tcPr>
          <w:p w:rsidR="00576D32" w:rsidRPr="00A3582C" w:rsidRDefault="00576D32">
            <w:pPr>
              <w:rPr>
                <w:b/>
                <w:sz w:val="20"/>
                <w:szCs w:val="20"/>
              </w:rPr>
            </w:pPr>
            <w:r w:rsidRPr="00BD04E4">
              <w:rPr>
                <w:sz w:val="20"/>
                <w:szCs w:val="20"/>
              </w:rPr>
              <w:t>Number of observations</w:t>
            </w:r>
          </w:p>
        </w:tc>
        <w:tc>
          <w:tcPr>
            <w:tcW w:w="236" w:type="dxa"/>
          </w:tcPr>
          <w:p w:rsidR="00576D32" w:rsidRPr="00A3582C" w:rsidRDefault="00576D32">
            <w:pPr>
              <w:rPr>
                <w:sz w:val="20"/>
                <w:szCs w:val="20"/>
              </w:rPr>
            </w:pPr>
          </w:p>
        </w:tc>
        <w:tc>
          <w:tcPr>
            <w:tcW w:w="1231" w:type="dxa"/>
          </w:tcPr>
          <w:p w:rsidR="00576D32" w:rsidRPr="00A3582C" w:rsidRDefault="00D4567C">
            <w:pPr>
              <w:jc w:val="right"/>
              <w:rPr>
                <w:sz w:val="20"/>
                <w:szCs w:val="20"/>
              </w:rPr>
            </w:pPr>
            <w:r>
              <w:rPr>
                <w:sz w:val="20"/>
                <w:szCs w:val="20"/>
              </w:rPr>
              <w:t>3,171</w:t>
            </w:r>
          </w:p>
        </w:tc>
        <w:tc>
          <w:tcPr>
            <w:tcW w:w="291" w:type="dxa"/>
          </w:tcPr>
          <w:p w:rsidR="00576D32" w:rsidRPr="00A3582C" w:rsidRDefault="00576D32">
            <w:pPr>
              <w:rPr>
                <w:sz w:val="20"/>
                <w:szCs w:val="20"/>
              </w:rPr>
            </w:pPr>
          </w:p>
        </w:tc>
        <w:tc>
          <w:tcPr>
            <w:tcW w:w="1282" w:type="dxa"/>
          </w:tcPr>
          <w:p w:rsidR="00576D32" w:rsidRPr="00A3582C" w:rsidRDefault="00576D32">
            <w:pPr>
              <w:jc w:val="right"/>
              <w:rPr>
                <w:b/>
                <w:sz w:val="20"/>
                <w:szCs w:val="20"/>
              </w:rPr>
            </w:pPr>
          </w:p>
        </w:tc>
        <w:tc>
          <w:tcPr>
            <w:tcW w:w="248" w:type="dxa"/>
          </w:tcPr>
          <w:p w:rsidR="00576D32" w:rsidRPr="00A3582C" w:rsidRDefault="00576D32">
            <w:pPr>
              <w:jc w:val="right"/>
              <w:rPr>
                <w:sz w:val="20"/>
                <w:szCs w:val="20"/>
              </w:rPr>
            </w:pPr>
          </w:p>
        </w:tc>
        <w:tc>
          <w:tcPr>
            <w:tcW w:w="1231" w:type="dxa"/>
          </w:tcPr>
          <w:p w:rsidR="00576D32" w:rsidRPr="00A3582C" w:rsidRDefault="00576D32">
            <w:pPr>
              <w:jc w:val="right"/>
              <w:rPr>
                <w:sz w:val="20"/>
                <w:szCs w:val="20"/>
              </w:rPr>
            </w:pPr>
            <w:r>
              <w:rPr>
                <w:sz w:val="20"/>
                <w:szCs w:val="20"/>
              </w:rPr>
              <w:t>11,695</w:t>
            </w:r>
          </w:p>
        </w:tc>
        <w:tc>
          <w:tcPr>
            <w:tcW w:w="236" w:type="dxa"/>
          </w:tcPr>
          <w:p w:rsidR="00576D32" w:rsidRPr="00A3582C" w:rsidRDefault="00576D32">
            <w:pPr>
              <w:jc w:val="right"/>
              <w:rPr>
                <w:sz w:val="20"/>
                <w:szCs w:val="20"/>
              </w:rPr>
            </w:pPr>
          </w:p>
        </w:tc>
        <w:tc>
          <w:tcPr>
            <w:tcW w:w="1440" w:type="dxa"/>
          </w:tcPr>
          <w:p w:rsidR="00576D32" w:rsidRPr="00A3582C" w:rsidRDefault="00576D32">
            <w:pPr>
              <w:jc w:val="right"/>
              <w:rPr>
                <w:sz w:val="20"/>
                <w:szCs w:val="20"/>
              </w:rPr>
            </w:pPr>
          </w:p>
        </w:tc>
      </w:tr>
    </w:tbl>
    <w:p w:rsidR="00903D89" w:rsidRPr="00576D32" w:rsidRDefault="00903D89" w:rsidP="00F64F5E">
      <w:pPr>
        <w:ind w:firstLine="720"/>
        <w:rPr>
          <w:sz w:val="16"/>
          <w:szCs w:val="16"/>
        </w:rPr>
      </w:pPr>
      <w:r w:rsidRPr="00576D32">
        <w:rPr>
          <w:sz w:val="16"/>
          <w:szCs w:val="16"/>
        </w:rPr>
        <w:t xml:space="preserve">(1)  </w:t>
      </w:r>
      <w:proofErr w:type="spellStart"/>
      <w:r w:rsidRPr="00576D32">
        <w:rPr>
          <w:sz w:val="16"/>
          <w:szCs w:val="16"/>
        </w:rPr>
        <w:t>Fama-MacBeth</w:t>
      </w:r>
      <w:proofErr w:type="spellEnd"/>
      <w:r w:rsidRPr="00576D32">
        <w:rPr>
          <w:sz w:val="16"/>
          <w:szCs w:val="16"/>
        </w:rPr>
        <w:t xml:space="preserve"> Average Coefficients (</w:t>
      </w:r>
      <w:r w:rsidRPr="00576D32">
        <w:rPr>
          <w:position w:val="-10"/>
          <w:sz w:val="16"/>
          <w:szCs w:val="16"/>
        </w:rPr>
        <w:object w:dxaOrig="220" w:dyaOrig="300">
          <v:shape id="_x0000_i1026" type="#_x0000_t75" style="width:11.25pt;height:15pt" o:ole="">
            <v:imagedata r:id="rId11" o:title=""/>
          </v:shape>
          <o:OLEObject Type="Embed" ProgID="Equation.3" ShapeID="_x0000_i1026" DrawAspect="Content" ObjectID="_1393744584" r:id="rId12"/>
        </w:object>
      </w:r>
      <w:r w:rsidRPr="00576D32">
        <w:rPr>
          <w:sz w:val="16"/>
          <w:szCs w:val="16"/>
        </w:rPr>
        <w:t xml:space="preserve">) and T-Statistics  </w:t>
      </w:r>
      <w:r w:rsidRPr="00576D32">
        <w:rPr>
          <w:position w:val="-28"/>
          <w:sz w:val="16"/>
          <w:szCs w:val="16"/>
        </w:rPr>
        <w:object w:dxaOrig="1260" w:dyaOrig="660">
          <v:shape id="_x0000_i1027" type="#_x0000_t75" style="width:85.5pt;height:31.5pt" o:ole="">
            <v:imagedata r:id="rId13" o:title=""/>
          </v:shape>
          <o:OLEObject Type="Embed" ProgID="Equation.3" ShapeID="_x0000_i1027" DrawAspect="Content" ObjectID="_1393744585" r:id="rId14"/>
        </w:object>
      </w:r>
    </w:p>
    <w:p w:rsidR="00903D89" w:rsidRPr="00BD04E4" w:rsidRDefault="00903D89">
      <w:pPr>
        <w:rPr>
          <w:b/>
        </w:rPr>
      </w:pPr>
      <w:r w:rsidRPr="00BD04E4">
        <w:br w:type="page"/>
      </w:r>
      <w:r w:rsidRPr="00BD04E4">
        <w:rPr>
          <w:b/>
        </w:rPr>
        <w:lastRenderedPageBreak/>
        <w:t xml:space="preserve">Table </w:t>
      </w:r>
      <w:r w:rsidR="00E817C9">
        <w:rPr>
          <w:b/>
        </w:rPr>
        <w:t>5</w:t>
      </w:r>
    </w:p>
    <w:p w:rsidR="00903D89" w:rsidRDefault="00903D89">
      <w:pPr>
        <w:rPr>
          <w:b/>
        </w:rPr>
      </w:pPr>
      <w:r w:rsidRPr="00BD04E4">
        <w:rPr>
          <w:b/>
        </w:rPr>
        <w:t xml:space="preserve">Forecast Error Regression – Holding Period / Free to Sell Period – Form 144 </w:t>
      </w:r>
      <w:proofErr w:type="gramStart"/>
      <w:r w:rsidRPr="00BD04E4">
        <w:rPr>
          <w:b/>
        </w:rPr>
        <w:t>Sample</w:t>
      </w:r>
      <w:proofErr w:type="gramEnd"/>
    </w:p>
    <w:p w:rsidR="003D161B" w:rsidRPr="00BD04E4" w:rsidRDefault="003D161B">
      <w:pPr>
        <w:rPr>
          <w:b/>
        </w:rPr>
      </w:pPr>
    </w:p>
    <w:p w:rsidR="00903D89" w:rsidRPr="00DB381E" w:rsidRDefault="00EA0836" w:rsidP="00DB381E">
      <w:pPr>
        <w:pStyle w:val="BodyTextIndent"/>
        <w:spacing w:line="240" w:lineRule="auto"/>
        <w:ind w:firstLine="0"/>
        <w:rPr>
          <w:sz w:val="20"/>
          <w:szCs w:val="20"/>
        </w:rPr>
      </w:pPr>
      <w:r w:rsidRPr="00DB381E">
        <w:rPr>
          <w:sz w:val="20"/>
          <w:szCs w:val="20"/>
        </w:rPr>
        <w:t>This analysis tests the</w:t>
      </w:r>
      <w:r w:rsidR="007F2542" w:rsidRPr="00DB381E">
        <w:rPr>
          <w:sz w:val="20"/>
          <w:szCs w:val="20"/>
        </w:rPr>
        <w:t xml:space="preserve"> sub</w:t>
      </w:r>
      <w:r w:rsidR="00903D89" w:rsidRPr="00DB381E">
        <w:rPr>
          <w:sz w:val="20"/>
          <w:szCs w:val="20"/>
        </w:rPr>
        <w:t xml:space="preserve">sample of all Form 144 owning </w:t>
      </w:r>
      <w:r w:rsidR="003B2589" w:rsidRPr="00DB381E">
        <w:rPr>
          <w:sz w:val="20"/>
          <w:szCs w:val="20"/>
        </w:rPr>
        <w:t>analysts that</w:t>
      </w:r>
      <w:r w:rsidR="00903D89" w:rsidRPr="00DB381E">
        <w:rPr>
          <w:sz w:val="20"/>
          <w:szCs w:val="20"/>
        </w:rPr>
        <w:t xml:space="preserve"> provide </w:t>
      </w:r>
      <w:r w:rsidR="00820CDE" w:rsidRPr="00DB381E">
        <w:rPr>
          <w:sz w:val="20"/>
          <w:szCs w:val="20"/>
        </w:rPr>
        <w:t>earnings forecasts</w:t>
      </w:r>
      <w:r w:rsidR="00903D89" w:rsidRPr="00DB381E">
        <w:rPr>
          <w:sz w:val="20"/>
          <w:szCs w:val="20"/>
        </w:rPr>
        <w:t xml:space="preserve"> during both the</w:t>
      </w:r>
      <w:r w:rsidR="00820CDE" w:rsidRPr="00DB381E">
        <w:rPr>
          <w:sz w:val="20"/>
          <w:szCs w:val="20"/>
        </w:rPr>
        <w:t xml:space="preserve"> SEC mandated</w:t>
      </w:r>
      <w:r w:rsidR="00903D89" w:rsidRPr="00DB381E">
        <w:rPr>
          <w:sz w:val="20"/>
          <w:szCs w:val="20"/>
        </w:rPr>
        <w:t xml:space="preserve"> holding period</w:t>
      </w:r>
      <w:r w:rsidR="0083713B" w:rsidRPr="00DB381E">
        <w:rPr>
          <w:sz w:val="20"/>
          <w:szCs w:val="20"/>
        </w:rPr>
        <w:t xml:space="preserve"> and the post-holding period.  </w:t>
      </w:r>
      <w:r w:rsidR="007C4AC0" w:rsidRPr="00DB381E">
        <w:rPr>
          <w:sz w:val="20"/>
          <w:szCs w:val="20"/>
        </w:rPr>
        <w:t xml:space="preserve">An owning analyst is a sell-side analyst that provides research coverage on a company and files a Form 144 with the SEC upon the sale of their restricted stock in that same company.  </w:t>
      </w:r>
      <w:r w:rsidR="00903D89" w:rsidRPr="00DB381E">
        <w:rPr>
          <w:sz w:val="20"/>
          <w:szCs w:val="20"/>
        </w:rPr>
        <w:t xml:space="preserve">  SEC Rule 144 requires a restricted stock owner to hold the sto</w:t>
      </w:r>
      <w:r w:rsidR="007C4AC0" w:rsidRPr="00DB381E">
        <w:rPr>
          <w:sz w:val="20"/>
          <w:szCs w:val="20"/>
        </w:rPr>
        <w:t>ck for at least one year</w:t>
      </w:r>
      <w:r w:rsidR="00903D89" w:rsidRPr="00DB381E">
        <w:rPr>
          <w:sz w:val="20"/>
          <w:szCs w:val="20"/>
        </w:rPr>
        <w:t xml:space="preserve"> (See Figure 1).</w:t>
      </w:r>
      <w:r w:rsidR="003D161B" w:rsidRPr="00DB381E">
        <w:rPr>
          <w:sz w:val="20"/>
          <w:szCs w:val="20"/>
        </w:rPr>
        <w:t xml:space="preserve">  </w:t>
      </w:r>
      <w:r w:rsidR="007C4AC0" w:rsidRPr="00DB381E">
        <w:rPr>
          <w:b/>
          <w:sz w:val="20"/>
          <w:szCs w:val="20"/>
        </w:rPr>
        <w:t xml:space="preserve">Forecast error </w:t>
      </w:r>
      <w:r w:rsidR="007C4AC0" w:rsidRPr="00DB381E">
        <w:rPr>
          <w:sz w:val="20"/>
          <w:szCs w:val="20"/>
        </w:rPr>
        <w:t xml:space="preserve">is actual earnings for the quarter less the analyst’s earnings forecast all deflated by lagged stock price. </w:t>
      </w:r>
      <w:r w:rsidR="007C4AC0" w:rsidRPr="00DB381E">
        <w:rPr>
          <w:b/>
          <w:sz w:val="20"/>
          <w:szCs w:val="20"/>
        </w:rPr>
        <w:t>Post Holding Period</w:t>
      </w:r>
      <w:r w:rsidR="007C4AC0" w:rsidRPr="00DB381E">
        <w:rPr>
          <w:sz w:val="20"/>
          <w:szCs w:val="20"/>
        </w:rPr>
        <w:t xml:space="preserve"> is a dummy variable indicating whether the earnings forecast is issued after the Rule 144 required holding period.  </w:t>
      </w:r>
      <w:r w:rsidR="007C4AC0" w:rsidRPr="00DB381E">
        <w:rPr>
          <w:b/>
          <w:sz w:val="20"/>
          <w:szCs w:val="20"/>
        </w:rPr>
        <w:t xml:space="preserve">Internet </w:t>
      </w:r>
      <w:r w:rsidR="007C4AC0" w:rsidRPr="00DB381E">
        <w:rPr>
          <w:sz w:val="20"/>
          <w:szCs w:val="20"/>
        </w:rPr>
        <w:t>is</w:t>
      </w:r>
      <w:r w:rsidR="007C4AC0" w:rsidRPr="00DB381E">
        <w:rPr>
          <w:b/>
          <w:sz w:val="20"/>
          <w:szCs w:val="20"/>
        </w:rPr>
        <w:t xml:space="preserve"> </w:t>
      </w:r>
      <w:r w:rsidR="007C4AC0" w:rsidRPr="00DB381E">
        <w:rPr>
          <w:sz w:val="20"/>
          <w:szCs w:val="20"/>
        </w:rPr>
        <w:t>a</w:t>
      </w:r>
      <w:r w:rsidR="007C4AC0" w:rsidRPr="00DB381E">
        <w:rPr>
          <w:b/>
          <w:sz w:val="20"/>
          <w:szCs w:val="20"/>
        </w:rPr>
        <w:t xml:space="preserve"> </w:t>
      </w:r>
      <w:r w:rsidR="007C4AC0" w:rsidRPr="00DB381E">
        <w:rPr>
          <w:sz w:val="20"/>
          <w:szCs w:val="20"/>
        </w:rPr>
        <w:t xml:space="preserve">dummy variable indicating whether the sample company belongs to one of the four </w:t>
      </w:r>
      <w:proofErr w:type="gramStart"/>
      <w:r w:rsidR="007C4AC0" w:rsidRPr="00DB381E">
        <w:rPr>
          <w:sz w:val="20"/>
          <w:szCs w:val="20"/>
        </w:rPr>
        <w:t>digit</w:t>
      </w:r>
      <w:proofErr w:type="gramEnd"/>
      <w:r w:rsidR="007C4AC0" w:rsidRPr="00DB381E">
        <w:rPr>
          <w:sz w:val="20"/>
          <w:szCs w:val="20"/>
        </w:rPr>
        <w:t xml:space="preserve"> SIC groups specified by </w:t>
      </w:r>
      <w:proofErr w:type="spellStart"/>
      <w:r w:rsidR="007C4AC0" w:rsidRPr="00DB381E">
        <w:rPr>
          <w:sz w:val="20"/>
          <w:szCs w:val="20"/>
        </w:rPr>
        <w:t>Loughran</w:t>
      </w:r>
      <w:proofErr w:type="spellEnd"/>
      <w:r w:rsidR="007C4AC0" w:rsidRPr="00DB381E">
        <w:rPr>
          <w:sz w:val="20"/>
          <w:szCs w:val="20"/>
        </w:rPr>
        <w:t xml:space="preserve"> and Ritter (2002) for Technology stocks.  </w:t>
      </w:r>
      <w:r w:rsidR="007C4AC0" w:rsidRPr="00DB381E">
        <w:rPr>
          <w:b/>
          <w:sz w:val="20"/>
          <w:szCs w:val="20"/>
        </w:rPr>
        <w:t>Own</w:t>
      </w:r>
      <w:r w:rsidR="007C4AC0" w:rsidRPr="00DB381E">
        <w:rPr>
          <w:sz w:val="20"/>
          <w:szCs w:val="20"/>
        </w:rPr>
        <w:t xml:space="preserve"> is a dummy variable indicating whether the analyst owns the stock on which she issues a report. </w:t>
      </w:r>
      <w:r w:rsidR="007C4AC0" w:rsidRPr="00DB381E">
        <w:rPr>
          <w:b/>
          <w:sz w:val="20"/>
          <w:szCs w:val="20"/>
        </w:rPr>
        <w:t>Forecast age</w:t>
      </w:r>
      <w:r w:rsidR="007C4AC0" w:rsidRPr="00DB381E">
        <w:rPr>
          <w:sz w:val="20"/>
          <w:szCs w:val="20"/>
        </w:rPr>
        <w:t xml:space="preserve"> is the difference, in days, between the date of the analyst’s forecast and the company’s actual earnings announcement.  </w:t>
      </w:r>
      <w:r w:rsidR="007C4AC0" w:rsidRPr="00DB381E">
        <w:rPr>
          <w:b/>
          <w:sz w:val="20"/>
          <w:szCs w:val="20"/>
        </w:rPr>
        <w:t xml:space="preserve">IPO Underwriter </w:t>
      </w:r>
      <w:r w:rsidR="007C4AC0" w:rsidRPr="00DB381E">
        <w:rPr>
          <w:sz w:val="20"/>
          <w:szCs w:val="20"/>
        </w:rPr>
        <w:t>is a</w:t>
      </w:r>
      <w:r w:rsidR="007C4AC0" w:rsidRPr="00DB381E">
        <w:rPr>
          <w:b/>
          <w:sz w:val="20"/>
          <w:szCs w:val="20"/>
        </w:rPr>
        <w:t xml:space="preserve"> </w:t>
      </w:r>
      <w:r w:rsidR="007C4AC0" w:rsidRPr="00DB381E">
        <w:rPr>
          <w:sz w:val="20"/>
          <w:szCs w:val="20"/>
        </w:rPr>
        <w:t xml:space="preserve">dummy variable indicating whether the analyst's brokerage firm is the IPO lead underwriter and the analyst report is issued within one year after the IPO.  </w:t>
      </w:r>
      <w:r w:rsidR="00D44B70" w:rsidRPr="00DB381E">
        <w:rPr>
          <w:b/>
          <w:sz w:val="20"/>
          <w:szCs w:val="20"/>
        </w:rPr>
        <w:t xml:space="preserve">IPO Co-manager </w:t>
      </w:r>
      <w:r w:rsidR="00D44B70" w:rsidRPr="00DB381E">
        <w:rPr>
          <w:sz w:val="20"/>
          <w:szCs w:val="20"/>
        </w:rPr>
        <w:t>is defined in the same way.</w:t>
      </w:r>
      <w:r w:rsidR="007C4AC0" w:rsidRPr="00DB381E">
        <w:rPr>
          <w:sz w:val="20"/>
          <w:szCs w:val="20"/>
        </w:rPr>
        <w:t xml:space="preserve">  </w:t>
      </w:r>
      <w:r w:rsidR="007C4AC0" w:rsidRPr="00DB381E">
        <w:rPr>
          <w:b/>
          <w:sz w:val="20"/>
          <w:szCs w:val="20"/>
        </w:rPr>
        <w:t xml:space="preserve">Loss </w:t>
      </w:r>
      <w:r w:rsidR="007C4AC0" w:rsidRPr="00DB381E">
        <w:rPr>
          <w:sz w:val="20"/>
          <w:szCs w:val="20"/>
        </w:rPr>
        <w:t>is a dummy variable indicating whether the current quarter’s income is a loss or not.</w:t>
      </w:r>
      <w:r w:rsidR="007C4AC0" w:rsidRPr="00DB381E">
        <w:rPr>
          <w:b/>
          <w:sz w:val="20"/>
          <w:szCs w:val="20"/>
        </w:rPr>
        <w:t xml:space="preserve">  Follow </w:t>
      </w:r>
      <w:r w:rsidR="007C4AC0" w:rsidRPr="00DB381E">
        <w:rPr>
          <w:sz w:val="20"/>
          <w:szCs w:val="20"/>
        </w:rPr>
        <w:t xml:space="preserve">is the number of analysts reporting earnings forecasts on the company during the quarter.  </w:t>
      </w:r>
      <w:r w:rsidR="007C4AC0" w:rsidRPr="00DB381E">
        <w:rPr>
          <w:b/>
          <w:sz w:val="20"/>
          <w:szCs w:val="20"/>
        </w:rPr>
        <w:t xml:space="preserve">Broker </w:t>
      </w:r>
      <w:proofErr w:type="spellStart"/>
      <w:r w:rsidR="007C4AC0" w:rsidRPr="00DB381E">
        <w:rPr>
          <w:b/>
          <w:sz w:val="20"/>
          <w:szCs w:val="20"/>
        </w:rPr>
        <w:t>Decile</w:t>
      </w:r>
      <w:proofErr w:type="spellEnd"/>
      <w:r w:rsidR="007C4AC0" w:rsidRPr="00DB381E">
        <w:rPr>
          <w:b/>
          <w:sz w:val="20"/>
          <w:szCs w:val="20"/>
        </w:rPr>
        <w:t xml:space="preserve"> </w:t>
      </w:r>
      <w:r w:rsidR="007C4AC0" w:rsidRPr="00DB381E">
        <w:rPr>
          <w:sz w:val="20"/>
          <w:szCs w:val="20"/>
        </w:rPr>
        <w:t xml:space="preserve">is a </w:t>
      </w:r>
      <w:proofErr w:type="spellStart"/>
      <w:r w:rsidR="007C4AC0" w:rsidRPr="00DB381E">
        <w:rPr>
          <w:sz w:val="20"/>
          <w:szCs w:val="20"/>
        </w:rPr>
        <w:t>decile</w:t>
      </w:r>
      <w:proofErr w:type="spellEnd"/>
      <w:r w:rsidR="007C4AC0" w:rsidRPr="00DB381E">
        <w:rPr>
          <w:sz w:val="20"/>
          <w:szCs w:val="20"/>
        </w:rPr>
        <w:t xml:space="preserve"> size ranking of</w:t>
      </w:r>
      <w:r w:rsidR="007C4AC0" w:rsidRPr="00DB381E">
        <w:rPr>
          <w:b/>
          <w:sz w:val="20"/>
          <w:szCs w:val="20"/>
        </w:rPr>
        <w:t xml:space="preserve"> </w:t>
      </w:r>
      <w:r w:rsidR="007C4AC0" w:rsidRPr="00DB381E">
        <w:rPr>
          <w:sz w:val="20"/>
          <w:szCs w:val="20"/>
        </w:rPr>
        <w:t>the analyst’s</w:t>
      </w:r>
      <w:r w:rsidR="007C4AC0" w:rsidRPr="00DB381E">
        <w:rPr>
          <w:b/>
          <w:sz w:val="20"/>
          <w:szCs w:val="20"/>
        </w:rPr>
        <w:t xml:space="preserve"> </w:t>
      </w:r>
      <w:r w:rsidR="007C4AC0" w:rsidRPr="00DB381E">
        <w:rPr>
          <w:sz w:val="20"/>
          <w:szCs w:val="20"/>
        </w:rPr>
        <w:t xml:space="preserve">brokerage firm, computed annually, </w:t>
      </w:r>
      <w:r w:rsidR="00563454" w:rsidRPr="00DB381E">
        <w:rPr>
          <w:sz w:val="20"/>
          <w:szCs w:val="20"/>
        </w:rPr>
        <w:t>and based</w:t>
      </w:r>
      <w:r w:rsidR="007C4AC0" w:rsidRPr="00DB381E">
        <w:rPr>
          <w:sz w:val="20"/>
          <w:szCs w:val="20"/>
        </w:rPr>
        <w:t xml:space="preserve"> on the number of analysts at each brokerage firm as reported by IBES.  </w:t>
      </w:r>
      <w:r w:rsidR="007C4AC0" w:rsidRPr="00DB381E">
        <w:rPr>
          <w:b/>
          <w:sz w:val="20"/>
          <w:szCs w:val="20"/>
        </w:rPr>
        <w:t>Experience</w:t>
      </w:r>
      <w:r w:rsidR="007C4AC0" w:rsidRPr="00DB381E">
        <w:rPr>
          <w:sz w:val="20"/>
          <w:szCs w:val="20"/>
        </w:rPr>
        <w:t xml:space="preserve"> is a measure of analyst tenure as a sell-side analyst, as of the current year (years in the IBES database is the proxy).  </w:t>
      </w:r>
      <w:r w:rsidR="007C4AC0" w:rsidRPr="00DB381E">
        <w:rPr>
          <w:b/>
          <w:sz w:val="20"/>
          <w:szCs w:val="20"/>
        </w:rPr>
        <w:t xml:space="preserve">Complexity </w:t>
      </w:r>
      <w:r w:rsidR="007C4AC0" w:rsidRPr="00DB381E">
        <w:rPr>
          <w:sz w:val="20"/>
          <w:szCs w:val="20"/>
        </w:rPr>
        <w:t xml:space="preserve">is the number of companies the analyst covers during the year.  </w:t>
      </w:r>
      <w:r w:rsidR="007C4AC0" w:rsidRPr="00DB381E">
        <w:rPr>
          <w:b/>
          <w:sz w:val="20"/>
          <w:szCs w:val="20"/>
        </w:rPr>
        <w:t xml:space="preserve">Disclose </w:t>
      </w:r>
      <w:r w:rsidR="007C4AC0" w:rsidRPr="00DB381E">
        <w:rPr>
          <w:sz w:val="20"/>
          <w:szCs w:val="20"/>
        </w:rPr>
        <w:t>is a</w:t>
      </w:r>
      <w:r w:rsidR="007C4AC0" w:rsidRPr="00DB381E">
        <w:rPr>
          <w:b/>
          <w:sz w:val="20"/>
          <w:szCs w:val="20"/>
        </w:rPr>
        <w:t xml:space="preserve"> </w:t>
      </w:r>
      <w:r w:rsidR="007C4AC0" w:rsidRPr="00DB381E">
        <w:rPr>
          <w:sz w:val="20"/>
          <w:szCs w:val="20"/>
        </w:rPr>
        <w:t>dummy variable indicating whether the analyst is a restricted stockowner and whether their ownership was disclosed to the public, prior to the Form 144.</w:t>
      </w:r>
      <w:r w:rsidR="00DB381E" w:rsidRPr="00DB381E">
        <w:rPr>
          <w:sz w:val="20"/>
          <w:szCs w:val="20"/>
        </w:rPr>
        <w:t xml:space="preserve">  * Statistically significant at the 5% level or better.</w:t>
      </w:r>
    </w:p>
    <w:p w:rsidR="00903D89" w:rsidRPr="00BD04E4" w:rsidRDefault="00903D89"/>
    <w:p w:rsidR="00903D89" w:rsidRPr="007B72FC" w:rsidRDefault="00903D89" w:rsidP="000B4846">
      <w:pPr>
        <w:ind w:firstLine="720"/>
        <w:rPr>
          <w:i/>
        </w:rPr>
      </w:pPr>
      <w:r w:rsidRPr="00BD04E4">
        <w:rPr>
          <w:i/>
        </w:rPr>
        <w:t>Dependent variable:  Forecast Error (FE).</w:t>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55"/>
        <w:gridCol w:w="321"/>
        <w:gridCol w:w="1786"/>
        <w:gridCol w:w="251"/>
        <w:gridCol w:w="2239"/>
      </w:tblGrid>
      <w:tr w:rsidR="00903D89" w:rsidRPr="00BD04E4">
        <w:trPr>
          <w:jc w:val="center"/>
        </w:trPr>
        <w:tc>
          <w:tcPr>
            <w:tcW w:w="3528" w:type="dxa"/>
          </w:tcPr>
          <w:p w:rsidR="00903D89" w:rsidRPr="003D161B" w:rsidRDefault="00903D89">
            <w:pPr>
              <w:rPr>
                <w:sz w:val="20"/>
                <w:szCs w:val="20"/>
              </w:rPr>
            </w:pPr>
          </w:p>
        </w:tc>
        <w:tc>
          <w:tcPr>
            <w:tcW w:w="302" w:type="dxa"/>
          </w:tcPr>
          <w:p w:rsidR="00903D89" w:rsidRPr="003D161B" w:rsidRDefault="00903D89">
            <w:pPr>
              <w:rPr>
                <w:sz w:val="20"/>
                <w:szCs w:val="20"/>
              </w:rPr>
            </w:pPr>
          </w:p>
        </w:tc>
        <w:tc>
          <w:tcPr>
            <w:tcW w:w="1678" w:type="dxa"/>
          </w:tcPr>
          <w:p w:rsidR="00903D89" w:rsidRPr="003D161B" w:rsidRDefault="00903D89">
            <w:pPr>
              <w:jc w:val="center"/>
              <w:rPr>
                <w:b/>
                <w:sz w:val="20"/>
                <w:szCs w:val="20"/>
              </w:rPr>
            </w:pPr>
            <w:r w:rsidRPr="003D161B">
              <w:rPr>
                <w:b/>
                <w:sz w:val="20"/>
                <w:szCs w:val="20"/>
              </w:rPr>
              <w:t>Coefficient</w:t>
            </w:r>
          </w:p>
        </w:tc>
        <w:tc>
          <w:tcPr>
            <w:tcW w:w="236" w:type="dxa"/>
          </w:tcPr>
          <w:p w:rsidR="00903D89" w:rsidRPr="003D161B" w:rsidRDefault="00903D89">
            <w:pPr>
              <w:rPr>
                <w:sz w:val="20"/>
                <w:szCs w:val="20"/>
              </w:rPr>
            </w:pPr>
          </w:p>
        </w:tc>
        <w:tc>
          <w:tcPr>
            <w:tcW w:w="2104" w:type="dxa"/>
          </w:tcPr>
          <w:p w:rsidR="00903D89" w:rsidRPr="003D161B" w:rsidRDefault="00903D89">
            <w:pPr>
              <w:jc w:val="center"/>
              <w:rPr>
                <w:b/>
                <w:sz w:val="20"/>
                <w:szCs w:val="20"/>
              </w:rPr>
            </w:pPr>
            <w:r w:rsidRPr="003D161B">
              <w:rPr>
                <w:b/>
                <w:sz w:val="20"/>
                <w:szCs w:val="20"/>
              </w:rPr>
              <w:t>T-Statistic</w:t>
            </w:r>
          </w:p>
        </w:tc>
      </w:tr>
      <w:tr w:rsidR="00903D89" w:rsidRPr="00BD04E4">
        <w:trPr>
          <w:jc w:val="center"/>
        </w:trPr>
        <w:tc>
          <w:tcPr>
            <w:tcW w:w="3528" w:type="dxa"/>
          </w:tcPr>
          <w:p w:rsidR="00903D89" w:rsidRPr="003D161B" w:rsidRDefault="00903D89">
            <w:pPr>
              <w:rPr>
                <w:sz w:val="20"/>
                <w:szCs w:val="20"/>
              </w:rPr>
            </w:pPr>
          </w:p>
        </w:tc>
        <w:tc>
          <w:tcPr>
            <w:tcW w:w="302" w:type="dxa"/>
          </w:tcPr>
          <w:p w:rsidR="00903D89" w:rsidRPr="003D161B" w:rsidRDefault="00903D89">
            <w:pPr>
              <w:rPr>
                <w:sz w:val="20"/>
                <w:szCs w:val="20"/>
              </w:rPr>
            </w:pPr>
          </w:p>
        </w:tc>
        <w:tc>
          <w:tcPr>
            <w:tcW w:w="1678" w:type="dxa"/>
          </w:tcPr>
          <w:p w:rsidR="00903D89" w:rsidRPr="003D161B" w:rsidRDefault="00903D89">
            <w:pPr>
              <w:rPr>
                <w:sz w:val="20"/>
                <w:szCs w:val="20"/>
              </w:rPr>
            </w:pPr>
          </w:p>
        </w:tc>
        <w:tc>
          <w:tcPr>
            <w:tcW w:w="236" w:type="dxa"/>
          </w:tcPr>
          <w:p w:rsidR="00903D89" w:rsidRPr="003D161B" w:rsidRDefault="00903D89">
            <w:pPr>
              <w:rPr>
                <w:sz w:val="20"/>
                <w:szCs w:val="20"/>
              </w:rPr>
            </w:pPr>
          </w:p>
        </w:tc>
        <w:tc>
          <w:tcPr>
            <w:tcW w:w="2104" w:type="dxa"/>
          </w:tcPr>
          <w:p w:rsidR="00903D89" w:rsidRPr="003D161B" w:rsidRDefault="00903D89">
            <w:pPr>
              <w:rPr>
                <w:sz w:val="20"/>
                <w:szCs w:val="20"/>
              </w:rPr>
            </w:pPr>
          </w:p>
        </w:tc>
      </w:tr>
      <w:tr w:rsidR="00903D89" w:rsidRPr="00BD04E4">
        <w:trPr>
          <w:jc w:val="center"/>
        </w:trPr>
        <w:tc>
          <w:tcPr>
            <w:tcW w:w="3528" w:type="dxa"/>
          </w:tcPr>
          <w:p w:rsidR="00903D89" w:rsidRPr="003D161B" w:rsidRDefault="00903D89">
            <w:pPr>
              <w:rPr>
                <w:sz w:val="20"/>
                <w:szCs w:val="20"/>
              </w:rPr>
            </w:pPr>
            <w:r w:rsidRPr="003D161B">
              <w:rPr>
                <w:sz w:val="20"/>
                <w:szCs w:val="20"/>
              </w:rPr>
              <w:t>Intercept</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0.0007</w:t>
            </w:r>
          </w:p>
        </w:tc>
        <w:tc>
          <w:tcPr>
            <w:tcW w:w="236" w:type="dxa"/>
          </w:tcPr>
          <w:p w:rsidR="00903D89" w:rsidRPr="003D161B" w:rsidRDefault="00903D89">
            <w:pPr>
              <w:rPr>
                <w:sz w:val="20"/>
                <w:szCs w:val="20"/>
              </w:rPr>
            </w:pPr>
          </w:p>
        </w:tc>
        <w:tc>
          <w:tcPr>
            <w:tcW w:w="2104" w:type="dxa"/>
          </w:tcPr>
          <w:p w:rsidR="00903D89" w:rsidRPr="003D161B" w:rsidRDefault="00903D89">
            <w:pPr>
              <w:jc w:val="right"/>
              <w:rPr>
                <w:sz w:val="20"/>
                <w:szCs w:val="20"/>
              </w:rPr>
            </w:pPr>
            <w:r w:rsidRPr="003D161B">
              <w:rPr>
                <w:sz w:val="20"/>
                <w:szCs w:val="20"/>
              </w:rPr>
              <w:t>0.38</w:t>
            </w:r>
          </w:p>
        </w:tc>
      </w:tr>
      <w:tr w:rsidR="00903D89" w:rsidRPr="00BD04E4">
        <w:trPr>
          <w:jc w:val="center"/>
        </w:trPr>
        <w:tc>
          <w:tcPr>
            <w:tcW w:w="3528" w:type="dxa"/>
          </w:tcPr>
          <w:p w:rsidR="00903D89" w:rsidRPr="003D161B" w:rsidRDefault="00903D89">
            <w:pPr>
              <w:rPr>
                <w:sz w:val="20"/>
                <w:szCs w:val="20"/>
              </w:rPr>
            </w:pPr>
            <w:r w:rsidRPr="003D161B">
              <w:rPr>
                <w:sz w:val="20"/>
                <w:szCs w:val="20"/>
              </w:rPr>
              <w:t>Post Holding Period</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0.0016</w:t>
            </w:r>
          </w:p>
        </w:tc>
        <w:tc>
          <w:tcPr>
            <w:tcW w:w="236" w:type="dxa"/>
          </w:tcPr>
          <w:p w:rsidR="00903D89" w:rsidRPr="003D161B" w:rsidRDefault="00DB381E">
            <w:pPr>
              <w:rPr>
                <w:sz w:val="20"/>
                <w:szCs w:val="20"/>
              </w:rPr>
            </w:pPr>
            <w:r>
              <w:rPr>
                <w:sz w:val="20"/>
                <w:szCs w:val="20"/>
              </w:rPr>
              <w:t>*</w:t>
            </w:r>
          </w:p>
        </w:tc>
        <w:tc>
          <w:tcPr>
            <w:tcW w:w="2104" w:type="dxa"/>
          </w:tcPr>
          <w:p w:rsidR="00903D89" w:rsidRPr="003D161B" w:rsidRDefault="00903D89">
            <w:pPr>
              <w:jc w:val="right"/>
              <w:rPr>
                <w:sz w:val="20"/>
                <w:szCs w:val="20"/>
              </w:rPr>
            </w:pPr>
            <w:r w:rsidRPr="003D161B">
              <w:rPr>
                <w:sz w:val="20"/>
                <w:szCs w:val="20"/>
              </w:rPr>
              <w:t>2.40</w:t>
            </w:r>
          </w:p>
        </w:tc>
      </w:tr>
      <w:tr w:rsidR="00903D89" w:rsidRPr="00BD04E4">
        <w:trPr>
          <w:jc w:val="center"/>
        </w:trPr>
        <w:tc>
          <w:tcPr>
            <w:tcW w:w="3528" w:type="dxa"/>
          </w:tcPr>
          <w:p w:rsidR="00903D89" w:rsidRPr="003D161B" w:rsidRDefault="00903D89">
            <w:pPr>
              <w:rPr>
                <w:sz w:val="20"/>
                <w:szCs w:val="20"/>
              </w:rPr>
            </w:pPr>
            <w:r w:rsidRPr="003D161B">
              <w:rPr>
                <w:sz w:val="20"/>
                <w:szCs w:val="20"/>
              </w:rPr>
              <w:t>Internet</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0.0011</w:t>
            </w:r>
          </w:p>
        </w:tc>
        <w:tc>
          <w:tcPr>
            <w:tcW w:w="236" w:type="dxa"/>
          </w:tcPr>
          <w:p w:rsidR="00903D89" w:rsidRPr="003D161B" w:rsidRDefault="00903D89">
            <w:pPr>
              <w:rPr>
                <w:sz w:val="20"/>
                <w:szCs w:val="20"/>
              </w:rPr>
            </w:pPr>
          </w:p>
        </w:tc>
        <w:tc>
          <w:tcPr>
            <w:tcW w:w="2104" w:type="dxa"/>
          </w:tcPr>
          <w:p w:rsidR="00903D89" w:rsidRPr="003D161B" w:rsidRDefault="00903D89">
            <w:pPr>
              <w:jc w:val="right"/>
              <w:rPr>
                <w:sz w:val="20"/>
                <w:szCs w:val="20"/>
              </w:rPr>
            </w:pPr>
            <w:r w:rsidRPr="003D161B">
              <w:rPr>
                <w:sz w:val="20"/>
                <w:szCs w:val="20"/>
              </w:rPr>
              <w:t>1.63</w:t>
            </w:r>
          </w:p>
        </w:tc>
      </w:tr>
      <w:tr w:rsidR="00903D89" w:rsidRPr="00BD04E4">
        <w:trPr>
          <w:jc w:val="center"/>
        </w:trPr>
        <w:tc>
          <w:tcPr>
            <w:tcW w:w="3528" w:type="dxa"/>
          </w:tcPr>
          <w:p w:rsidR="00903D89" w:rsidRPr="003D161B" w:rsidRDefault="00903D89">
            <w:pPr>
              <w:rPr>
                <w:sz w:val="20"/>
                <w:szCs w:val="20"/>
              </w:rPr>
            </w:pPr>
            <w:r w:rsidRPr="003D161B">
              <w:rPr>
                <w:sz w:val="20"/>
                <w:szCs w:val="20"/>
              </w:rPr>
              <w:t>Analyst Owner Dummy (OWN)</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0.0009</w:t>
            </w:r>
          </w:p>
        </w:tc>
        <w:tc>
          <w:tcPr>
            <w:tcW w:w="236" w:type="dxa"/>
          </w:tcPr>
          <w:p w:rsidR="00903D89" w:rsidRPr="003D161B" w:rsidRDefault="00903D89">
            <w:pPr>
              <w:rPr>
                <w:sz w:val="20"/>
                <w:szCs w:val="20"/>
              </w:rPr>
            </w:pPr>
          </w:p>
        </w:tc>
        <w:tc>
          <w:tcPr>
            <w:tcW w:w="2104" w:type="dxa"/>
          </w:tcPr>
          <w:p w:rsidR="00903D89" w:rsidRPr="003D161B" w:rsidRDefault="00903D89">
            <w:pPr>
              <w:jc w:val="right"/>
              <w:rPr>
                <w:sz w:val="20"/>
                <w:szCs w:val="20"/>
              </w:rPr>
            </w:pPr>
            <w:r w:rsidRPr="003D161B">
              <w:rPr>
                <w:sz w:val="20"/>
                <w:szCs w:val="20"/>
              </w:rPr>
              <w:t>0.77</w:t>
            </w:r>
          </w:p>
        </w:tc>
      </w:tr>
      <w:tr w:rsidR="00903D89" w:rsidRPr="00BD04E4">
        <w:trPr>
          <w:jc w:val="center"/>
        </w:trPr>
        <w:tc>
          <w:tcPr>
            <w:tcW w:w="3528" w:type="dxa"/>
          </w:tcPr>
          <w:p w:rsidR="00903D89" w:rsidRPr="003D161B" w:rsidRDefault="0083713B">
            <w:pPr>
              <w:rPr>
                <w:sz w:val="20"/>
                <w:szCs w:val="20"/>
              </w:rPr>
            </w:pPr>
            <w:r>
              <w:rPr>
                <w:sz w:val="20"/>
                <w:szCs w:val="20"/>
              </w:rPr>
              <w:t xml:space="preserve">Forecast Age </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-0.0000</w:t>
            </w:r>
          </w:p>
        </w:tc>
        <w:tc>
          <w:tcPr>
            <w:tcW w:w="236" w:type="dxa"/>
          </w:tcPr>
          <w:p w:rsidR="00903D89" w:rsidRPr="003D161B" w:rsidRDefault="00DB381E">
            <w:pPr>
              <w:rPr>
                <w:sz w:val="20"/>
                <w:szCs w:val="20"/>
              </w:rPr>
            </w:pPr>
            <w:r>
              <w:rPr>
                <w:sz w:val="20"/>
                <w:szCs w:val="20"/>
              </w:rPr>
              <w:t>*</w:t>
            </w:r>
          </w:p>
        </w:tc>
        <w:tc>
          <w:tcPr>
            <w:tcW w:w="2104" w:type="dxa"/>
          </w:tcPr>
          <w:p w:rsidR="00903D89" w:rsidRPr="003D161B" w:rsidRDefault="00903D89">
            <w:pPr>
              <w:jc w:val="right"/>
              <w:rPr>
                <w:sz w:val="20"/>
                <w:szCs w:val="20"/>
              </w:rPr>
            </w:pPr>
            <w:r w:rsidRPr="003D161B">
              <w:rPr>
                <w:sz w:val="20"/>
                <w:szCs w:val="20"/>
              </w:rPr>
              <w:t>-6.97</w:t>
            </w:r>
          </w:p>
        </w:tc>
      </w:tr>
      <w:tr w:rsidR="00903D89" w:rsidRPr="00BD04E4">
        <w:trPr>
          <w:jc w:val="center"/>
        </w:trPr>
        <w:tc>
          <w:tcPr>
            <w:tcW w:w="3528" w:type="dxa"/>
          </w:tcPr>
          <w:p w:rsidR="00903D89" w:rsidRPr="003D161B" w:rsidRDefault="003D161B">
            <w:pPr>
              <w:rPr>
                <w:sz w:val="20"/>
                <w:szCs w:val="20"/>
              </w:rPr>
            </w:pPr>
            <w:r w:rsidRPr="003D161B">
              <w:rPr>
                <w:sz w:val="20"/>
                <w:szCs w:val="20"/>
              </w:rPr>
              <w:t xml:space="preserve">IPO </w:t>
            </w:r>
            <w:r w:rsidR="00903D89" w:rsidRPr="003D161B">
              <w:rPr>
                <w:sz w:val="20"/>
                <w:szCs w:val="20"/>
              </w:rPr>
              <w:t>Underwriter</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0.0012</w:t>
            </w:r>
          </w:p>
        </w:tc>
        <w:tc>
          <w:tcPr>
            <w:tcW w:w="236" w:type="dxa"/>
          </w:tcPr>
          <w:p w:rsidR="00903D89" w:rsidRPr="003D161B" w:rsidRDefault="00903D89">
            <w:pPr>
              <w:rPr>
                <w:sz w:val="20"/>
                <w:szCs w:val="20"/>
              </w:rPr>
            </w:pPr>
          </w:p>
        </w:tc>
        <w:tc>
          <w:tcPr>
            <w:tcW w:w="2104" w:type="dxa"/>
          </w:tcPr>
          <w:p w:rsidR="00903D89" w:rsidRPr="003D161B" w:rsidRDefault="00903D89">
            <w:pPr>
              <w:jc w:val="right"/>
              <w:rPr>
                <w:sz w:val="20"/>
                <w:szCs w:val="20"/>
              </w:rPr>
            </w:pPr>
            <w:r w:rsidRPr="003D161B">
              <w:rPr>
                <w:sz w:val="20"/>
                <w:szCs w:val="20"/>
              </w:rPr>
              <w:t>1.32</w:t>
            </w:r>
          </w:p>
        </w:tc>
      </w:tr>
      <w:tr w:rsidR="00903D89" w:rsidRPr="00BD04E4">
        <w:trPr>
          <w:jc w:val="center"/>
        </w:trPr>
        <w:tc>
          <w:tcPr>
            <w:tcW w:w="3528" w:type="dxa"/>
          </w:tcPr>
          <w:p w:rsidR="00903D89" w:rsidRPr="003D161B" w:rsidRDefault="003D161B">
            <w:pPr>
              <w:rPr>
                <w:sz w:val="20"/>
                <w:szCs w:val="20"/>
              </w:rPr>
            </w:pPr>
            <w:r w:rsidRPr="003D161B">
              <w:rPr>
                <w:sz w:val="20"/>
                <w:szCs w:val="20"/>
              </w:rPr>
              <w:t xml:space="preserve">IPO </w:t>
            </w:r>
            <w:r w:rsidR="00903D89" w:rsidRPr="003D161B">
              <w:rPr>
                <w:sz w:val="20"/>
                <w:szCs w:val="20"/>
              </w:rPr>
              <w:t>Co-manager</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0.0014</w:t>
            </w:r>
          </w:p>
        </w:tc>
        <w:tc>
          <w:tcPr>
            <w:tcW w:w="236" w:type="dxa"/>
          </w:tcPr>
          <w:p w:rsidR="00903D89" w:rsidRPr="003D161B" w:rsidRDefault="00903D89">
            <w:pPr>
              <w:rPr>
                <w:sz w:val="20"/>
                <w:szCs w:val="20"/>
              </w:rPr>
            </w:pPr>
          </w:p>
        </w:tc>
        <w:tc>
          <w:tcPr>
            <w:tcW w:w="2104" w:type="dxa"/>
          </w:tcPr>
          <w:p w:rsidR="00903D89" w:rsidRPr="003D161B" w:rsidRDefault="00903D89">
            <w:pPr>
              <w:jc w:val="right"/>
              <w:rPr>
                <w:sz w:val="20"/>
                <w:szCs w:val="20"/>
              </w:rPr>
            </w:pPr>
            <w:r w:rsidRPr="003D161B">
              <w:rPr>
                <w:sz w:val="20"/>
                <w:szCs w:val="20"/>
              </w:rPr>
              <w:t>1.93</w:t>
            </w:r>
          </w:p>
        </w:tc>
      </w:tr>
      <w:tr w:rsidR="00903D89" w:rsidRPr="00BD04E4">
        <w:trPr>
          <w:jc w:val="center"/>
        </w:trPr>
        <w:tc>
          <w:tcPr>
            <w:tcW w:w="3528" w:type="dxa"/>
          </w:tcPr>
          <w:p w:rsidR="00903D89" w:rsidRPr="003D161B" w:rsidRDefault="00903D89">
            <w:pPr>
              <w:rPr>
                <w:sz w:val="20"/>
                <w:szCs w:val="20"/>
              </w:rPr>
            </w:pPr>
            <w:r w:rsidRPr="003D161B">
              <w:rPr>
                <w:sz w:val="20"/>
                <w:szCs w:val="20"/>
              </w:rPr>
              <w:t>Loss</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-0.0045</w:t>
            </w:r>
          </w:p>
        </w:tc>
        <w:tc>
          <w:tcPr>
            <w:tcW w:w="236" w:type="dxa"/>
          </w:tcPr>
          <w:p w:rsidR="00903D89" w:rsidRPr="003D161B" w:rsidRDefault="00DB381E">
            <w:pPr>
              <w:rPr>
                <w:sz w:val="20"/>
                <w:szCs w:val="20"/>
              </w:rPr>
            </w:pPr>
            <w:r>
              <w:rPr>
                <w:sz w:val="20"/>
                <w:szCs w:val="20"/>
              </w:rPr>
              <w:t>*</w:t>
            </w:r>
          </w:p>
        </w:tc>
        <w:tc>
          <w:tcPr>
            <w:tcW w:w="2104" w:type="dxa"/>
          </w:tcPr>
          <w:p w:rsidR="00903D89" w:rsidRPr="003D161B" w:rsidRDefault="00903D89">
            <w:pPr>
              <w:jc w:val="right"/>
              <w:rPr>
                <w:sz w:val="20"/>
                <w:szCs w:val="20"/>
              </w:rPr>
            </w:pPr>
            <w:r w:rsidRPr="003D161B">
              <w:rPr>
                <w:sz w:val="20"/>
                <w:szCs w:val="20"/>
              </w:rPr>
              <w:t>-8.04</w:t>
            </w:r>
          </w:p>
        </w:tc>
      </w:tr>
      <w:tr w:rsidR="00903D89" w:rsidRPr="00BD04E4">
        <w:trPr>
          <w:jc w:val="center"/>
        </w:trPr>
        <w:tc>
          <w:tcPr>
            <w:tcW w:w="3528" w:type="dxa"/>
          </w:tcPr>
          <w:p w:rsidR="00903D89" w:rsidRPr="003D161B" w:rsidRDefault="00903D89">
            <w:pPr>
              <w:rPr>
                <w:sz w:val="20"/>
                <w:szCs w:val="20"/>
              </w:rPr>
            </w:pPr>
            <w:r w:rsidRPr="003D161B">
              <w:rPr>
                <w:sz w:val="20"/>
                <w:szCs w:val="20"/>
              </w:rPr>
              <w:t>Analyst Following (Follow)</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0.0000</w:t>
            </w:r>
          </w:p>
        </w:tc>
        <w:tc>
          <w:tcPr>
            <w:tcW w:w="236" w:type="dxa"/>
          </w:tcPr>
          <w:p w:rsidR="00903D89" w:rsidRPr="003D161B" w:rsidRDefault="00903D89">
            <w:pPr>
              <w:rPr>
                <w:sz w:val="20"/>
                <w:szCs w:val="20"/>
              </w:rPr>
            </w:pPr>
          </w:p>
        </w:tc>
        <w:tc>
          <w:tcPr>
            <w:tcW w:w="2104" w:type="dxa"/>
          </w:tcPr>
          <w:p w:rsidR="00903D89" w:rsidRPr="003D161B" w:rsidRDefault="00903D89">
            <w:pPr>
              <w:jc w:val="right"/>
              <w:rPr>
                <w:sz w:val="20"/>
                <w:szCs w:val="20"/>
              </w:rPr>
            </w:pPr>
            <w:r w:rsidRPr="003D161B">
              <w:rPr>
                <w:sz w:val="20"/>
                <w:szCs w:val="20"/>
              </w:rPr>
              <w:t>0.05</w:t>
            </w:r>
          </w:p>
        </w:tc>
      </w:tr>
      <w:tr w:rsidR="00903D89" w:rsidRPr="00BD04E4">
        <w:trPr>
          <w:jc w:val="center"/>
        </w:trPr>
        <w:tc>
          <w:tcPr>
            <w:tcW w:w="3528" w:type="dxa"/>
          </w:tcPr>
          <w:p w:rsidR="00903D89" w:rsidRPr="003D161B" w:rsidRDefault="00903D89">
            <w:pPr>
              <w:rPr>
                <w:sz w:val="20"/>
                <w:szCs w:val="20"/>
              </w:rPr>
            </w:pPr>
            <w:r w:rsidRPr="003D161B">
              <w:rPr>
                <w:sz w:val="20"/>
                <w:szCs w:val="20"/>
              </w:rPr>
              <w:t xml:space="preserve">Broker </w:t>
            </w:r>
            <w:proofErr w:type="spellStart"/>
            <w:r w:rsidRPr="003D161B">
              <w:rPr>
                <w:sz w:val="20"/>
                <w:szCs w:val="20"/>
              </w:rPr>
              <w:t>Decile</w:t>
            </w:r>
            <w:proofErr w:type="spellEnd"/>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0.0004</w:t>
            </w:r>
          </w:p>
        </w:tc>
        <w:tc>
          <w:tcPr>
            <w:tcW w:w="236" w:type="dxa"/>
          </w:tcPr>
          <w:p w:rsidR="00903D89" w:rsidRPr="003D161B" w:rsidRDefault="00903D89">
            <w:pPr>
              <w:rPr>
                <w:sz w:val="20"/>
                <w:szCs w:val="20"/>
              </w:rPr>
            </w:pPr>
          </w:p>
        </w:tc>
        <w:tc>
          <w:tcPr>
            <w:tcW w:w="2104" w:type="dxa"/>
          </w:tcPr>
          <w:p w:rsidR="00903D89" w:rsidRPr="003D161B" w:rsidRDefault="00903D89">
            <w:pPr>
              <w:jc w:val="right"/>
              <w:rPr>
                <w:sz w:val="20"/>
                <w:szCs w:val="20"/>
              </w:rPr>
            </w:pPr>
            <w:r w:rsidRPr="003D161B">
              <w:rPr>
                <w:sz w:val="20"/>
                <w:szCs w:val="20"/>
              </w:rPr>
              <w:t>1.80</w:t>
            </w:r>
          </w:p>
        </w:tc>
      </w:tr>
      <w:tr w:rsidR="00903D89" w:rsidRPr="00BD04E4">
        <w:trPr>
          <w:jc w:val="center"/>
        </w:trPr>
        <w:tc>
          <w:tcPr>
            <w:tcW w:w="3528" w:type="dxa"/>
          </w:tcPr>
          <w:p w:rsidR="00903D89" w:rsidRPr="003D161B" w:rsidRDefault="00903D89">
            <w:pPr>
              <w:rPr>
                <w:sz w:val="20"/>
                <w:szCs w:val="20"/>
              </w:rPr>
            </w:pPr>
            <w:r w:rsidRPr="003D161B">
              <w:rPr>
                <w:sz w:val="20"/>
                <w:szCs w:val="20"/>
              </w:rPr>
              <w:t>Experience</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0.0001</w:t>
            </w:r>
          </w:p>
        </w:tc>
        <w:tc>
          <w:tcPr>
            <w:tcW w:w="236" w:type="dxa"/>
          </w:tcPr>
          <w:p w:rsidR="00903D89" w:rsidRPr="003D161B" w:rsidRDefault="00903D89">
            <w:pPr>
              <w:rPr>
                <w:sz w:val="20"/>
                <w:szCs w:val="20"/>
              </w:rPr>
            </w:pPr>
          </w:p>
        </w:tc>
        <w:tc>
          <w:tcPr>
            <w:tcW w:w="2104" w:type="dxa"/>
          </w:tcPr>
          <w:p w:rsidR="00903D89" w:rsidRPr="003D161B" w:rsidRDefault="00903D89">
            <w:pPr>
              <w:jc w:val="right"/>
              <w:rPr>
                <w:sz w:val="20"/>
                <w:szCs w:val="20"/>
              </w:rPr>
            </w:pPr>
            <w:r w:rsidRPr="003D161B">
              <w:rPr>
                <w:sz w:val="20"/>
                <w:szCs w:val="20"/>
              </w:rPr>
              <w:t>0.97</w:t>
            </w:r>
          </w:p>
        </w:tc>
      </w:tr>
      <w:tr w:rsidR="00903D89" w:rsidRPr="00BD04E4">
        <w:trPr>
          <w:jc w:val="center"/>
        </w:trPr>
        <w:tc>
          <w:tcPr>
            <w:tcW w:w="3528" w:type="dxa"/>
          </w:tcPr>
          <w:p w:rsidR="00903D89" w:rsidRPr="003D161B" w:rsidRDefault="00903D89">
            <w:pPr>
              <w:rPr>
                <w:sz w:val="20"/>
                <w:szCs w:val="20"/>
              </w:rPr>
            </w:pPr>
            <w:r w:rsidRPr="003D161B">
              <w:rPr>
                <w:sz w:val="20"/>
                <w:szCs w:val="20"/>
              </w:rPr>
              <w:t>Complexity</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-0.0001</w:t>
            </w:r>
          </w:p>
        </w:tc>
        <w:tc>
          <w:tcPr>
            <w:tcW w:w="236" w:type="dxa"/>
          </w:tcPr>
          <w:p w:rsidR="00903D89" w:rsidRPr="003D161B" w:rsidRDefault="00DB381E">
            <w:pPr>
              <w:rPr>
                <w:sz w:val="20"/>
                <w:szCs w:val="20"/>
              </w:rPr>
            </w:pPr>
            <w:r>
              <w:rPr>
                <w:sz w:val="20"/>
                <w:szCs w:val="20"/>
              </w:rPr>
              <w:t>*</w:t>
            </w:r>
          </w:p>
        </w:tc>
        <w:tc>
          <w:tcPr>
            <w:tcW w:w="2104" w:type="dxa"/>
          </w:tcPr>
          <w:p w:rsidR="00903D89" w:rsidRPr="003D161B" w:rsidRDefault="00903D89">
            <w:pPr>
              <w:jc w:val="right"/>
              <w:rPr>
                <w:sz w:val="20"/>
                <w:szCs w:val="20"/>
              </w:rPr>
            </w:pPr>
            <w:r w:rsidRPr="003D161B">
              <w:rPr>
                <w:sz w:val="20"/>
                <w:szCs w:val="20"/>
              </w:rPr>
              <w:t>-3.24</w:t>
            </w:r>
          </w:p>
        </w:tc>
      </w:tr>
      <w:tr w:rsidR="00903D89" w:rsidRPr="00BD04E4">
        <w:trPr>
          <w:jc w:val="center"/>
        </w:trPr>
        <w:tc>
          <w:tcPr>
            <w:tcW w:w="3528" w:type="dxa"/>
          </w:tcPr>
          <w:p w:rsidR="00903D89" w:rsidRPr="003D161B" w:rsidRDefault="00903D89">
            <w:pPr>
              <w:rPr>
                <w:sz w:val="20"/>
                <w:szCs w:val="20"/>
              </w:rPr>
            </w:pPr>
            <w:r w:rsidRPr="003D161B">
              <w:rPr>
                <w:sz w:val="20"/>
                <w:szCs w:val="20"/>
              </w:rPr>
              <w:t>Disclose</w:t>
            </w:r>
            <w:r w:rsidR="00F34D71">
              <w:rPr>
                <w:sz w:val="20"/>
                <w:szCs w:val="20"/>
              </w:rPr>
              <w:t xml:space="preserve"> Ownership</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0.0002</w:t>
            </w:r>
          </w:p>
        </w:tc>
        <w:tc>
          <w:tcPr>
            <w:tcW w:w="236" w:type="dxa"/>
          </w:tcPr>
          <w:p w:rsidR="00903D89" w:rsidRPr="003D161B" w:rsidRDefault="00903D89">
            <w:pPr>
              <w:rPr>
                <w:sz w:val="20"/>
                <w:szCs w:val="20"/>
              </w:rPr>
            </w:pPr>
          </w:p>
        </w:tc>
        <w:tc>
          <w:tcPr>
            <w:tcW w:w="2104" w:type="dxa"/>
          </w:tcPr>
          <w:p w:rsidR="00903D89" w:rsidRPr="003D161B" w:rsidRDefault="00903D89">
            <w:pPr>
              <w:jc w:val="right"/>
              <w:rPr>
                <w:sz w:val="20"/>
                <w:szCs w:val="20"/>
              </w:rPr>
            </w:pPr>
            <w:r w:rsidRPr="003D161B">
              <w:rPr>
                <w:sz w:val="20"/>
                <w:szCs w:val="20"/>
              </w:rPr>
              <w:t>0.06</w:t>
            </w:r>
          </w:p>
        </w:tc>
      </w:tr>
      <w:tr w:rsidR="00903D89" w:rsidRPr="00BD04E4">
        <w:trPr>
          <w:jc w:val="center"/>
        </w:trPr>
        <w:tc>
          <w:tcPr>
            <w:tcW w:w="3528" w:type="dxa"/>
          </w:tcPr>
          <w:p w:rsidR="00903D89" w:rsidRPr="003D161B" w:rsidRDefault="00903D89">
            <w:pPr>
              <w:rPr>
                <w:sz w:val="20"/>
                <w:szCs w:val="20"/>
              </w:rPr>
            </w:pPr>
            <w:r w:rsidRPr="003D161B">
              <w:rPr>
                <w:sz w:val="20"/>
                <w:szCs w:val="20"/>
              </w:rPr>
              <w:t>Post Holding * Own</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-0.0040</w:t>
            </w:r>
          </w:p>
        </w:tc>
        <w:tc>
          <w:tcPr>
            <w:tcW w:w="236" w:type="dxa"/>
          </w:tcPr>
          <w:p w:rsidR="00903D89" w:rsidRPr="003D161B" w:rsidRDefault="00DB381E">
            <w:pPr>
              <w:rPr>
                <w:sz w:val="20"/>
                <w:szCs w:val="20"/>
              </w:rPr>
            </w:pPr>
            <w:r>
              <w:rPr>
                <w:sz w:val="20"/>
                <w:szCs w:val="20"/>
              </w:rPr>
              <w:t>*</w:t>
            </w:r>
          </w:p>
        </w:tc>
        <w:tc>
          <w:tcPr>
            <w:tcW w:w="2104" w:type="dxa"/>
          </w:tcPr>
          <w:p w:rsidR="00903D89" w:rsidRPr="003D161B" w:rsidRDefault="00903D89">
            <w:pPr>
              <w:jc w:val="right"/>
              <w:rPr>
                <w:sz w:val="20"/>
                <w:szCs w:val="20"/>
              </w:rPr>
            </w:pPr>
            <w:r w:rsidRPr="003D161B">
              <w:rPr>
                <w:sz w:val="20"/>
                <w:szCs w:val="20"/>
              </w:rPr>
              <w:t>-2.18</w:t>
            </w:r>
          </w:p>
        </w:tc>
      </w:tr>
      <w:tr w:rsidR="00903D89" w:rsidRPr="00BD04E4">
        <w:trPr>
          <w:jc w:val="center"/>
        </w:trPr>
        <w:tc>
          <w:tcPr>
            <w:tcW w:w="3528" w:type="dxa"/>
          </w:tcPr>
          <w:p w:rsidR="00903D89" w:rsidRPr="003D161B" w:rsidRDefault="00903D89">
            <w:pPr>
              <w:rPr>
                <w:b/>
                <w:sz w:val="20"/>
                <w:szCs w:val="20"/>
              </w:rPr>
            </w:pPr>
            <w:r w:rsidRPr="003D161B">
              <w:rPr>
                <w:b/>
                <w:sz w:val="20"/>
                <w:szCs w:val="20"/>
              </w:rPr>
              <w:t>Adj. R square = 7.3 %</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p>
        </w:tc>
        <w:tc>
          <w:tcPr>
            <w:tcW w:w="236" w:type="dxa"/>
          </w:tcPr>
          <w:p w:rsidR="00903D89" w:rsidRPr="003D161B" w:rsidRDefault="00903D89">
            <w:pPr>
              <w:rPr>
                <w:sz w:val="20"/>
                <w:szCs w:val="20"/>
              </w:rPr>
            </w:pPr>
          </w:p>
        </w:tc>
        <w:tc>
          <w:tcPr>
            <w:tcW w:w="2104" w:type="dxa"/>
          </w:tcPr>
          <w:p w:rsidR="00903D89" w:rsidRPr="003D161B" w:rsidRDefault="00903D89">
            <w:pPr>
              <w:jc w:val="right"/>
              <w:rPr>
                <w:sz w:val="20"/>
                <w:szCs w:val="20"/>
              </w:rPr>
            </w:pPr>
          </w:p>
        </w:tc>
      </w:tr>
      <w:tr w:rsidR="00903D89" w:rsidRPr="00BD04E4">
        <w:trPr>
          <w:jc w:val="center"/>
        </w:trPr>
        <w:tc>
          <w:tcPr>
            <w:tcW w:w="3528" w:type="dxa"/>
          </w:tcPr>
          <w:p w:rsidR="00903D89" w:rsidRPr="003D161B" w:rsidRDefault="00903D89">
            <w:pPr>
              <w:rPr>
                <w:b/>
                <w:sz w:val="20"/>
                <w:szCs w:val="20"/>
              </w:rPr>
            </w:pPr>
            <w:r w:rsidRPr="003D161B">
              <w:rPr>
                <w:sz w:val="20"/>
                <w:szCs w:val="20"/>
              </w:rPr>
              <w:t>Number of observations</w:t>
            </w:r>
          </w:p>
        </w:tc>
        <w:tc>
          <w:tcPr>
            <w:tcW w:w="302" w:type="dxa"/>
          </w:tcPr>
          <w:p w:rsidR="00903D89" w:rsidRPr="003D161B" w:rsidRDefault="00903D89">
            <w:pPr>
              <w:rPr>
                <w:sz w:val="20"/>
                <w:szCs w:val="20"/>
              </w:rPr>
            </w:pPr>
          </w:p>
        </w:tc>
        <w:tc>
          <w:tcPr>
            <w:tcW w:w="1678" w:type="dxa"/>
          </w:tcPr>
          <w:p w:rsidR="00903D89" w:rsidRPr="003D161B" w:rsidRDefault="00903D89">
            <w:pPr>
              <w:jc w:val="right"/>
              <w:rPr>
                <w:sz w:val="20"/>
                <w:szCs w:val="20"/>
              </w:rPr>
            </w:pPr>
            <w:r w:rsidRPr="003D161B">
              <w:rPr>
                <w:sz w:val="20"/>
                <w:szCs w:val="20"/>
              </w:rPr>
              <w:t>1,771</w:t>
            </w:r>
          </w:p>
        </w:tc>
        <w:tc>
          <w:tcPr>
            <w:tcW w:w="236" w:type="dxa"/>
          </w:tcPr>
          <w:p w:rsidR="00903D89" w:rsidRPr="003D161B" w:rsidRDefault="00903D89">
            <w:pPr>
              <w:rPr>
                <w:sz w:val="20"/>
                <w:szCs w:val="20"/>
              </w:rPr>
            </w:pPr>
          </w:p>
        </w:tc>
        <w:tc>
          <w:tcPr>
            <w:tcW w:w="2104" w:type="dxa"/>
          </w:tcPr>
          <w:p w:rsidR="00903D89" w:rsidRPr="003D161B" w:rsidRDefault="00903D89">
            <w:pPr>
              <w:jc w:val="right"/>
              <w:rPr>
                <w:sz w:val="20"/>
                <w:szCs w:val="20"/>
              </w:rPr>
            </w:pPr>
          </w:p>
        </w:tc>
      </w:tr>
    </w:tbl>
    <w:p w:rsidR="00903D89" w:rsidRPr="00BD04E4" w:rsidRDefault="00903D89">
      <w:pPr>
        <w:rPr>
          <w:rFonts w:ascii="Arial" w:hAnsi="Arial"/>
        </w:rPr>
      </w:pPr>
    </w:p>
    <w:p w:rsidR="00903D89" w:rsidRPr="00BD04E4" w:rsidRDefault="00903D89">
      <w:r w:rsidRPr="00BD04E4">
        <w:tab/>
      </w:r>
    </w:p>
    <w:p w:rsidR="0046012F" w:rsidRPr="00BD04E4" w:rsidRDefault="0046012F" w:rsidP="0046012F">
      <w:pPr>
        <w:rPr>
          <w:b/>
        </w:rPr>
      </w:pPr>
      <w:r>
        <w:br w:type="page"/>
      </w:r>
      <w:r w:rsidRPr="00BD04E4">
        <w:rPr>
          <w:b/>
        </w:rPr>
        <w:lastRenderedPageBreak/>
        <w:t xml:space="preserve">Table </w:t>
      </w:r>
      <w:r w:rsidR="00E817C9">
        <w:rPr>
          <w:b/>
        </w:rPr>
        <w:t>6</w:t>
      </w:r>
    </w:p>
    <w:p w:rsidR="0046012F" w:rsidRDefault="0046012F" w:rsidP="0046012F">
      <w:pPr>
        <w:rPr>
          <w:b/>
        </w:rPr>
      </w:pPr>
      <w:r w:rsidRPr="00BD04E4">
        <w:rPr>
          <w:b/>
        </w:rPr>
        <w:t>Differences-in-Differences – Form 144 Sample</w:t>
      </w:r>
    </w:p>
    <w:p w:rsidR="0046012F" w:rsidRPr="00BD04E4" w:rsidRDefault="0046012F" w:rsidP="0046012F">
      <w:pPr>
        <w:rPr>
          <w:b/>
        </w:rPr>
      </w:pPr>
    </w:p>
    <w:p w:rsidR="0046012F" w:rsidRPr="00DB381E" w:rsidRDefault="009E7167" w:rsidP="00DB381E">
      <w:pPr>
        <w:pStyle w:val="BodyTextIndent"/>
        <w:spacing w:line="240" w:lineRule="auto"/>
        <w:ind w:firstLine="0"/>
        <w:rPr>
          <w:sz w:val="20"/>
          <w:szCs w:val="20"/>
        </w:rPr>
      </w:pPr>
      <w:r>
        <w:rPr>
          <w:sz w:val="20"/>
          <w:szCs w:val="20"/>
        </w:rPr>
        <w:t>This test compares owning-</w:t>
      </w:r>
      <w:r w:rsidR="0046012F" w:rsidRPr="00DB381E">
        <w:rPr>
          <w:sz w:val="20"/>
          <w:szCs w:val="20"/>
        </w:rPr>
        <w:t xml:space="preserve">analyst forecast bias after the sale of their stock to the level of bias prior to the sale, where both forecasts are for the same fiscal quarter. </w:t>
      </w:r>
      <w:r w:rsidR="007C4AC0" w:rsidRPr="00DB381E">
        <w:rPr>
          <w:sz w:val="20"/>
          <w:szCs w:val="20"/>
        </w:rPr>
        <w:t xml:space="preserve"> An owning analyst is a sell-side analyst that provides research coverage on a company and files a Form 144 with the SEC upon the sale of their restricted stock in that same company.</w:t>
      </w:r>
      <w:r w:rsidR="0046012F" w:rsidRPr="00DB381E">
        <w:rPr>
          <w:sz w:val="20"/>
          <w:szCs w:val="20"/>
        </w:rPr>
        <w:t xml:space="preserve">  </w:t>
      </w:r>
      <w:r w:rsidR="0046012F" w:rsidRPr="00DB381E">
        <w:rPr>
          <w:b/>
          <w:sz w:val="20"/>
          <w:szCs w:val="20"/>
        </w:rPr>
        <w:sym w:font="Symbol" w:char="F044"/>
      </w:r>
      <w:r w:rsidR="0046012F" w:rsidRPr="00DB381E">
        <w:rPr>
          <w:b/>
          <w:sz w:val="20"/>
          <w:szCs w:val="20"/>
        </w:rPr>
        <w:t xml:space="preserve">FE </w:t>
      </w:r>
      <w:r w:rsidR="0046012F" w:rsidRPr="00DB381E">
        <w:rPr>
          <w:sz w:val="20"/>
          <w:szCs w:val="20"/>
        </w:rPr>
        <w:t xml:space="preserve">is the difference between the forecast </w:t>
      </w:r>
      <w:proofErr w:type="gramStart"/>
      <w:r w:rsidR="0046012F" w:rsidRPr="00DB381E">
        <w:rPr>
          <w:sz w:val="20"/>
          <w:szCs w:val="20"/>
        </w:rPr>
        <w:t>error</w:t>
      </w:r>
      <w:proofErr w:type="gramEnd"/>
      <w:r w:rsidR="0046012F" w:rsidRPr="00DB381E">
        <w:rPr>
          <w:sz w:val="20"/>
          <w:szCs w:val="20"/>
        </w:rPr>
        <w:t xml:space="preserve"> (FE) from the earnings forecast issued after the sale of restricted stock and the FE of the forecast issued prior to the sale of the stock.  (</w:t>
      </w:r>
      <w:r w:rsidR="0046012F" w:rsidRPr="00DB381E">
        <w:rPr>
          <w:b/>
          <w:sz w:val="20"/>
          <w:szCs w:val="20"/>
        </w:rPr>
        <w:t xml:space="preserve">FE </w:t>
      </w:r>
      <w:r w:rsidR="0046012F" w:rsidRPr="00DB381E">
        <w:rPr>
          <w:sz w:val="20"/>
          <w:szCs w:val="20"/>
        </w:rPr>
        <w:t xml:space="preserve">is actual earnings for the quarter less the analyst’s earnings forecast all </w:t>
      </w:r>
      <w:r w:rsidR="0083713B" w:rsidRPr="00DB381E">
        <w:rPr>
          <w:sz w:val="20"/>
          <w:szCs w:val="20"/>
        </w:rPr>
        <w:t>deflated by lagged stock</w:t>
      </w:r>
      <w:r w:rsidR="0046012F" w:rsidRPr="00DB381E">
        <w:rPr>
          <w:sz w:val="20"/>
          <w:szCs w:val="20"/>
        </w:rPr>
        <w:t xml:space="preserve"> price.)  </w:t>
      </w:r>
      <w:r w:rsidR="0046012F" w:rsidRPr="00DB381E">
        <w:rPr>
          <w:b/>
          <w:sz w:val="20"/>
          <w:szCs w:val="20"/>
        </w:rPr>
        <w:t>Own</w:t>
      </w:r>
      <w:r w:rsidR="0046012F" w:rsidRPr="00DB381E">
        <w:rPr>
          <w:sz w:val="20"/>
          <w:szCs w:val="20"/>
        </w:rPr>
        <w:t xml:space="preserve"> is a dummy variable indicating whether the analyst owns (or owned) the stock on which she issues a report.  </w:t>
      </w:r>
      <w:r w:rsidR="0046012F" w:rsidRPr="00DB381E">
        <w:rPr>
          <w:b/>
          <w:sz w:val="20"/>
          <w:szCs w:val="20"/>
        </w:rPr>
        <w:t xml:space="preserve">Change Forecast Age </w:t>
      </w:r>
      <w:r w:rsidR="0046012F" w:rsidRPr="00DB381E">
        <w:rPr>
          <w:sz w:val="20"/>
          <w:szCs w:val="20"/>
        </w:rPr>
        <w:t>is the number of days between the post sale forecast and the pre-sale forecast.</w:t>
      </w:r>
      <w:r w:rsidR="0046012F" w:rsidRPr="00DB381E">
        <w:rPr>
          <w:b/>
          <w:sz w:val="20"/>
          <w:szCs w:val="20"/>
        </w:rPr>
        <w:t xml:space="preserve">  Loss </w:t>
      </w:r>
      <w:r w:rsidR="0046012F" w:rsidRPr="00DB381E">
        <w:rPr>
          <w:sz w:val="20"/>
          <w:szCs w:val="20"/>
        </w:rPr>
        <w:t>is a dummy variable indicating whether the current quarter’s income is a loss or not.</w:t>
      </w:r>
      <w:r w:rsidR="0046012F" w:rsidRPr="00DB381E">
        <w:rPr>
          <w:b/>
          <w:sz w:val="20"/>
          <w:szCs w:val="20"/>
        </w:rPr>
        <w:t xml:space="preserve">  </w:t>
      </w:r>
      <w:r w:rsidR="00EA0836" w:rsidRPr="00DB381E">
        <w:rPr>
          <w:b/>
          <w:sz w:val="20"/>
          <w:szCs w:val="20"/>
        </w:rPr>
        <w:t xml:space="preserve">Broker </w:t>
      </w:r>
      <w:proofErr w:type="spellStart"/>
      <w:r w:rsidR="00EA0836" w:rsidRPr="00DB381E">
        <w:rPr>
          <w:b/>
          <w:sz w:val="20"/>
          <w:szCs w:val="20"/>
        </w:rPr>
        <w:t>Decile</w:t>
      </w:r>
      <w:proofErr w:type="spellEnd"/>
      <w:r w:rsidR="00EA0836" w:rsidRPr="00DB381E">
        <w:rPr>
          <w:b/>
          <w:sz w:val="20"/>
          <w:szCs w:val="20"/>
        </w:rPr>
        <w:t xml:space="preserve"> </w:t>
      </w:r>
      <w:r w:rsidR="00EA0836" w:rsidRPr="00DB381E">
        <w:rPr>
          <w:sz w:val="20"/>
          <w:szCs w:val="20"/>
        </w:rPr>
        <w:t xml:space="preserve">is a </w:t>
      </w:r>
      <w:proofErr w:type="spellStart"/>
      <w:r w:rsidR="00EA0836" w:rsidRPr="00DB381E">
        <w:rPr>
          <w:sz w:val="20"/>
          <w:szCs w:val="20"/>
        </w:rPr>
        <w:t>decile</w:t>
      </w:r>
      <w:proofErr w:type="spellEnd"/>
      <w:r w:rsidR="00EA0836" w:rsidRPr="00DB381E">
        <w:rPr>
          <w:sz w:val="20"/>
          <w:szCs w:val="20"/>
        </w:rPr>
        <w:t xml:space="preserve"> size ranking of</w:t>
      </w:r>
      <w:r w:rsidR="00EA0836" w:rsidRPr="00DB381E">
        <w:rPr>
          <w:b/>
          <w:sz w:val="20"/>
          <w:szCs w:val="20"/>
        </w:rPr>
        <w:t xml:space="preserve"> </w:t>
      </w:r>
      <w:r w:rsidR="00EA0836" w:rsidRPr="00DB381E">
        <w:rPr>
          <w:sz w:val="20"/>
          <w:szCs w:val="20"/>
        </w:rPr>
        <w:t>the analyst’s</w:t>
      </w:r>
      <w:r w:rsidR="00EA0836" w:rsidRPr="00DB381E">
        <w:rPr>
          <w:b/>
          <w:sz w:val="20"/>
          <w:szCs w:val="20"/>
        </w:rPr>
        <w:t xml:space="preserve"> </w:t>
      </w:r>
      <w:r w:rsidR="00EA0836" w:rsidRPr="00DB381E">
        <w:rPr>
          <w:sz w:val="20"/>
          <w:szCs w:val="20"/>
        </w:rPr>
        <w:t xml:space="preserve">brokerage firm, computed annually, </w:t>
      </w:r>
      <w:r w:rsidR="00563454" w:rsidRPr="00DB381E">
        <w:rPr>
          <w:sz w:val="20"/>
          <w:szCs w:val="20"/>
        </w:rPr>
        <w:t>and based</w:t>
      </w:r>
      <w:r w:rsidR="00EA0836" w:rsidRPr="00DB381E">
        <w:rPr>
          <w:sz w:val="20"/>
          <w:szCs w:val="20"/>
        </w:rPr>
        <w:t xml:space="preserve"> on the number of analysts at each brokerage firm as reported by IBES.  </w:t>
      </w:r>
      <w:r w:rsidR="00C32349" w:rsidRPr="00DB381E">
        <w:rPr>
          <w:b/>
          <w:sz w:val="20"/>
          <w:szCs w:val="20"/>
        </w:rPr>
        <w:t>Experience</w:t>
      </w:r>
      <w:r w:rsidR="00C32349" w:rsidRPr="00DB381E">
        <w:rPr>
          <w:sz w:val="20"/>
          <w:szCs w:val="20"/>
        </w:rPr>
        <w:t xml:space="preserve"> is a measure of analyst tenure as a sell-side analyst, as of the current year (years in the IBES database is the proxy).  </w:t>
      </w:r>
      <w:r w:rsidR="0046012F" w:rsidRPr="00DB381E">
        <w:rPr>
          <w:b/>
          <w:sz w:val="20"/>
          <w:szCs w:val="20"/>
        </w:rPr>
        <w:t xml:space="preserve">Complexity </w:t>
      </w:r>
      <w:r w:rsidR="0046012F" w:rsidRPr="00DB381E">
        <w:rPr>
          <w:sz w:val="20"/>
          <w:szCs w:val="20"/>
        </w:rPr>
        <w:t>is the number of companies the analyst</w:t>
      </w:r>
      <w:r w:rsidR="00C32349" w:rsidRPr="00DB381E">
        <w:rPr>
          <w:sz w:val="20"/>
          <w:szCs w:val="20"/>
        </w:rPr>
        <w:t xml:space="preserve"> covers</w:t>
      </w:r>
      <w:r w:rsidR="0046012F" w:rsidRPr="00DB381E">
        <w:rPr>
          <w:sz w:val="20"/>
          <w:szCs w:val="20"/>
        </w:rPr>
        <w:t xml:space="preserve"> during the year.  Superscript b denotes statistical significance between owner sample and control sample at the 1% level.</w:t>
      </w:r>
      <w:r w:rsidR="00DB381E" w:rsidRPr="00DB381E">
        <w:rPr>
          <w:sz w:val="20"/>
          <w:szCs w:val="20"/>
        </w:rPr>
        <w:t xml:space="preserve">  * Statistically significant at the 5% level or better.</w:t>
      </w:r>
    </w:p>
    <w:p w:rsidR="0046012F" w:rsidRDefault="0046012F" w:rsidP="0046012F">
      <w:pPr>
        <w:rPr>
          <w:b/>
        </w:rPr>
      </w:pPr>
    </w:p>
    <w:p w:rsidR="0046012F" w:rsidRPr="00316ED4" w:rsidRDefault="0046012F" w:rsidP="0046012F">
      <w:pPr>
        <w:rPr>
          <w:b/>
          <w:i/>
          <w:sz w:val="20"/>
          <w:szCs w:val="20"/>
        </w:rPr>
      </w:pPr>
      <w:r w:rsidRPr="00316ED4">
        <w:rPr>
          <w:b/>
          <w:sz w:val="20"/>
          <w:szCs w:val="20"/>
        </w:rPr>
        <w:t xml:space="preserve">PANEL A: </w:t>
      </w:r>
      <w:proofErr w:type="spellStart"/>
      <w:r w:rsidRPr="00316ED4">
        <w:rPr>
          <w:b/>
          <w:sz w:val="20"/>
          <w:szCs w:val="20"/>
        </w:rPr>
        <w:t>Univariate</w:t>
      </w:r>
      <w:proofErr w:type="spellEnd"/>
      <w:r w:rsidRPr="00316ED4">
        <w:rPr>
          <w:b/>
          <w:sz w:val="20"/>
          <w:szCs w:val="20"/>
        </w:rPr>
        <w:t xml:space="preserve"> Results</w:t>
      </w:r>
    </w:p>
    <w:p w:rsidR="0046012F" w:rsidRPr="00BD04E4" w:rsidRDefault="0046012F" w:rsidP="0046012F">
      <w:pPr>
        <w:rPr>
          <w:b/>
        </w:rPr>
      </w:pP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0"/>
        <w:gridCol w:w="973"/>
        <w:gridCol w:w="973"/>
        <w:gridCol w:w="1228"/>
        <w:gridCol w:w="1168"/>
      </w:tblGrid>
      <w:tr w:rsidR="0046012F" w:rsidRPr="00BD04E4">
        <w:trPr>
          <w:cantSplit/>
          <w:jc w:val="center"/>
        </w:trPr>
        <w:tc>
          <w:tcPr>
            <w:tcW w:w="4010" w:type="dxa"/>
          </w:tcPr>
          <w:p w:rsidR="0046012F" w:rsidRPr="009C1CC0" w:rsidRDefault="0046012F" w:rsidP="0013746E">
            <w:pPr>
              <w:jc w:val="center"/>
              <w:rPr>
                <w:b/>
                <w:sz w:val="20"/>
                <w:szCs w:val="20"/>
              </w:rPr>
            </w:pPr>
          </w:p>
        </w:tc>
        <w:tc>
          <w:tcPr>
            <w:tcW w:w="1946" w:type="dxa"/>
            <w:gridSpan w:val="2"/>
          </w:tcPr>
          <w:p w:rsidR="0046012F" w:rsidRPr="009C1CC0" w:rsidRDefault="0046012F" w:rsidP="0013746E">
            <w:pPr>
              <w:jc w:val="center"/>
              <w:rPr>
                <w:b/>
                <w:sz w:val="20"/>
                <w:szCs w:val="20"/>
              </w:rPr>
            </w:pPr>
            <w:r w:rsidRPr="009C1CC0">
              <w:rPr>
                <w:b/>
                <w:sz w:val="20"/>
                <w:szCs w:val="20"/>
              </w:rPr>
              <w:t>Owner Sample</w:t>
            </w:r>
          </w:p>
        </w:tc>
        <w:tc>
          <w:tcPr>
            <w:tcW w:w="2396" w:type="dxa"/>
            <w:gridSpan w:val="2"/>
          </w:tcPr>
          <w:p w:rsidR="0046012F" w:rsidRPr="009C1CC0" w:rsidRDefault="0046012F" w:rsidP="0013746E">
            <w:pPr>
              <w:jc w:val="center"/>
              <w:rPr>
                <w:b/>
                <w:sz w:val="20"/>
                <w:szCs w:val="20"/>
              </w:rPr>
            </w:pPr>
            <w:r w:rsidRPr="009C1CC0">
              <w:rPr>
                <w:b/>
                <w:sz w:val="20"/>
                <w:szCs w:val="20"/>
              </w:rPr>
              <w:t>Control Sample</w:t>
            </w:r>
          </w:p>
        </w:tc>
      </w:tr>
      <w:tr w:rsidR="0046012F" w:rsidRPr="00BD04E4">
        <w:trPr>
          <w:jc w:val="center"/>
        </w:trPr>
        <w:tc>
          <w:tcPr>
            <w:tcW w:w="4010" w:type="dxa"/>
          </w:tcPr>
          <w:p w:rsidR="0046012F" w:rsidRPr="009C1CC0" w:rsidRDefault="0046012F" w:rsidP="0013746E">
            <w:pPr>
              <w:rPr>
                <w:sz w:val="20"/>
                <w:szCs w:val="20"/>
              </w:rPr>
            </w:pPr>
          </w:p>
        </w:tc>
        <w:tc>
          <w:tcPr>
            <w:tcW w:w="973" w:type="dxa"/>
          </w:tcPr>
          <w:p w:rsidR="0046012F" w:rsidRPr="009C1CC0" w:rsidRDefault="0046012F" w:rsidP="0013746E">
            <w:pPr>
              <w:jc w:val="center"/>
              <w:rPr>
                <w:b/>
                <w:sz w:val="20"/>
                <w:szCs w:val="20"/>
              </w:rPr>
            </w:pPr>
            <w:r w:rsidRPr="009C1CC0">
              <w:rPr>
                <w:b/>
                <w:sz w:val="20"/>
                <w:szCs w:val="20"/>
              </w:rPr>
              <w:t>Mean</w:t>
            </w:r>
          </w:p>
        </w:tc>
        <w:tc>
          <w:tcPr>
            <w:tcW w:w="973" w:type="dxa"/>
          </w:tcPr>
          <w:p w:rsidR="0046012F" w:rsidRPr="009C1CC0" w:rsidRDefault="0046012F" w:rsidP="0013746E">
            <w:pPr>
              <w:jc w:val="center"/>
              <w:rPr>
                <w:b/>
                <w:sz w:val="20"/>
                <w:szCs w:val="20"/>
              </w:rPr>
            </w:pPr>
            <w:r w:rsidRPr="009C1CC0">
              <w:rPr>
                <w:b/>
                <w:sz w:val="20"/>
                <w:szCs w:val="20"/>
              </w:rPr>
              <w:t>Std. Dev.</w:t>
            </w:r>
          </w:p>
        </w:tc>
        <w:tc>
          <w:tcPr>
            <w:tcW w:w="1228" w:type="dxa"/>
          </w:tcPr>
          <w:p w:rsidR="0046012F" w:rsidRPr="009C1CC0" w:rsidRDefault="0046012F" w:rsidP="0013746E">
            <w:pPr>
              <w:jc w:val="center"/>
              <w:rPr>
                <w:sz w:val="20"/>
                <w:szCs w:val="20"/>
              </w:rPr>
            </w:pPr>
            <w:r w:rsidRPr="009C1CC0">
              <w:rPr>
                <w:b/>
                <w:sz w:val="20"/>
                <w:szCs w:val="20"/>
              </w:rPr>
              <w:t>Mean</w:t>
            </w:r>
          </w:p>
        </w:tc>
        <w:tc>
          <w:tcPr>
            <w:tcW w:w="1168" w:type="dxa"/>
          </w:tcPr>
          <w:p w:rsidR="0046012F" w:rsidRPr="009C1CC0" w:rsidRDefault="0046012F" w:rsidP="0013746E">
            <w:pPr>
              <w:rPr>
                <w:sz w:val="20"/>
                <w:szCs w:val="20"/>
              </w:rPr>
            </w:pPr>
            <w:r w:rsidRPr="009C1CC0">
              <w:rPr>
                <w:b/>
                <w:sz w:val="20"/>
                <w:szCs w:val="20"/>
              </w:rPr>
              <w:t>Std. Dev.</w:t>
            </w:r>
          </w:p>
        </w:tc>
      </w:tr>
      <w:tr w:rsidR="0046012F" w:rsidRPr="00BD04E4">
        <w:trPr>
          <w:jc w:val="center"/>
        </w:trPr>
        <w:tc>
          <w:tcPr>
            <w:tcW w:w="4010" w:type="dxa"/>
          </w:tcPr>
          <w:p w:rsidR="0046012F" w:rsidRPr="009C1CC0" w:rsidRDefault="0046012F" w:rsidP="0013746E">
            <w:pPr>
              <w:rPr>
                <w:sz w:val="20"/>
                <w:szCs w:val="20"/>
              </w:rPr>
            </w:pPr>
            <w:r w:rsidRPr="009C1CC0">
              <w:rPr>
                <w:sz w:val="20"/>
                <w:szCs w:val="20"/>
              </w:rPr>
              <w:t>Change FE</w:t>
            </w:r>
            <w:r>
              <w:rPr>
                <w:sz w:val="20"/>
                <w:szCs w:val="20"/>
              </w:rPr>
              <w:t xml:space="preserve"> (</w:t>
            </w:r>
            <w:r w:rsidRPr="006F008D">
              <w:rPr>
                <w:b/>
                <w:sz w:val="20"/>
                <w:szCs w:val="20"/>
              </w:rPr>
              <w:sym w:font="Symbol" w:char="F044"/>
            </w:r>
            <w:r w:rsidRPr="006F008D">
              <w:rPr>
                <w:b/>
                <w:sz w:val="20"/>
                <w:szCs w:val="20"/>
              </w:rPr>
              <w:t>FE</w:t>
            </w:r>
            <w:r>
              <w:rPr>
                <w:b/>
                <w:sz w:val="20"/>
                <w:szCs w:val="20"/>
              </w:rPr>
              <w:t>)</w:t>
            </w:r>
          </w:p>
        </w:tc>
        <w:tc>
          <w:tcPr>
            <w:tcW w:w="973" w:type="dxa"/>
          </w:tcPr>
          <w:p w:rsidR="0046012F" w:rsidRPr="009C1CC0" w:rsidRDefault="0046012F" w:rsidP="0013746E">
            <w:pPr>
              <w:jc w:val="right"/>
              <w:rPr>
                <w:sz w:val="20"/>
                <w:szCs w:val="20"/>
              </w:rPr>
            </w:pPr>
            <w:r w:rsidRPr="009C1CC0">
              <w:rPr>
                <w:sz w:val="20"/>
                <w:szCs w:val="20"/>
              </w:rPr>
              <w:t>0.0158</w:t>
            </w:r>
          </w:p>
        </w:tc>
        <w:tc>
          <w:tcPr>
            <w:tcW w:w="973" w:type="dxa"/>
          </w:tcPr>
          <w:p w:rsidR="0046012F" w:rsidRPr="009C1CC0" w:rsidRDefault="0046012F" w:rsidP="0013746E">
            <w:pPr>
              <w:jc w:val="right"/>
              <w:rPr>
                <w:sz w:val="20"/>
                <w:szCs w:val="20"/>
              </w:rPr>
            </w:pPr>
            <w:r w:rsidRPr="009C1CC0">
              <w:rPr>
                <w:sz w:val="20"/>
                <w:szCs w:val="20"/>
              </w:rPr>
              <w:t>0.0339</w:t>
            </w:r>
          </w:p>
        </w:tc>
        <w:tc>
          <w:tcPr>
            <w:tcW w:w="1228" w:type="dxa"/>
          </w:tcPr>
          <w:p w:rsidR="0046012F" w:rsidRPr="009C1CC0" w:rsidRDefault="0046012F" w:rsidP="0013746E">
            <w:pPr>
              <w:jc w:val="right"/>
              <w:rPr>
                <w:sz w:val="20"/>
                <w:szCs w:val="20"/>
              </w:rPr>
            </w:pPr>
            <w:r w:rsidRPr="009C1CC0">
              <w:rPr>
                <w:sz w:val="20"/>
                <w:szCs w:val="20"/>
              </w:rPr>
              <w:t>-0.0000</w:t>
            </w:r>
          </w:p>
        </w:tc>
        <w:tc>
          <w:tcPr>
            <w:tcW w:w="1168" w:type="dxa"/>
          </w:tcPr>
          <w:p w:rsidR="0046012F" w:rsidRPr="009C1CC0" w:rsidRDefault="0046012F" w:rsidP="0013746E">
            <w:pPr>
              <w:jc w:val="right"/>
              <w:rPr>
                <w:sz w:val="20"/>
                <w:szCs w:val="20"/>
              </w:rPr>
            </w:pPr>
            <w:r w:rsidRPr="009C1CC0">
              <w:rPr>
                <w:sz w:val="20"/>
                <w:szCs w:val="20"/>
              </w:rPr>
              <w:t>0.0026</w:t>
            </w:r>
          </w:p>
        </w:tc>
      </w:tr>
      <w:tr w:rsidR="0046012F" w:rsidRPr="00BD04E4">
        <w:trPr>
          <w:jc w:val="center"/>
        </w:trPr>
        <w:tc>
          <w:tcPr>
            <w:tcW w:w="4010" w:type="dxa"/>
          </w:tcPr>
          <w:p w:rsidR="0046012F" w:rsidRPr="009C1CC0" w:rsidRDefault="0046012F" w:rsidP="0013746E">
            <w:pPr>
              <w:rPr>
                <w:sz w:val="20"/>
                <w:szCs w:val="20"/>
              </w:rPr>
            </w:pPr>
            <w:r w:rsidRPr="009C1CC0">
              <w:rPr>
                <w:sz w:val="20"/>
                <w:szCs w:val="20"/>
              </w:rPr>
              <w:t>Change: Forecast Age</w:t>
            </w:r>
          </w:p>
        </w:tc>
        <w:tc>
          <w:tcPr>
            <w:tcW w:w="973" w:type="dxa"/>
          </w:tcPr>
          <w:p w:rsidR="0046012F" w:rsidRPr="009C1CC0" w:rsidRDefault="0046012F" w:rsidP="0013746E">
            <w:pPr>
              <w:jc w:val="right"/>
              <w:rPr>
                <w:sz w:val="20"/>
                <w:szCs w:val="20"/>
              </w:rPr>
            </w:pPr>
            <w:r w:rsidRPr="009C1CC0">
              <w:rPr>
                <w:sz w:val="20"/>
                <w:szCs w:val="20"/>
              </w:rPr>
              <w:t>177</w:t>
            </w:r>
          </w:p>
        </w:tc>
        <w:tc>
          <w:tcPr>
            <w:tcW w:w="973" w:type="dxa"/>
          </w:tcPr>
          <w:p w:rsidR="0046012F" w:rsidRPr="009C1CC0" w:rsidRDefault="0046012F" w:rsidP="0013746E">
            <w:pPr>
              <w:jc w:val="right"/>
              <w:rPr>
                <w:sz w:val="20"/>
                <w:szCs w:val="20"/>
              </w:rPr>
            </w:pPr>
            <w:r w:rsidRPr="009C1CC0">
              <w:rPr>
                <w:sz w:val="20"/>
                <w:szCs w:val="20"/>
              </w:rPr>
              <w:t>85.9</w:t>
            </w:r>
          </w:p>
        </w:tc>
        <w:tc>
          <w:tcPr>
            <w:tcW w:w="1228" w:type="dxa"/>
          </w:tcPr>
          <w:p w:rsidR="0046012F" w:rsidRPr="009C1CC0" w:rsidRDefault="0046012F" w:rsidP="0013746E">
            <w:pPr>
              <w:jc w:val="right"/>
              <w:rPr>
                <w:sz w:val="20"/>
                <w:szCs w:val="20"/>
              </w:rPr>
            </w:pPr>
            <w:r w:rsidRPr="009C1CC0">
              <w:rPr>
                <w:sz w:val="20"/>
                <w:szCs w:val="20"/>
              </w:rPr>
              <w:t>118</w:t>
            </w:r>
            <w:r w:rsidRPr="009C1CC0">
              <w:rPr>
                <w:sz w:val="20"/>
                <w:szCs w:val="20"/>
                <w:vertAlign w:val="superscript"/>
              </w:rPr>
              <w:t>b</w:t>
            </w:r>
          </w:p>
        </w:tc>
        <w:tc>
          <w:tcPr>
            <w:tcW w:w="1168" w:type="dxa"/>
          </w:tcPr>
          <w:p w:rsidR="0046012F" w:rsidRPr="009C1CC0" w:rsidRDefault="0046012F" w:rsidP="0013746E">
            <w:pPr>
              <w:jc w:val="right"/>
              <w:rPr>
                <w:sz w:val="20"/>
                <w:szCs w:val="20"/>
              </w:rPr>
            </w:pPr>
            <w:r w:rsidRPr="009C1CC0">
              <w:rPr>
                <w:sz w:val="20"/>
                <w:szCs w:val="20"/>
              </w:rPr>
              <w:t>53.4</w:t>
            </w:r>
          </w:p>
        </w:tc>
      </w:tr>
      <w:tr w:rsidR="0046012F" w:rsidRPr="00BD04E4">
        <w:trPr>
          <w:jc w:val="center"/>
        </w:trPr>
        <w:tc>
          <w:tcPr>
            <w:tcW w:w="4010" w:type="dxa"/>
          </w:tcPr>
          <w:p w:rsidR="0046012F" w:rsidRPr="009C1CC0" w:rsidRDefault="0046012F" w:rsidP="0013746E">
            <w:pPr>
              <w:rPr>
                <w:sz w:val="20"/>
                <w:szCs w:val="20"/>
              </w:rPr>
            </w:pPr>
            <w:r w:rsidRPr="009C1CC0">
              <w:rPr>
                <w:sz w:val="20"/>
                <w:szCs w:val="20"/>
              </w:rPr>
              <w:t xml:space="preserve">Broker </w:t>
            </w:r>
            <w:proofErr w:type="spellStart"/>
            <w:r w:rsidRPr="009C1CC0">
              <w:rPr>
                <w:sz w:val="20"/>
                <w:szCs w:val="20"/>
              </w:rPr>
              <w:t>Decile</w:t>
            </w:r>
            <w:proofErr w:type="spellEnd"/>
          </w:p>
        </w:tc>
        <w:tc>
          <w:tcPr>
            <w:tcW w:w="973" w:type="dxa"/>
          </w:tcPr>
          <w:p w:rsidR="0046012F" w:rsidRPr="009C1CC0" w:rsidRDefault="0046012F" w:rsidP="0013746E">
            <w:pPr>
              <w:jc w:val="right"/>
              <w:rPr>
                <w:sz w:val="20"/>
                <w:szCs w:val="20"/>
              </w:rPr>
            </w:pPr>
            <w:r w:rsidRPr="009C1CC0">
              <w:rPr>
                <w:sz w:val="20"/>
                <w:szCs w:val="20"/>
              </w:rPr>
              <w:t>9.31</w:t>
            </w:r>
          </w:p>
        </w:tc>
        <w:tc>
          <w:tcPr>
            <w:tcW w:w="973" w:type="dxa"/>
          </w:tcPr>
          <w:p w:rsidR="0046012F" w:rsidRPr="009C1CC0" w:rsidRDefault="0046012F" w:rsidP="0013746E">
            <w:pPr>
              <w:jc w:val="right"/>
              <w:rPr>
                <w:sz w:val="20"/>
                <w:szCs w:val="20"/>
              </w:rPr>
            </w:pPr>
            <w:r w:rsidRPr="009C1CC0">
              <w:rPr>
                <w:sz w:val="20"/>
                <w:szCs w:val="20"/>
              </w:rPr>
              <w:t>1.54</w:t>
            </w:r>
          </w:p>
        </w:tc>
        <w:tc>
          <w:tcPr>
            <w:tcW w:w="1228" w:type="dxa"/>
          </w:tcPr>
          <w:p w:rsidR="0046012F" w:rsidRPr="009C1CC0" w:rsidRDefault="0046012F" w:rsidP="0013746E">
            <w:pPr>
              <w:jc w:val="right"/>
              <w:rPr>
                <w:sz w:val="20"/>
                <w:szCs w:val="20"/>
              </w:rPr>
            </w:pPr>
            <w:r w:rsidRPr="009C1CC0">
              <w:rPr>
                <w:sz w:val="20"/>
                <w:szCs w:val="20"/>
              </w:rPr>
              <w:t>9.23</w:t>
            </w:r>
          </w:p>
        </w:tc>
        <w:tc>
          <w:tcPr>
            <w:tcW w:w="1168" w:type="dxa"/>
          </w:tcPr>
          <w:p w:rsidR="0046012F" w:rsidRPr="009C1CC0" w:rsidRDefault="0046012F" w:rsidP="0013746E">
            <w:pPr>
              <w:jc w:val="right"/>
              <w:rPr>
                <w:sz w:val="20"/>
                <w:szCs w:val="20"/>
              </w:rPr>
            </w:pPr>
            <w:r w:rsidRPr="009C1CC0">
              <w:rPr>
                <w:sz w:val="20"/>
                <w:szCs w:val="20"/>
              </w:rPr>
              <w:t>1.36</w:t>
            </w:r>
          </w:p>
        </w:tc>
      </w:tr>
      <w:tr w:rsidR="0046012F" w:rsidRPr="00BD04E4">
        <w:trPr>
          <w:jc w:val="center"/>
        </w:trPr>
        <w:tc>
          <w:tcPr>
            <w:tcW w:w="4010" w:type="dxa"/>
          </w:tcPr>
          <w:p w:rsidR="0046012F" w:rsidRPr="009C1CC0" w:rsidRDefault="0046012F" w:rsidP="0013746E">
            <w:pPr>
              <w:rPr>
                <w:sz w:val="20"/>
                <w:szCs w:val="20"/>
              </w:rPr>
            </w:pPr>
            <w:r w:rsidRPr="009C1CC0">
              <w:rPr>
                <w:sz w:val="20"/>
                <w:szCs w:val="20"/>
              </w:rPr>
              <w:t>Experience</w:t>
            </w:r>
          </w:p>
        </w:tc>
        <w:tc>
          <w:tcPr>
            <w:tcW w:w="973" w:type="dxa"/>
          </w:tcPr>
          <w:p w:rsidR="0046012F" w:rsidRPr="009C1CC0" w:rsidRDefault="0046012F" w:rsidP="0013746E">
            <w:pPr>
              <w:jc w:val="right"/>
              <w:rPr>
                <w:sz w:val="20"/>
                <w:szCs w:val="20"/>
              </w:rPr>
            </w:pPr>
            <w:r w:rsidRPr="009C1CC0">
              <w:rPr>
                <w:sz w:val="20"/>
                <w:szCs w:val="20"/>
              </w:rPr>
              <w:t>9.06</w:t>
            </w:r>
          </w:p>
        </w:tc>
        <w:tc>
          <w:tcPr>
            <w:tcW w:w="973" w:type="dxa"/>
          </w:tcPr>
          <w:p w:rsidR="0046012F" w:rsidRPr="009C1CC0" w:rsidRDefault="0046012F" w:rsidP="0013746E">
            <w:pPr>
              <w:jc w:val="right"/>
              <w:rPr>
                <w:sz w:val="20"/>
                <w:szCs w:val="20"/>
              </w:rPr>
            </w:pPr>
            <w:r w:rsidRPr="009C1CC0">
              <w:rPr>
                <w:sz w:val="20"/>
                <w:szCs w:val="20"/>
              </w:rPr>
              <w:t>5.37</w:t>
            </w:r>
          </w:p>
        </w:tc>
        <w:tc>
          <w:tcPr>
            <w:tcW w:w="1228" w:type="dxa"/>
          </w:tcPr>
          <w:p w:rsidR="0046012F" w:rsidRPr="009C1CC0" w:rsidRDefault="0046012F" w:rsidP="0013746E">
            <w:pPr>
              <w:jc w:val="right"/>
              <w:rPr>
                <w:sz w:val="20"/>
                <w:szCs w:val="20"/>
              </w:rPr>
            </w:pPr>
            <w:r w:rsidRPr="009C1CC0">
              <w:rPr>
                <w:sz w:val="20"/>
                <w:szCs w:val="20"/>
              </w:rPr>
              <w:t>7.35</w:t>
            </w:r>
          </w:p>
        </w:tc>
        <w:tc>
          <w:tcPr>
            <w:tcW w:w="1168" w:type="dxa"/>
          </w:tcPr>
          <w:p w:rsidR="0046012F" w:rsidRPr="009C1CC0" w:rsidRDefault="0046012F" w:rsidP="0013746E">
            <w:pPr>
              <w:jc w:val="right"/>
              <w:rPr>
                <w:sz w:val="20"/>
                <w:szCs w:val="20"/>
              </w:rPr>
            </w:pPr>
            <w:r w:rsidRPr="009C1CC0">
              <w:rPr>
                <w:sz w:val="20"/>
                <w:szCs w:val="20"/>
              </w:rPr>
              <w:t>5.07</w:t>
            </w:r>
          </w:p>
        </w:tc>
      </w:tr>
      <w:tr w:rsidR="0046012F" w:rsidRPr="00BD04E4">
        <w:trPr>
          <w:jc w:val="center"/>
        </w:trPr>
        <w:tc>
          <w:tcPr>
            <w:tcW w:w="4010" w:type="dxa"/>
          </w:tcPr>
          <w:p w:rsidR="0046012F" w:rsidRPr="009C1CC0" w:rsidRDefault="0046012F" w:rsidP="0013746E">
            <w:pPr>
              <w:rPr>
                <w:sz w:val="20"/>
                <w:szCs w:val="20"/>
              </w:rPr>
            </w:pPr>
            <w:r w:rsidRPr="009C1CC0">
              <w:rPr>
                <w:sz w:val="20"/>
                <w:szCs w:val="20"/>
              </w:rPr>
              <w:t>Complexity</w:t>
            </w:r>
          </w:p>
        </w:tc>
        <w:tc>
          <w:tcPr>
            <w:tcW w:w="973" w:type="dxa"/>
          </w:tcPr>
          <w:p w:rsidR="0046012F" w:rsidRPr="009C1CC0" w:rsidRDefault="0046012F" w:rsidP="0013746E">
            <w:pPr>
              <w:jc w:val="right"/>
              <w:rPr>
                <w:sz w:val="20"/>
                <w:szCs w:val="20"/>
              </w:rPr>
            </w:pPr>
            <w:r w:rsidRPr="009C1CC0">
              <w:rPr>
                <w:sz w:val="20"/>
                <w:szCs w:val="20"/>
              </w:rPr>
              <w:t>20.4</w:t>
            </w:r>
          </w:p>
        </w:tc>
        <w:tc>
          <w:tcPr>
            <w:tcW w:w="973" w:type="dxa"/>
          </w:tcPr>
          <w:p w:rsidR="0046012F" w:rsidRPr="009C1CC0" w:rsidRDefault="0046012F" w:rsidP="0013746E">
            <w:pPr>
              <w:jc w:val="right"/>
              <w:rPr>
                <w:sz w:val="20"/>
                <w:szCs w:val="20"/>
              </w:rPr>
            </w:pPr>
            <w:r w:rsidRPr="009C1CC0">
              <w:rPr>
                <w:sz w:val="20"/>
                <w:szCs w:val="20"/>
              </w:rPr>
              <w:t>9.67</w:t>
            </w:r>
          </w:p>
        </w:tc>
        <w:tc>
          <w:tcPr>
            <w:tcW w:w="1228" w:type="dxa"/>
          </w:tcPr>
          <w:p w:rsidR="0046012F" w:rsidRPr="009C1CC0" w:rsidRDefault="0046012F" w:rsidP="0013746E">
            <w:pPr>
              <w:jc w:val="right"/>
              <w:rPr>
                <w:sz w:val="20"/>
                <w:szCs w:val="20"/>
              </w:rPr>
            </w:pPr>
            <w:r w:rsidRPr="009C1CC0">
              <w:rPr>
                <w:sz w:val="20"/>
                <w:szCs w:val="20"/>
              </w:rPr>
              <w:t>15.0</w:t>
            </w:r>
            <w:r w:rsidRPr="009C1CC0">
              <w:rPr>
                <w:sz w:val="20"/>
                <w:szCs w:val="20"/>
                <w:vertAlign w:val="superscript"/>
              </w:rPr>
              <w:t>b</w:t>
            </w:r>
          </w:p>
        </w:tc>
        <w:tc>
          <w:tcPr>
            <w:tcW w:w="1168" w:type="dxa"/>
          </w:tcPr>
          <w:p w:rsidR="0046012F" w:rsidRPr="009C1CC0" w:rsidRDefault="0046012F" w:rsidP="0013746E">
            <w:pPr>
              <w:jc w:val="right"/>
              <w:rPr>
                <w:sz w:val="20"/>
                <w:szCs w:val="20"/>
              </w:rPr>
            </w:pPr>
            <w:r w:rsidRPr="009C1CC0">
              <w:rPr>
                <w:sz w:val="20"/>
                <w:szCs w:val="20"/>
              </w:rPr>
              <w:t>7.52</w:t>
            </w:r>
          </w:p>
        </w:tc>
      </w:tr>
      <w:tr w:rsidR="0046012F" w:rsidRPr="00BD04E4">
        <w:trPr>
          <w:jc w:val="center"/>
        </w:trPr>
        <w:tc>
          <w:tcPr>
            <w:tcW w:w="4010" w:type="dxa"/>
          </w:tcPr>
          <w:p w:rsidR="0046012F" w:rsidRPr="009C1CC0" w:rsidRDefault="0046012F" w:rsidP="0013746E">
            <w:pPr>
              <w:rPr>
                <w:sz w:val="20"/>
                <w:szCs w:val="20"/>
              </w:rPr>
            </w:pPr>
            <w:r w:rsidRPr="009C1CC0">
              <w:rPr>
                <w:sz w:val="20"/>
                <w:szCs w:val="20"/>
              </w:rPr>
              <w:t>Number of observations</w:t>
            </w:r>
          </w:p>
        </w:tc>
        <w:tc>
          <w:tcPr>
            <w:tcW w:w="973" w:type="dxa"/>
          </w:tcPr>
          <w:p w:rsidR="0046012F" w:rsidRPr="009C1CC0" w:rsidRDefault="0046012F" w:rsidP="0013746E">
            <w:pPr>
              <w:jc w:val="right"/>
              <w:rPr>
                <w:sz w:val="20"/>
                <w:szCs w:val="20"/>
              </w:rPr>
            </w:pPr>
            <w:r w:rsidRPr="009C1CC0">
              <w:rPr>
                <w:sz w:val="20"/>
                <w:szCs w:val="20"/>
              </w:rPr>
              <w:t>16</w:t>
            </w:r>
          </w:p>
        </w:tc>
        <w:tc>
          <w:tcPr>
            <w:tcW w:w="973" w:type="dxa"/>
          </w:tcPr>
          <w:p w:rsidR="0046012F" w:rsidRPr="009C1CC0" w:rsidRDefault="0046012F" w:rsidP="0013746E">
            <w:pPr>
              <w:jc w:val="right"/>
              <w:rPr>
                <w:sz w:val="20"/>
                <w:szCs w:val="20"/>
              </w:rPr>
            </w:pPr>
          </w:p>
        </w:tc>
        <w:tc>
          <w:tcPr>
            <w:tcW w:w="1228" w:type="dxa"/>
          </w:tcPr>
          <w:p w:rsidR="0046012F" w:rsidRPr="009C1CC0" w:rsidRDefault="0046012F" w:rsidP="0013746E">
            <w:pPr>
              <w:jc w:val="right"/>
              <w:rPr>
                <w:sz w:val="20"/>
                <w:szCs w:val="20"/>
              </w:rPr>
            </w:pPr>
            <w:r w:rsidRPr="009C1CC0">
              <w:rPr>
                <w:sz w:val="20"/>
                <w:szCs w:val="20"/>
              </w:rPr>
              <w:t>57</w:t>
            </w:r>
          </w:p>
        </w:tc>
        <w:tc>
          <w:tcPr>
            <w:tcW w:w="1168" w:type="dxa"/>
          </w:tcPr>
          <w:p w:rsidR="0046012F" w:rsidRPr="009C1CC0" w:rsidRDefault="0046012F" w:rsidP="0013746E">
            <w:pPr>
              <w:jc w:val="right"/>
              <w:rPr>
                <w:sz w:val="20"/>
                <w:szCs w:val="20"/>
              </w:rPr>
            </w:pPr>
          </w:p>
        </w:tc>
      </w:tr>
    </w:tbl>
    <w:p w:rsidR="0046012F" w:rsidRPr="00BD04E4" w:rsidRDefault="0046012F" w:rsidP="0046012F">
      <w:pPr>
        <w:rPr>
          <w:b/>
        </w:rPr>
      </w:pPr>
    </w:p>
    <w:p w:rsidR="0046012F" w:rsidRPr="00316ED4" w:rsidRDefault="0046012F" w:rsidP="0046012F">
      <w:pPr>
        <w:rPr>
          <w:b/>
          <w:sz w:val="20"/>
          <w:szCs w:val="20"/>
        </w:rPr>
      </w:pPr>
      <w:r w:rsidRPr="00316ED4">
        <w:rPr>
          <w:b/>
          <w:sz w:val="20"/>
          <w:szCs w:val="20"/>
        </w:rPr>
        <w:t>PANEL B: Regression Results</w:t>
      </w:r>
    </w:p>
    <w:p w:rsidR="0046012F" w:rsidRPr="00316ED4" w:rsidRDefault="0046012F" w:rsidP="0046012F">
      <w:pPr>
        <w:rPr>
          <w:b/>
          <w:sz w:val="20"/>
          <w:szCs w:val="20"/>
        </w:rPr>
      </w:pPr>
    </w:p>
    <w:p w:rsidR="0046012F" w:rsidRPr="007B72FC" w:rsidRDefault="0046012F" w:rsidP="000B4846">
      <w:pPr>
        <w:ind w:firstLine="720"/>
        <w:rPr>
          <w:i/>
        </w:rPr>
      </w:pPr>
      <w:r w:rsidRPr="00BD04E4">
        <w:rPr>
          <w:i/>
        </w:rPr>
        <w:t>Dependent variable:  Change in Forecast Error (ΔFE).</w:t>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6"/>
        <w:gridCol w:w="1468"/>
        <w:gridCol w:w="501"/>
        <w:gridCol w:w="1992"/>
        <w:gridCol w:w="502"/>
        <w:gridCol w:w="1873"/>
      </w:tblGrid>
      <w:tr w:rsidR="0046012F" w:rsidRPr="00BD04E4">
        <w:trPr>
          <w:jc w:val="center"/>
        </w:trPr>
        <w:tc>
          <w:tcPr>
            <w:tcW w:w="3484" w:type="dxa"/>
            <w:gridSpan w:val="2"/>
          </w:tcPr>
          <w:p w:rsidR="0046012F" w:rsidRPr="00E03B37" w:rsidRDefault="0046012F" w:rsidP="0013746E">
            <w:pPr>
              <w:rPr>
                <w:sz w:val="20"/>
                <w:szCs w:val="20"/>
              </w:rPr>
            </w:pPr>
          </w:p>
        </w:tc>
        <w:tc>
          <w:tcPr>
            <w:tcW w:w="501" w:type="dxa"/>
          </w:tcPr>
          <w:p w:rsidR="0046012F" w:rsidRPr="00E03B37" w:rsidRDefault="0046012F" w:rsidP="0013746E">
            <w:pPr>
              <w:rPr>
                <w:sz w:val="20"/>
                <w:szCs w:val="20"/>
              </w:rPr>
            </w:pPr>
          </w:p>
        </w:tc>
        <w:tc>
          <w:tcPr>
            <w:tcW w:w="1992" w:type="dxa"/>
          </w:tcPr>
          <w:p w:rsidR="0046012F" w:rsidRPr="00E03B37" w:rsidRDefault="0046012F" w:rsidP="0013746E">
            <w:pPr>
              <w:jc w:val="center"/>
              <w:rPr>
                <w:b/>
                <w:sz w:val="20"/>
                <w:szCs w:val="20"/>
              </w:rPr>
            </w:pPr>
            <w:r w:rsidRPr="00E03B37">
              <w:rPr>
                <w:b/>
                <w:sz w:val="20"/>
                <w:szCs w:val="20"/>
              </w:rPr>
              <w:t>Coefficient</w:t>
            </w:r>
          </w:p>
        </w:tc>
        <w:tc>
          <w:tcPr>
            <w:tcW w:w="502" w:type="dxa"/>
          </w:tcPr>
          <w:p w:rsidR="0046012F" w:rsidRPr="00E03B37" w:rsidRDefault="0046012F" w:rsidP="0013746E">
            <w:pPr>
              <w:rPr>
                <w:sz w:val="20"/>
                <w:szCs w:val="20"/>
              </w:rPr>
            </w:pPr>
          </w:p>
        </w:tc>
        <w:tc>
          <w:tcPr>
            <w:tcW w:w="1873" w:type="dxa"/>
          </w:tcPr>
          <w:p w:rsidR="0046012F" w:rsidRPr="00E03B37" w:rsidRDefault="0046012F" w:rsidP="0013746E">
            <w:pPr>
              <w:jc w:val="center"/>
              <w:rPr>
                <w:b/>
                <w:sz w:val="20"/>
                <w:szCs w:val="20"/>
              </w:rPr>
            </w:pPr>
            <w:r w:rsidRPr="00E03B37">
              <w:rPr>
                <w:b/>
                <w:sz w:val="20"/>
                <w:szCs w:val="20"/>
              </w:rPr>
              <w:t>T-Statistic</w:t>
            </w:r>
          </w:p>
        </w:tc>
      </w:tr>
      <w:tr w:rsidR="0046012F" w:rsidRPr="00BD04E4">
        <w:trPr>
          <w:jc w:val="center"/>
        </w:trPr>
        <w:tc>
          <w:tcPr>
            <w:tcW w:w="3484" w:type="dxa"/>
            <w:gridSpan w:val="2"/>
          </w:tcPr>
          <w:p w:rsidR="0046012F" w:rsidRPr="00E03B37" w:rsidRDefault="0046012F" w:rsidP="0013746E">
            <w:pPr>
              <w:rPr>
                <w:sz w:val="20"/>
                <w:szCs w:val="20"/>
              </w:rPr>
            </w:pPr>
          </w:p>
        </w:tc>
        <w:tc>
          <w:tcPr>
            <w:tcW w:w="501" w:type="dxa"/>
          </w:tcPr>
          <w:p w:rsidR="0046012F" w:rsidRPr="00E03B37" w:rsidRDefault="0046012F" w:rsidP="0013746E">
            <w:pPr>
              <w:rPr>
                <w:sz w:val="20"/>
                <w:szCs w:val="20"/>
              </w:rPr>
            </w:pPr>
          </w:p>
        </w:tc>
        <w:tc>
          <w:tcPr>
            <w:tcW w:w="1992" w:type="dxa"/>
          </w:tcPr>
          <w:p w:rsidR="0046012F" w:rsidRPr="00E03B37" w:rsidRDefault="0046012F" w:rsidP="0013746E">
            <w:pPr>
              <w:rPr>
                <w:sz w:val="20"/>
                <w:szCs w:val="20"/>
              </w:rPr>
            </w:pPr>
          </w:p>
        </w:tc>
        <w:tc>
          <w:tcPr>
            <w:tcW w:w="502" w:type="dxa"/>
          </w:tcPr>
          <w:p w:rsidR="0046012F" w:rsidRPr="00E03B37" w:rsidRDefault="0046012F" w:rsidP="0013746E">
            <w:pPr>
              <w:rPr>
                <w:sz w:val="20"/>
                <w:szCs w:val="20"/>
              </w:rPr>
            </w:pPr>
          </w:p>
        </w:tc>
        <w:tc>
          <w:tcPr>
            <w:tcW w:w="1873" w:type="dxa"/>
          </w:tcPr>
          <w:p w:rsidR="0046012F" w:rsidRPr="00E03B37" w:rsidRDefault="0046012F" w:rsidP="0013746E">
            <w:pPr>
              <w:rPr>
                <w:sz w:val="20"/>
                <w:szCs w:val="20"/>
              </w:rPr>
            </w:pPr>
          </w:p>
        </w:tc>
      </w:tr>
      <w:tr w:rsidR="0046012F" w:rsidRPr="00BD04E4">
        <w:trPr>
          <w:jc w:val="center"/>
        </w:trPr>
        <w:tc>
          <w:tcPr>
            <w:tcW w:w="3484" w:type="dxa"/>
            <w:gridSpan w:val="2"/>
          </w:tcPr>
          <w:p w:rsidR="0046012F" w:rsidRPr="00E03B37" w:rsidRDefault="0046012F" w:rsidP="0013746E">
            <w:pPr>
              <w:rPr>
                <w:sz w:val="20"/>
                <w:szCs w:val="20"/>
              </w:rPr>
            </w:pPr>
            <w:r w:rsidRPr="00E03B37">
              <w:rPr>
                <w:sz w:val="20"/>
                <w:szCs w:val="20"/>
              </w:rPr>
              <w:t>Intercept</w:t>
            </w:r>
          </w:p>
        </w:tc>
        <w:tc>
          <w:tcPr>
            <w:tcW w:w="501" w:type="dxa"/>
          </w:tcPr>
          <w:p w:rsidR="0046012F" w:rsidRPr="00E03B37" w:rsidRDefault="0046012F" w:rsidP="0013746E">
            <w:pPr>
              <w:rPr>
                <w:sz w:val="20"/>
                <w:szCs w:val="20"/>
              </w:rPr>
            </w:pPr>
          </w:p>
        </w:tc>
        <w:tc>
          <w:tcPr>
            <w:tcW w:w="1992" w:type="dxa"/>
          </w:tcPr>
          <w:p w:rsidR="0046012F" w:rsidRPr="00E03B37" w:rsidRDefault="0046012F" w:rsidP="0013746E">
            <w:pPr>
              <w:jc w:val="right"/>
              <w:rPr>
                <w:sz w:val="20"/>
                <w:szCs w:val="20"/>
              </w:rPr>
            </w:pPr>
            <w:r w:rsidRPr="00E03B37">
              <w:rPr>
                <w:sz w:val="20"/>
                <w:szCs w:val="20"/>
              </w:rPr>
              <w:t>-0.0113</w:t>
            </w:r>
          </w:p>
        </w:tc>
        <w:tc>
          <w:tcPr>
            <w:tcW w:w="502" w:type="dxa"/>
          </w:tcPr>
          <w:p w:rsidR="0046012F" w:rsidRPr="00E03B37" w:rsidRDefault="0046012F" w:rsidP="0013746E">
            <w:pPr>
              <w:rPr>
                <w:sz w:val="20"/>
                <w:szCs w:val="20"/>
              </w:rPr>
            </w:pPr>
          </w:p>
        </w:tc>
        <w:tc>
          <w:tcPr>
            <w:tcW w:w="1873" w:type="dxa"/>
          </w:tcPr>
          <w:p w:rsidR="0046012F" w:rsidRPr="00E03B37" w:rsidRDefault="0046012F" w:rsidP="0013746E">
            <w:pPr>
              <w:jc w:val="right"/>
              <w:rPr>
                <w:sz w:val="20"/>
                <w:szCs w:val="20"/>
              </w:rPr>
            </w:pPr>
            <w:r w:rsidRPr="00E03B37">
              <w:rPr>
                <w:sz w:val="20"/>
                <w:szCs w:val="20"/>
              </w:rPr>
              <w:t>-0.88</w:t>
            </w:r>
          </w:p>
        </w:tc>
      </w:tr>
      <w:tr w:rsidR="0046012F" w:rsidRPr="00BD04E4">
        <w:trPr>
          <w:jc w:val="center"/>
        </w:trPr>
        <w:tc>
          <w:tcPr>
            <w:tcW w:w="3484" w:type="dxa"/>
            <w:gridSpan w:val="2"/>
          </w:tcPr>
          <w:p w:rsidR="0046012F" w:rsidRPr="00E03B37" w:rsidRDefault="0046012F" w:rsidP="0013746E">
            <w:pPr>
              <w:rPr>
                <w:sz w:val="20"/>
                <w:szCs w:val="20"/>
              </w:rPr>
            </w:pPr>
            <w:r w:rsidRPr="00E03B37">
              <w:rPr>
                <w:sz w:val="20"/>
                <w:szCs w:val="20"/>
              </w:rPr>
              <w:t xml:space="preserve">Analyst Stock Owner (OWN) </w:t>
            </w:r>
          </w:p>
        </w:tc>
        <w:tc>
          <w:tcPr>
            <w:tcW w:w="501" w:type="dxa"/>
          </w:tcPr>
          <w:p w:rsidR="0046012F" w:rsidRPr="00E03B37" w:rsidRDefault="0046012F" w:rsidP="0013746E">
            <w:pPr>
              <w:rPr>
                <w:sz w:val="20"/>
                <w:szCs w:val="20"/>
              </w:rPr>
            </w:pPr>
          </w:p>
        </w:tc>
        <w:tc>
          <w:tcPr>
            <w:tcW w:w="1992" w:type="dxa"/>
          </w:tcPr>
          <w:p w:rsidR="0046012F" w:rsidRPr="00E03B37" w:rsidRDefault="0046012F" w:rsidP="0013746E">
            <w:pPr>
              <w:jc w:val="right"/>
              <w:rPr>
                <w:sz w:val="20"/>
                <w:szCs w:val="20"/>
              </w:rPr>
            </w:pPr>
            <w:r w:rsidRPr="00E03B37">
              <w:rPr>
                <w:sz w:val="20"/>
                <w:szCs w:val="20"/>
              </w:rPr>
              <w:t>0.0111</w:t>
            </w:r>
          </w:p>
        </w:tc>
        <w:tc>
          <w:tcPr>
            <w:tcW w:w="502" w:type="dxa"/>
          </w:tcPr>
          <w:p w:rsidR="0046012F" w:rsidRPr="00E03B37" w:rsidRDefault="00DB381E" w:rsidP="0013746E">
            <w:pPr>
              <w:rPr>
                <w:sz w:val="20"/>
                <w:szCs w:val="20"/>
              </w:rPr>
            </w:pPr>
            <w:r>
              <w:rPr>
                <w:sz w:val="20"/>
                <w:szCs w:val="20"/>
              </w:rPr>
              <w:t>*</w:t>
            </w:r>
          </w:p>
        </w:tc>
        <w:tc>
          <w:tcPr>
            <w:tcW w:w="1873" w:type="dxa"/>
          </w:tcPr>
          <w:p w:rsidR="0046012F" w:rsidRPr="00E03B37" w:rsidRDefault="0046012F" w:rsidP="0013746E">
            <w:pPr>
              <w:jc w:val="right"/>
              <w:rPr>
                <w:sz w:val="20"/>
                <w:szCs w:val="20"/>
              </w:rPr>
            </w:pPr>
            <w:r w:rsidRPr="00E03B37">
              <w:rPr>
                <w:sz w:val="20"/>
                <w:szCs w:val="20"/>
              </w:rPr>
              <w:t>2.24</w:t>
            </w:r>
          </w:p>
        </w:tc>
      </w:tr>
      <w:tr w:rsidR="0046012F" w:rsidRPr="00BD04E4">
        <w:trPr>
          <w:jc w:val="center"/>
        </w:trPr>
        <w:tc>
          <w:tcPr>
            <w:tcW w:w="3484" w:type="dxa"/>
            <w:gridSpan w:val="2"/>
          </w:tcPr>
          <w:p w:rsidR="0046012F" w:rsidRPr="00E03B37" w:rsidRDefault="0046012F" w:rsidP="0013746E">
            <w:pPr>
              <w:rPr>
                <w:sz w:val="20"/>
                <w:szCs w:val="20"/>
              </w:rPr>
            </w:pPr>
            <w:r w:rsidRPr="00E03B37">
              <w:rPr>
                <w:sz w:val="20"/>
                <w:szCs w:val="20"/>
              </w:rPr>
              <w:t>Change: Forecast Age</w:t>
            </w:r>
          </w:p>
        </w:tc>
        <w:tc>
          <w:tcPr>
            <w:tcW w:w="501" w:type="dxa"/>
          </w:tcPr>
          <w:p w:rsidR="0046012F" w:rsidRPr="00E03B37" w:rsidRDefault="0046012F" w:rsidP="0013746E">
            <w:pPr>
              <w:rPr>
                <w:sz w:val="20"/>
                <w:szCs w:val="20"/>
              </w:rPr>
            </w:pPr>
          </w:p>
        </w:tc>
        <w:tc>
          <w:tcPr>
            <w:tcW w:w="1992" w:type="dxa"/>
          </w:tcPr>
          <w:p w:rsidR="0046012F" w:rsidRPr="00E03B37" w:rsidRDefault="0046012F" w:rsidP="0013746E">
            <w:pPr>
              <w:jc w:val="right"/>
              <w:rPr>
                <w:sz w:val="20"/>
                <w:szCs w:val="20"/>
              </w:rPr>
            </w:pPr>
            <w:r w:rsidRPr="00E03B37">
              <w:rPr>
                <w:sz w:val="20"/>
                <w:szCs w:val="20"/>
              </w:rPr>
              <w:t>0.0000</w:t>
            </w:r>
          </w:p>
        </w:tc>
        <w:tc>
          <w:tcPr>
            <w:tcW w:w="502" w:type="dxa"/>
          </w:tcPr>
          <w:p w:rsidR="0046012F" w:rsidRPr="00E03B37" w:rsidRDefault="0046012F" w:rsidP="0013746E">
            <w:pPr>
              <w:rPr>
                <w:sz w:val="20"/>
                <w:szCs w:val="20"/>
              </w:rPr>
            </w:pPr>
          </w:p>
        </w:tc>
        <w:tc>
          <w:tcPr>
            <w:tcW w:w="1873" w:type="dxa"/>
          </w:tcPr>
          <w:p w:rsidR="0046012F" w:rsidRPr="00E03B37" w:rsidRDefault="0046012F" w:rsidP="0013746E">
            <w:pPr>
              <w:jc w:val="right"/>
              <w:rPr>
                <w:sz w:val="20"/>
                <w:szCs w:val="20"/>
              </w:rPr>
            </w:pPr>
            <w:r w:rsidRPr="00E03B37">
              <w:rPr>
                <w:sz w:val="20"/>
                <w:szCs w:val="20"/>
              </w:rPr>
              <w:t>1.77</w:t>
            </w:r>
          </w:p>
        </w:tc>
      </w:tr>
      <w:tr w:rsidR="0046012F" w:rsidRPr="00BD04E4">
        <w:trPr>
          <w:jc w:val="center"/>
        </w:trPr>
        <w:tc>
          <w:tcPr>
            <w:tcW w:w="3484" w:type="dxa"/>
            <w:gridSpan w:val="2"/>
          </w:tcPr>
          <w:p w:rsidR="0046012F" w:rsidRPr="00E03B37" w:rsidRDefault="0046012F" w:rsidP="0013746E">
            <w:pPr>
              <w:rPr>
                <w:sz w:val="20"/>
                <w:szCs w:val="20"/>
              </w:rPr>
            </w:pPr>
            <w:r w:rsidRPr="00E03B37">
              <w:rPr>
                <w:sz w:val="20"/>
                <w:szCs w:val="20"/>
              </w:rPr>
              <w:t>Loss</w:t>
            </w:r>
          </w:p>
        </w:tc>
        <w:tc>
          <w:tcPr>
            <w:tcW w:w="501" w:type="dxa"/>
          </w:tcPr>
          <w:p w:rsidR="0046012F" w:rsidRPr="00E03B37" w:rsidRDefault="0046012F" w:rsidP="0013746E">
            <w:pPr>
              <w:rPr>
                <w:sz w:val="20"/>
                <w:szCs w:val="20"/>
              </w:rPr>
            </w:pPr>
          </w:p>
        </w:tc>
        <w:tc>
          <w:tcPr>
            <w:tcW w:w="1992" w:type="dxa"/>
          </w:tcPr>
          <w:p w:rsidR="0046012F" w:rsidRPr="00E03B37" w:rsidRDefault="0046012F" w:rsidP="0013746E">
            <w:pPr>
              <w:jc w:val="right"/>
              <w:rPr>
                <w:sz w:val="20"/>
                <w:szCs w:val="20"/>
              </w:rPr>
            </w:pPr>
            <w:r w:rsidRPr="00E03B37">
              <w:rPr>
                <w:sz w:val="20"/>
                <w:szCs w:val="20"/>
              </w:rPr>
              <w:t>0.0044</w:t>
            </w:r>
          </w:p>
        </w:tc>
        <w:tc>
          <w:tcPr>
            <w:tcW w:w="502" w:type="dxa"/>
          </w:tcPr>
          <w:p w:rsidR="0046012F" w:rsidRPr="00E03B37" w:rsidRDefault="0046012F" w:rsidP="0013746E">
            <w:pPr>
              <w:rPr>
                <w:sz w:val="20"/>
                <w:szCs w:val="20"/>
              </w:rPr>
            </w:pPr>
          </w:p>
        </w:tc>
        <w:tc>
          <w:tcPr>
            <w:tcW w:w="1873" w:type="dxa"/>
          </w:tcPr>
          <w:p w:rsidR="0046012F" w:rsidRPr="00E03B37" w:rsidRDefault="0046012F" w:rsidP="0013746E">
            <w:pPr>
              <w:jc w:val="right"/>
              <w:rPr>
                <w:sz w:val="20"/>
                <w:szCs w:val="20"/>
              </w:rPr>
            </w:pPr>
            <w:r w:rsidRPr="00E03B37">
              <w:rPr>
                <w:sz w:val="20"/>
                <w:szCs w:val="20"/>
              </w:rPr>
              <w:t>0.92</w:t>
            </w:r>
          </w:p>
        </w:tc>
      </w:tr>
      <w:tr w:rsidR="0046012F" w:rsidRPr="00BD04E4">
        <w:trPr>
          <w:jc w:val="center"/>
        </w:trPr>
        <w:tc>
          <w:tcPr>
            <w:tcW w:w="3484" w:type="dxa"/>
            <w:gridSpan w:val="2"/>
          </w:tcPr>
          <w:p w:rsidR="0046012F" w:rsidRPr="00E03B37" w:rsidRDefault="0046012F" w:rsidP="0013746E">
            <w:pPr>
              <w:rPr>
                <w:sz w:val="20"/>
                <w:szCs w:val="20"/>
              </w:rPr>
            </w:pPr>
            <w:r w:rsidRPr="00E03B37">
              <w:rPr>
                <w:sz w:val="20"/>
                <w:szCs w:val="20"/>
              </w:rPr>
              <w:t xml:space="preserve">Broker </w:t>
            </w:r>
            <w:proofErr w:type="spellStart"/>
            <w:r w:rsidRPr="00E03B37">
              <w:rPr>
                <w:sz w:val="20"/>
                <w:szCs w:val="20"/>
              </w:rPr>
              <w:t>Decile</w:t>
            </w:r>
            <w:proofErr w:type="spellEnd"/>
          </w:p>
        </w:tc>
        <w:tc>
          <w:tcPr>
            <w:tcW w:w="501" w:type="dxa"/>
          </w:tcPr>
          <w:p w:rsidR="0046012F" w:rsidRPr="00E03B37" w:rsidRDefault="0046012F" w:rsidP="0013746E">
            <w:pPr>
              <w:rPr>
                <w:sz w:val="20"/>
                <w:szCs w:val="20"/>
              </w:rPr>
            </w:pPr>
          </w:p>
        </w:tc>
        <w:tc>
          <w:tcPr>
            <w:tcW w:w="1992" w:type="dxa"/>
          </w:tcPr>
          <w:p w:rsidR="0046012F" w:rsidRPr="00E03B37" w:rsidRDefault="0046012F" w:rsidP="0013746E">
            <w:pPr>
              <w:jc w:val="right"/>
              <w:rPr>
                <w:sz w:val="20"/>
                <w:szCs w:val="20"/>
              </w:rPr>
            </w:pPr>
            <w:r w:rsidRPr="00E03B37">
              <w:rPr>
                <w:sz w:val="20"/>
                <w:szCs w:val="20"/>
              </w:rPr>
              <w:t>-0.0006</w:t>
            </w:r>
          </w:p>
        </w:tc>
        <w:tc>
          <w:tcPr>
            <w:tcW w:w="502" w:type="dxa"/>
          </w:tcPr>
          <w:p w:rsidR="0046012F" w:rsidRPr="00E03B37" w:rsidRDefault="0046012F" w:rsidP="0013746E">
            <w:pPr>
              <w:rPr>
                <w:sz w:val="20"/>
                <w:szCs w:val="20"/>
              </w:rPr>
            </w:pPr>
          </w:p>
        </w:tc>
        <w:tc>
          <w:tcPr>
            <w:tcW w:w="1873" w:type="dxa"/>
          </w:tcPr>
          <w:p w:rsidR="0046012F" w:rsidRPr="00E03B37" w:rsidRDefault="0046012F" w:rsidP="0013746E">
            <w:pPr>
              <w:jc w:val="right"/>
              <w:rPr>
                <w:sz w:val="20"/>
                <w:szCs w:val="20"/>
              </w:rPr>
            </w:pPr>
            <w:r w:rsidRPr="00E03B37">
              <w:rPr>
                <w:sz w:val="20"/>
                <w:szCs w:val="20"/>
              </w:rPr>
              <w:t>-0.40</w:t>
            </w:r>
          </w:p>
        </w:tc>
      </w:tr>
      <w:tr w:rsidR="0046012F" w:rsidRPr="00BD04E4">
        <w:trPr>
          <w:jc w:val="center"/>
        </w:trPr>
        <w:tc>
          <w:tcPr>
            <w:tcW w:w="3484" w:type="dxa"/>
            <w:gridSpan w:val="2"/>
          </w:tcPr>
          <w:p w:rsidR="0046012F" w:rsidRPr="00E03B37" w:rsidRDefault="0046012F" w:rsidP="0013746E">
            <w:pPr>
              <w:rPr>
                <w:sz w:val="20"/>
                <w:szCs w:val="20"/>
              </w:rPr>
            </w:pPr>
            <w:r w:rsidRPr="00E03B37">
              <w:rPr>
                <w:sz w:val="20"/>
                <w:szCs w:val="20"/>
              </w:rPr>
              <w:t>Experience</w:t>
            </w:r>
          </w:p>
        </w:tc>
        <w:tc>
          <w:tcPr>
            <w:tcW w:w="501" w:type="dxa"/>
          </w:tcPr>
          <w:p w:rsidR="0046012F" w:rsidRPr="00E03B37" w:rsidRDefault="0046012F" w:rsidP="0013746E">
            <w:pPr>
              <w:rPr>
                <w:sz w:val="20"/>
                <w:szCs w:val="20"/>
              </w:rPr>
            </w:pPr>
          </w:p>
        </w:tc>
        <w:tc>
          <w:tcPr>
            <w:tcW w:w="1992" w:type="dxa"/>
          </w:tcPr>
          <w:p w:rsidR="0046012F" w:rsidRPr="00E03B37" w:rsidRDefault="0046012F" w:rsidP="0013746E">
            <w:pPr>
              <w:jc w:val="right"/>
              <w:rPr>
                <w:sz w:val="20"/>
                <w:szCs w:val="20"/>
              </w:rPr>
            </w:pPr>
            <w:r w:rsidRPr="00E03B37">
              <w:rPr>
                <w:sz w:val="20"/>
                <w:szCs w:val="20"/>
              </w:rPr>
              <w:t>0.0000</w:t>
            </w:r>
          </w:p>
        </w:tc>
        <w:tc>
          <w:tcPr>
            <w:tcW w:w="502" w:type="dxa"/>
          </w:tcPr>
          <w:p w:rsidR="0046012F" w:rsidRPr="00E03B37" w:rsidRDefault="0046012F" w:rsidP="0013746E">
            <w:pPr>
              <w:rPr>
                <w:sz w:val="20"/>
                <w:szCs w:val="20"/>
              </w:rPr>
            </w:pPr>
          </w:p>
        </w:tc>
        <w:tc>
          <w:tcPr>
            <w:tcW w:w="1873" w:type="dxa"/>
          </w:tcPr>
          <w:p w:rsidR="0046012F" w:rsidRPr="00E03B37" w:rsidRDefault="0046012F" w:rsidP="0013746E">
            <w:pPr>
              <w:jc w:val="right"/>
              <w:rPr>
                <w:sz w:val="20"/>
                <w:szCs w:val="20"/>
              </w:rPr>
            </w:pPr>
            <w:r w:rsidRPr="00E03B37">
              <w:rPr>
                <w:sz w:val="20"/>
                <w:szCs w:val="20"/>
              </w:rPr>
              <w:t>0.23</w:t>
            </w:r>
          </w:p>
        </w:tc>
      </w:tr>
      <w:tr w:rsidR="0046012F" w:rsidRPr="00BD04E4">
        <w:trPr>
          <w:jc w:val="center"/>
        </w:trPr>
        <w:tc>
          <w:tcPr>
            <w:tcW w:w="3484" w:type="dxa"/>
            <w:gridSpan w:val="2"/>
          </w:tcPr>
          <w:p w:rsidR="0046012F" w:rsidRPr="00E03B37" w:rsidRDefault="0046012F" w:rsidP="0013746E">
            <w:pPr>
              <w:rPr>
                <w:sz w:val="20"/>
                <w:szCs w:val="20"/>
              </w:rPr>
            </w:pPr>
            <w:r w:rsidRPr="00E03B37">
              <w:rPr>
                <w:sz w:val="20"/>
                <w:szCs w:val="20"/>
              </w:rPr>
              <w:t>Complexity</w:t>
            </w:r>
          </w:p>
        </w:tc>
        <w:tc>
          <w:tcPr>
            <w:tcW w:w="501" w:type="dxa"/>
          </w:tcPr>
          <w:p w:rsidR="0046012F" w:rsidRPr="00E03B37" w:rsidRDefault="0046012F" w:rsidP="0013746E">
            <w:pPr>
              <w:rPr>
                <w:sz w:val="20"/>
                <w:szCs w:val="20"/>
              </w:rPr>
            </w:pPr>
          </w:p>
        </w:tc>
        <w:tc>
          <w:tcPr>
            <w:tcW w:w="1992" w:type="dxa"/>
          </w:tcPr>
          <w:p w:rsidR="0046012F" w:rsidRPr="00E03B37" w:rsidRDefault="0046012F" w:rsidP="0013746E">
            <w:pPr>
              <w:jc w:val="right"/>
              <w:rPr>
                <w:sz w:val="20"/>
                <w:szCs w:val="20"/>
              </w:rPr>
            </w:pPr>
            <w:r w:rsidRPr="00E03B37">
              <w:rPr>
                <w:sz w:val="20"/>
                <w:szCs w:val="20"/>
              </w:rPr>
              <w:t>0.0003</w:t>
            </w:r>
          </w:p>
        </w:tc>
        <w:tc>
          <w:tcPr>
            <w:tcW w:w="502" w:type="dxa"/>
          </w:tcPr>
          <w:p w:rsidR="0046012F" w:rsidRPr="00E03B37" w:rsidRDefault="0046012F" w:rsidP="0013746E">
            <w:pPr>
              <w:rPr>
                <w:sz w:val="20"/>
                <w:szCs w:val="20"/>
              </w:rPr>
            </w:pPr>
          </w:p>
        </w:tc>
        <w:tc>
          <w:tcPr>
            <w:tcW w:w="1873" w:type="dxa"/>
          </w:tcPr>
          <w:p w:rsidR="0046012F" w:rsidRPr="00E03B37" w:rsidRDefault="0046012F" w:rsidP="0013746E">
            <w:pPr>
              <w:jc w:val="right"/>
              <w:rPr>
                <w:sz w:val="20"/>
                <w:szCs w:val="20"/>
              </w:rPr>
            </w:pPr>
            <w:r w:rsidRPr="00E03B37">
              <w:rPr>
                <w:sz w:val="20"/>
                <w:szCs w:val="20"/>
              </w:rPr>
              <w:t>1.29</w:t>
            </w:r>
          </w:p>
        </w:tc>
      </w:tr>
      <w:tr w:rsidR="0046012F" w:rsidRPr="00BD04E4">
        <w:trPr>
          <w:jc w:val="center"/>
        </w:trPr>
        <w:tc>
          <w:tcPr>
            <w:tcW w:w="2016" w:type="dxa"/>
          </w:tcPr>
          <w:p w:rsidR="0046012F" w:rsidRPr="00E03B37" w:rsidRDefault="00576D32" w:rsidP="0013746E">
            <w:pPr>
              <w:jc w:val="center"/>
              <w:rPr>
                <w:b/>
                <w:sz w:val="20"/>
                <w:szCs w:val="20"/>
              </w:rPr>
            </w:pPr>
            <w:r w:rsidRPr="009C1CC0">
              <w:rPr>
                <w:sz w:val="20"/>
                <w:szCs w:val="20"/>
              </w:rPr>
              <w:t>Number of observations</w:t>
            </w:r>
          </w:p>
        </w:tc>
        <w:tc>
          <w:tcPr>
            <w:tcW w:w="1468" w:type="dxa"/>
          </w:tcPr>
          <w:p w:rsidR="0046012F" w:rsidRPr="00E03B37" w:rsidRDefault="0046012F" w:rsidP="0013746E">
            <w:pPr>
              <w:jc w:val="right"/>
              <w:rPr>
                <w:sz w:val="20"/>
                <w:szCs w:val="20"/>
              </w:rPr>
            </w:pPr>
            <w:r w:rsidRPr="00E03B37">
              <w:rPr>
                <w:sz w:val="20"/>
                <w:szCs w:val="20"/>
              </w:rPr>
              <w:t>73</w:t>
            </w:r>
          </w:p>
        </w:tc>
        <w:tc>
          <w:tcPr>
            <w:tcW w:w="501" w:type="dxa"/>
          </w:tcPr>
          <w:p w:rsidR="0046012F" w:rsidRPr="00E03B37" w:rsidRDefault="0046012F" w:rsidP="0013746E">
            <w:pPr>
              <w:rPr>
                <w:sz w:val="20"/>
                <w:szCs w:val="20"/>
              </w:rPr>
            </w:pPr>
          </w:p>
        </w:tc>
        <w:tc>
          <w:tcPr>
            <w:tcW w:w="1992" w:type="dxa"/>
          </w:tcPr>
          <w:p w:rsidR="0046012F" w:rsidRPr="00E03B37" w:rsidRDefault="0046012F" w:rsidP="0013746E">
            <w:pPr>
              <w:jc w:val="right"/>
              <w:rPr>
                <w:sz w:val="20"/>
                <w:szCs w:val="20"/>
              </w:rPr>
            </w:pPr>
          </w:p>
        </w:tc>
        <w:tc>
          <w:tcPr>
            <w:tcW w:w="502" w:type="dxa"/>
          </w:tcPr>
          <w:p w:rsidR="0046012F" w:rsidRPr="00E03B37" w:rsidRDefault="0046012F" w:rsidP="0013746E">
            <w:pPr>
              <w:rPr>
                <w:sz w:val="20"/>
                <w:szCs w:val="20"/>
              </w:rPr>
            </w:pPr>
          </w:p>
        </w:tc>
        <w:tc>
          <w:tcPr>
            <w:tcW w:w="1873" w:type="dxa"/>
          </w:tcPr>
          <w:p w:rsidR="0046012F" w:rsidRPr="00E03B37" w:rsidRDefault="0046012F" w:rsidP="0013746E">
            <w:pPr>
              <w:jc w:val="right"/>
              <w:rPr>
                <w:sz w:val="20"/>
                <w:szCs w:val="20"/>
              </w:rPr>
            </w:pPr>
          </w:p>
        </w:tc>
      </w:tr>
      <w:tr w:rsidR="0046012F" w:rsidRPr="00BD04E4">
        <w:trPr>
          <w:jc w:val="center"/>
        </w:trPr>
        <w:tc>
          <w:tcPr>
            <w:tcW w:w="2016" w:type="dxa"/>
          </w:tcPr>
          <w:p w:rsidR="0046012F" w:rsidRPr="00E03B37" w:rsidRDefault="0046012F" w:rsidP="0013746E">
            <w:pPr>
              <w:jc w:val="center"/>
              <w:rPr>
                <w:b/>
                <w:sz w:val="20"/>
                <w:szCs w:val="20"/>
              </w:rPr>
            </w:pPr>
            <w:r w:rsidRPr="00E03B37">
              <w:rPr>
                <w:b/>
                <w:sz w:val="20"/>
                <w:szCs w:val="20"/>
              </w:rPr>
              <w:t>Adj.</w:t>
            </w:r>
            <w:r>
              <w:rPr>
                <w:b/>
                <w:sz w:val="20"/>
                <w:szCs w:val="20"/>
              </w:rPr>
              <w:t xml:space="preserve"> </w:t>
            </w:r>
            <w:r w:rsidRPr="00E03B37">
              <w:rPr>
                <w:b/>
                <w:sz w:val="20"/>
                <w:szCs w:val="20"/>
              </w:rPr>
              <w:t>R square</w:t>
            </w:r>
          </w:p>
        </w:tc>
        <w:tc>
          <w:tcPr>
            <w:tcW w:w="1468" w:type="dxa"/>
          </w:tcPr>
          <w:p w:rsidR="0046012F" w:rsidRPr="00E03B37" w:rsidRDefault="0046012F" w:rsidP="0013746E">
            <w:pPr>
              <w:jc w:val="right"/>
              <w:rPr>
                <w:sz w:val="20"/>
                <w:szCs w:val="20"/>
              </w:rPr>
            </w:pPr>
            <w:r w:rsidRPr="00E03B37">
              <w:rPr>
                <w:sz w:val="20"/>
                <w:szCs w:val="20"/>
              </w:rPr>
              <w:t>17.3 %</w:t>
            </w:r>
          </w:p>
        </w:tc>
        <w:tc>
          <w:tcPr>
            <w:tcW w:w="501" w:type="dxa"/>
          </w:tcPr>
          <w:p w:rsidR="0046012F" w:rsidRPr="00E03B37" w:rsidRDefault="0046012F" w:rsidP="0013746E">
            <w:pPr>
              <w:rPr>
                <w:sz w:val="20"/>
                <w:szCs w:val="20"/>
              </w:rPr>
            </w:pPr>
          </w:p>
        </w:tc>
        <w:tc>
          <w:tcPr>
            <w:tcW w:w="1992" w:type="dxa"/>
          </w:tcPr>
          <w:p w:rsidR="0046012F" w:rsidRPr="00E03B37" w:rsidRDefault="0046012F" w:rsidP="0013746E">
            <w:pPr>
              <w:jc w:val="right"/>
              <w:rPr>
                <w:sz w:val="20"/>
                <w:szCs w:val="20"/>
              </w:rPr>
            </w:pPr>
          </w:p>
        </w:tc>
        <w:tc>
          <w:tcPr>
            <w:tcW w:w="502" w:type="dxa"/>
          </w:tcPr>
          <w:p w:rsidR="0046012F" w:rsidRPr="00E03B37" w:rsidRDefault="0046012F" w:rsidP="0013746E">
            <w:pPr>
              <w:rPr>
                <w:sz w:val="20"/>
                <w:szCs w:val="20"/>
              </w:rPr>
            </w:pPr>
          </w:p>
        </w:tc>
        <w:tc>
          <w:tcPr>
            <w:tcW w:w="1873" w:type="dxa"/>
          </w:tcPr>
          <w:p w:rsidR="0046012F" w:rsidRPr="00E03B37" w:rsidRDefault="0046012F" w:rsidP="0013746E">
            <w:pPr>
              <w:jc w:val="right"/>
              <w:rPr>
                <w:sz w:val="20"/>
                <w:szCs w:val="20"/>
              </w:rPr>
            </w:pPr>
          </w:p>
        </w:tc>
      </w:tr>
    </w:tbl>
    <w:p w:rsidR="0046012F" w:rsidRPr="00BD04E4" w:rsidRDefault="0046012F" w:rsidP="0046012F"/>
    <w:p w:rsidR="0046012F" w:rsidRPr="00BD04E4" w:rsidRDefault="0046012F" w:rsidP="0046012F"/>
    <w:p w:rsidR="00903D89" w:rsidRPr="00BD04E4" w:rsidRDefault="00903D89">
      <w:pPr>
        <w:rPr>
          <w:b/>
        </w:rPr>
      </w:pPr>
      <w:r w:rsidRPr="00BD04E4">
        <w:br w:type="page"/>
      </w:r>
      <w:r w:rsidRPr="00BD04E4">
        <w:rPr>
          <w:b/>
        </w:rPr>
        <w:lastRenderedPageBreak/>
        <w:t xml:space="preserve">Table </w:t>
      </w:r>
      <w:r w:rsidR="00E817C9">
        <w:rPr>
          <w:b/>
        </w:rPr>
        <w:t>7</w:t>
      </w:r>
    </w:p>
    <w:p w:rsidR="00903D89" w:rsidRPr="00BD04E4" w:rsidRDefault="00903D89">
      <w:r w:rsidRPr="00BD04E4">
        <w:rPr>
          <w:b/>
        </w:rPr>
        <w:t>Forecast Error Pooled Treatment Regression – Disclosing Sample</w:t>
      </w:r>
    </w:p>
    <w:p w:rsidR="00AB2C2F" w:rsidRDefault="00AB2C2F"/>
    <w:p w:rsidR="00DB381E" w:rsidRPr="00576D32" w:rsidRDefault="00AB2C2F" w:rsidP="00DB381E">
      <w:pPr>
        <w:pStyle w:val="BodyTextIndent"/>
        <w:spacing w:line="240" w:lineRule="auto"/>
        <w:ind w:firstLine="0"/>
        <w:rPr>
          <w:sz w:val="20"/>
          <w:szCs w:val="20"/>
        </w:rPr>
      </w:pPr>
      <w:r w:rsidRPr="00AB2C2F">
        <w:rPr>
          <w:sz w:val="20"/>
          <w:szCs w:val="20"/>
        </w:rPr>
        <w:t>This table analyzes the effect of analyst stock ownership on analyst forecast bias</w:t>
      </w:r>
      <w:r w:rsidR="009E7167">
        <w:rPr>
          <w:sz w:val="20"/>
          <w:szCs w:val="20"/>
        </w:rPr>
        <w:t>,</w:t>
      </w:r>
      <w:r w:rsidRPr="00AB2C2F">
        <w:rPr>
          <w:sz w:val="20"/>
          <w:szCs w:val="20"/>
        </w:rPr>
        <w:t xml:space="preserve"> controlling for the </w:t>
      </w:r>
      <w:r w:rsidR="009C1CC0">
        <w:rPr>
          <w:sz w:val="20"/>
          <w:szCs w:val="20"/>
        </w:rPr>
        <w:t>fact that</w:t>
      </w:r>
      <w:r w:rsidRPr="00AB2C2F">
        <w:rPr>
          <w:sz w:val="20"/>
          <w:szCs w:val="20"/>
        </w:rPr>
        <w:t xml:space="preserve"> </w:t>
      </w:r>
      <w:r w:rsidR="009C1CC0">
        <w:rPr>
          <w:sz w:val="20"/>
          <w:szCs w:val="20"/>
        </w:rPr>
        <w:t xml:space="preserve">stock </w:t>
      </w:r>
      <w:r w:rsidRPr="00AB2C2F">
        <w:rPr>
          <w:sz w:val="20"/>
          <w:szCs w:val="20"/>
        </w:rPr>
        <w:t xml:space="preserve">ownership </w:t>
      </w:r>
      <w:r w:rsidR="009C1CC0">
        <w:rPr>
          <w:sz w:val="20"/>
          <w:szCs w:val="20"/>
        </w:rPr>
        <w:t xml:space="preserve">is </w:t>
      </w:r>
      <w:r w:rsidR="000B4846">
        <w:rPr>
          <w:sz w:val="20"/>
          <w:szCs w:val="20"/>
        </w:rPr>
        <w:t>a choice variable</w:t>
      </w:r>
      <w:r w:rsidR="00C731E1">
        <w:rPr>
          <w:sz w:val="20"/>
          <w:szCs w:val="20"/>
        </w:rPr>
        <w:t>;</w:t>
      </w:r>
      <w:r w:rsidR="009C1CC0">
        <w:rPr>
          <w:sz w:val="20"/>
          <w:szCs w:val="20"/>
        </w:rPr>
        <w:t xml:space="preserve"> by the use of a treatment regression</w:t>
      </w:r>
      <w:r w:rsidR="00C731E1">
        <w:rPr>
          <w:sz w:val="20"/>
          <w:szCs w:val="20"/>
        </w:rPr>
        <w:t xml:space="preserve"> (</w:t>
      </w:r>
      <w:r w:rsidR="00E817C9">
        <w:rPr>
          <w:sz w:val="20"/>
          <w:szCs w:val="20"/>
        </w:rPr>
        <w:t>Table 4</w:t>
      </w:r>
      <w:r w:rsidR="00066341">
        <w:rPr>
          <w:sz w:val="20"/>
          <w:szCs w:val="20"/>
        </w:rPr>
        <w:t xml:space="preserve"> ignores the </w:t>
      </w:r>
      <w:r w:rsidR="00AE2A4E">
        <w:rPr>
          <w:sz w:val="20"/>
          <w:szCs w:val="20"/>
        </w:rPr>
        <w:t>self-selection</w:t>
      </w:r>
      <w:r w:rsidR="00066341">
        <w:rPr>
          <w:sz w:val="20"/>
          <w:szCs w:val="20"/>
        </w:rPr>
        <w:t xml:space="preserve"> issue</w:t>
      </w:r>
      <w:r w:rsidR="00C731E1">
        <w:rPr>
          <w:sz w:val="20"/>
          <w:szCs w:val="20"/>
        </w:rPr>
        <w:t>)</w:t>
      </w:r>
      <w:r w:rsidRPr="00AB2C2F">
        <w:rPr>
          <w:sz w:val="20"/>
          <w:szCs w:val="20"/>
        </w:rPr>
        <w:t xml:space="preserve">.  </w:t>
      </w:r>
      <w:r w:rsidR="007C4AC0" w:rsidRPr="008F0764">
        <w:rPr>
          <w:sz w:val="20"/>
          <w:szCs w:val="20"/>
        </w:rPr>
        <w:t xml:space="preserve">Owning analysts are identified as sell-side analysts that provide research coverage on a company and disclose ownership in that same company. </w:t>
      </w:r>
      <w:r w:rsidR="007C4AC0">
        <w:rPr>
          <w:sz w:val="20"/>
          <w:szCs w:val="20"/>
        </w:rPr>
        <w:t xml:space="preserve"> </w:t>
      </w:r>
      <w:r w:rsidR="007C4AC0">
        <w:rPr>
          <w:b/>
          <w:sz w:val="20"/>
          <w:szCs w:val="20"/>
        </w:rPr>
        <w:t>Forecast error</w:t>
      </w:r>
      <w:r w:rsidR="000B4846">
        <w:rPr>
          <w:b/>
          <w:sz w:val="20"/>
          <w:szCs w:val="20"/>
        </w:rPr>
        <w:t xml:space="preserve"> (FE)</w:t>
      </w:r>
      <w:r w:rsidR="007C4AC0">
        <w:rPr>
          <w:b/>
          <w:sz w:val="20"/>
          <w:szCs w:val="20"/>
        </w:rPr>
        <w:t xml:space="preserve"> </w:t>
      </w:r>
      <w:r w:rsidR="007C4AC0">
        <w:rPr>
          <w:sz w:val="20"/>
          <w:szCs w:val="20"/>
        </w:rPr>
        <w:t xml:space="preserve">is actual earnings for the quarter less the analyst’s earnings forecast all deflated by lagged stock price. </w:t>
      </w:r>
      <w:r w:rsidR="007C4AC0" w:rsidRPr="00AF353C">
        <w:rPr>
          <w:b/>
          <w:sz w:val="20"/>
          <w:szCs w:val="20"/>
        </w:rPr>
        <w:t>Own</w:t>
      </w:r>
      <w:r w:rsidR="007C4AC0">
        <w:rPr>
          <w:sz w:val="20"/>
          <w:szCs w:val="20"/>
        </w:rPr>
        <w:t xml:space="preserve"> is a </w:t>
      </w:r>
      <w:r w:rsidR="007C4AC0" w:rsidRPr="00AF353C">
        <w:rPr>
          <w:sz w:val="20"/>
          <w:szCs w:val="20"/>
        </w:rPr>
        <w:t>dummy variable</w:t>
      </w:r>
      <w:r w:rsidR="007C4AC0">
        <w:rPr>
          <w:sz w:val="20"/>
          <w:szCs w:val="20"/>
        </w:rPr>
        <w:t xml:space="preserve"> indicating whether the analyst owns the stock on which she issues a report. </w:t>
      </w:r>
      <w:r w:rsidR="007C4AC0" w:rsidRPr="00AF353C">
        <w:rPr>
          <w:b/>
          <w:sz w:val="20"/>
          <w:szCs w:val="20"/>
        </w:rPr>
        <w:t>IPO Underwriter</w:t>
      </w:r>
      <w:r w:rsidR="007C4AC0">
        <w:rPr>
          <w:b/>
          <w:sz w:val="20"/>
          <w:szCs w:val="20"/>
        </w:rPr>
        <w:t xml:space="preserve"> </w:t>
      </w:r>
      <w:r w:rsidR="007C4AC0" w:rsidRPr="00AF353C">
        <w:rPr>
          <w:sz w:val="20"/>
          <w:szCs w:val="20"/>
        </w:rPr>
        <w:t>is a</w:t>
      </w:r>
      <w:r w:rsidR="007C4AC0">
        <w:rPr>
          <w:b/>
          <w:sz w:val="20"/>
          <w:szCs w:val="20"/>
        </w:rPr>
        <w:t xml:space="preserve"> </w:t>
      </w:r>
      <w:r w:rsidR="007C4AC0" w:rsidRPr="00AF353C">
        <w:rPr>
          <w:sz w:val="20"/>
          <w:szCs w:val="20"/>
        </w:rPr>
        <w:t>dummy variable</w:t>
      </w:r>
      <w:r w:rsidR="007C4AC0">
        <w:rPr>
          <w:sz w:val="20"/>
          <w:szCs w:val="20"/>
        </w:rPr>
        <w:t xml:space="preserve"> indicating whether the</w:t>
      </w:r>
      <w:r w:rsidR="007C4AC0" w:rsidRPr="00AF353C">
        <w:rPr>
          <w:sz w:val="20"/>
          <w:szCs w:val="20"/>
        </w:rPr>
        <w:t xml:space="preserve"> analyst's</w:t>
      </w:r>
      <w:r w:rsidR="007C4AC0">
        <w:rPr>
          <w:sz w:val="20"/>
          <w:szCs w:val="20"/>
        </w:rPr>
        <w:t xml:space="preserve"> brokerage</w:t>
      </w:r>
      <w:r w:rsidR="007C4AC0" w:rsidRPr="00AF353C">
        <w:rPr>
          <w:sz w:val="20"/>
          <w:szCs w:val="20"/>
        </w:rPr>
        <w:t xml:space="preserve"> firm is the IPO l</w:t>
      </w:r>
      <w:r w:rsidR="007C4AC0">
        <w:rPr>
          <w:sz w:val="20"/>
          <w:szCs w:val="20"/>
        </w:rPr>
        <w:t>ead underwriter and the analyst report</w:t>
      </w:r>
      <w:r w:rsidR="007C4AC0" w:rsidRPr="00AF353C">
        <w:rPr>
          <w:sz w:val="20"/>
          <w:szCs w:val="20"/>
        </w:rPr>
        <w:t xml:space="preserve"> is issued within one year after the IPO.</w:t>
      </w:r>
      <w:r w:rsidR="007C4AC0">
        <w:rPr>
          <w:sz w:val="20"/>
          <w:szCs w:val="20"/>
        </w:rPr>
        <w:t xml:space="preserve">  </w:t>
      </w:r>
      <w:r w:rsidR="007C4AC0" w:rsidRPr="00AF353C">
        <w:rPr>
          <w:b/>
          <w:sz w:val="20"/>
          <w:szCs w:val="20"/>
        </w:rPr>
        <w:t>IPO Co-manager</w:t>
      </w:r>
      <w:r w:rsidR="007C4AC0">
        <w:rPr>
          <w:b/>
          <w:sz w:val="20"/>
          <w:szCs w:val="20"/>
        </w:rPr>
        <w:t xml:space="preserve"> </w:t>
      </w:r>
      <w:r w:rsidR="007C4AC0" w:rsidRPr="006B30B6">
        <w:rPr>
          <w:sz w:val="20"/>
          <w:szCs w:val="20"/>
        </w:rPr>
        <w:t>is defined in the same way.</w:t>
      </w:r>
      <w:r w:rsidR="007C4AC0">
        <w:rPr>
          <w:sz w:val="20"/>
          <w:szCs w:val="20"/>
        </w:rPr>
        <w:t xml:space="preserve">  </w:t>
      </w:r>
      <w:r w:rsidR="007C4AC0" w:rsidRPr="00AF353C">
        <w:rPr>
          <w:b/>
          <w:sz w:val="20"/>
          <w:szCs w:val="20"/>
        </w:rPr>
        <w:t>SEO Underwriter</w:t>
      </w:r>
      <w:r w:rsidR="007C4AC0">
        <w:rPr>
          <w:b/>
          <w:sz w:val="20"/>
          <w:szCs w:val="20"/>
        </w:rPr>
        <w:t xml:space="preserve"> </w:t>
      </w:r>
      <w:r w:rsidR="007C4AC0" w:rsidRPr="006B30B6">
        <w:rPr>
          <w:sz w:val="20"/>
          <w:szCs w:val="20"/>
        </w:rPr>
        <w:t>is a</w:t>
      </w:r>
      <w:r w:rsidR="007C4AC0">
        <w:rPr>
          <w:sz w:val="20"/>
          <w:szCs w:val="20"/>
        </w:rPr>
        <w:t xml:space="preserve"> </w:t>
      </w:r>
      <w:r w:rsidR="007C4AC0" w:rsidRPr="00AF353C">
        <w:rPr>
          <w:sz w:val="20"/>
          <w:szCs w:val="20"/>
        </w:rPr>
        <w:t>dummy variable</w:t>
      </w:r>
      <w:r w:rsidR="007C4AC0">
        <w:rPr>
          <w:sz w:val="20"/>
          <w:szCs w:val="20"/>
        </w:rPr>
        <w:t xml:space="preserve"> indicating whether the</w:t>
      </w:r>
      <w:r w:rsidR="007C4AC0" w:rsidRPr="00AF353C">
        <w:rPr>
          <w:sz w:val="20"/>
          <w:szCs w:val="20"/>
        </w:rPr>
        <w:t xml:space="preserve"> analyst's </w:t>
      </w:r>
      <w:r w:rsidR="007C4AC0">
        <w:rPr>
          <w:sz w:val="20"/>
          <w:szCs w:val="20"/>
        </w:rPr>
        <w:t xml:space="preserve">brokerage </w:t>
      </w:r>
      <w:r w:rsidR="007C4AC0" w:rsidRPr="00AF353C">
        <w:rPr>
          <w:sz w:val="20"/>
          <w:szCs w:val="20"/>
        </w:rPr>
        <w:t>firm is the SEO l</w:t>
      </w:r>
      <w:r w:rsidR="007C4AC0">
        <w:rPr>
          <w:sz w:val="20"/>
          <w:szCs w:val="20"/>
        </w:rPr>
        <w:t>ead underwriter and the analyst report</w:t>
      </w:r>
      <w:r w:rsidR="007C4AC0" w:rsidRPr="00AF353C">
        <w:rPr>
          <w:sz w:val="20"/>
          <w:szCs w:val="20"/>
        </w:rPr>
        <w:t xml:space="preserve"> is issued within six months before and one year after the SEO.</w:t>
      </w:r>
      <w:r w:rsidR="007C4AC0">
        <w:rPr>
          <w:sz w:val="20"/>
          <w:szCs w:val="20"/>
        </w:rPr>
        <w:t xml:space="preserve">  </w:t>
      </w:r>
      <w:r w:rsidR="007C4AC0" w:rsidRPr="00AF353C">
        <w:rPr>
          <w:b/>
          <w:sz w:val="20"/>
          <w:szCs w:val="20"/>
        </w:rPr>
        <w:t>SEO Co-manager</w:t>
      </w:r>
      <w:r w:rsidR="007C4AC0">
        <w:rPr>
          <w:sz w:val="20"/>
          <w:szCs w:val="20"/>
        </w:rPr>
        <w:t xml:space="preserve"> is defined the same way.  </w:t>
      </w:r>
      <w:r w:rsidR="007C4AC0" w:rsidRPr="0026291C">
        <w:rPr>
          <w:b/>
          <w:sz w:val="20"/>
          <w:szCs w:val="20"/>
        </w:rPr>
        <w:t>Forecast age</w:t>
      </w:r>
      <w:r w:rsidR="007C4AC0">
        <w:rPr>
          <w:sz w:val="20"/>
          <w:szCs w:val="20"/>
        </w:rPr>
        <w:t xml:space="preserve"> is the difference, in days, between the date of the analyst’s forecast and the company’s actual earnings announcement.  </w:t>
      </w:r>
      <w:r w:rsidR="007C4AC0" w:rsidRPr="0069681F">
        <w:rPr>
          <w:b/>
          <w:sz w:val="20"/>
          <w:szCs w:val="20"/>
        </w:rPr>
        <w:t xml:space="preserve">Loss </w:t>
      </w:r>
      <w:r w:rsidR="007C4AC0" w:rsidRPr="0069681F">
        <w:rPr>
          <w:sz w:val="20"/>
          <w:szCs w:val="20"/>
        </w:rPr>
        <w:t>is a dummy variable indicating whether the current quarter’s income is a loss or not.</w:t>
      </w:r>
      <w:r w:rsidR="007C4AC0">
        <w:rPr>
          <w:b/>
        </w:rPr>
        <w:t xml:space="preserve">  </w:t>
      </w:r>
      <w:r w:rsidR="007C4AC0" w:rsidRPr="009C5B6A">
        <w:rPr>
          <w:b/>
          <w:sz w:val="20"/>
          <w:szCs w:val="20"/>
        </w:rPr>
        <w:t xml:space="preserve">Follow </w:t>
      </w:r>
      <w:r w:rsidR="007C4AC0" w:rsidRPr="009C5B6A">
        <w:rPr>
          <w:sz w:val="20"/>
          <w:szCs w:val="20"/>
        </w:rPr>
        <w:t>is the number of analysts reporting earnings forecasts on the company during the quarter.</w:t>
      </w:r>
      <w:r w:rsidR="007C4AC0">
        <w:t xml:space="preserve">  </w:t>
      </w:r>
      <w:r w:rsidR="007C4AC0" w:rsidRPr="00AF353C">
        <w:rPr>
          <w:b/>
          <w:sz w:val="20"/>
          <w:szCs w:val="20"/>
        </w:rPr>
        <w:t xml:space="preserve">Broker </w:t>
      </w:r>
      <w:proofErr w:type="spellStart"/>
      <w:r w:rsidR="007C4AC0" w:rsidRPr="00AF353C">
        <w:rPr>
          <w:b/>
          <w:sz w:val="20"/>
          <w:szCs w:val="20"/>
        </w:rPr>
        <w:t>Decile</w:t>
      </w:r>
      <w:proofErr w:type="spellEnd"/>
      <w:r w:rsidR="007C4AC0">
        <w:rPr>
          <w:b/>
          <w:sz w:val="20"/>
          <w:szCs w:val="20"/>
        </w:rPr>
        <w:t xml:space="preserve"> </w:t>
      </w:r>
      <w:r w:rsidR="007C4AC0" w:rsidRPr="006B30B6">
        <w:rPr>
          <w:sz w:val="20"/>
          <w:szCs w:val="20"/>
        </w:rPr>
        <w:t xml:space="preserve">is a </w:t>
      </w:r>
      <w:proofErr w:type="spellStart"/>
      <w:r w:rsidR="007C4AC0" w:rsidRPr="006B30B6">
        <w:rPr>
          <w:sz w:val="20"/>
          <w:szCs w:val="20"/>
        </w:rPr>
        <w:t>decile</w:t>
      </w:r>
      <w:proofErr w:type="spellEnd"/>
      <w:r w:rsidR="007C4AC0" w:rsidRPr="006B30B6">
        <w:rPr>
          <w:sz w:val="20"/>
          <w:szCs w:val="20"/>
        </w:rPr>
        <w:t xml:space="preserve"> </w:t>
      </w:r>
      <w:r w:rsidR="007C4AC0">
        <w:rPr>
          <w:sz w:val="20"/>
          <w:szCs w:val="20"/>
        </w:rPr>
        <w:t xml:space="preserve">size </w:t>
      </w:r>
      <w:r w:rsidR="007C4AC0" w:rsidRPr="006B30B6">
        <w:rPr>
          <w:sz w:val="20"/>
          <w:szCs w:val="20"/>
        </w:rPr>
        <w:t>ranking of</w:t>
      </w:r>
      <w:r w:rsidR="007C4AC0">
        <w:rPr>
          <w:b/>
          <w:sz w:val="20"/>
          <w:szCs w:val="20"/>
        </w:rPr>
        <w:t xml:space="preserve"> </w:t>
      </w:r>
      <w:r w:rsidR="007C4AC0" w:rsidRPr="00DD61FC">
        <w:rPr>
          <w:sz w:val="20"/>
          <w:szCs w:val="20"/>
        </w:rPr>
        <w:t>the analyst’s</w:t>
      </w:r>
      <w:r w:rsidR="007C4AC0">
        <w:rPr>
          <w:b/>
          <w:sz w:val="20"/>
          <w:szCs w:val="20"/>
        </w:rPr>
        <w:t xml:space="preserve"> </w:t>
      </w:r>
      <w:r w:rsidR="007C4AC0">
        <w:rPr>
          <w:sz w:val="20"/>
          <w:szCs w:val="20"/>
        </w:rPr>
        <w:t>brokerage firm, computed annually,</w:t>
      </w:r>
      <w:r w:rsidR="007C4AC0" w:rsidRPr="00AF353C">
        <w:rPr>
          <w:sz w:val="20"/>
          <w:szCs w:val="20"/>
        </w:rPr>
        <w:t xml:space="preserve"> </w:t>
      </w:r>
      <w:r w:rsidR="00563454" w:rsidRPr="00AF353C">
        <w:rPr>
          <w:sz w:val="20"/>
          <w:szCs w:val="20"/>
        </w:rPr>
        <w:t>and based</w:t>
      </w:r>
      <w:r w:rsidR="007C4AC0" w:rsidRPr="00AF353C">
        <w:rPr>
          <w:sz w:val="20"/>
          <w:szCs w:val="20"/>
        </w:rPr>
        <w:t xml:space="preserve"> on the number of analysts at each brokerage firm</w:t>
      </w:r>
      <w:r w:rsidR="007C4AC0">
        <w:rPr>
          <w:sz w:val="20"/>
          <w:szCs w:val="20"/>
        </w:rPr>
        <w:t xml:space="preserve"> as reported by IBES.</w:t>
      </w:r>
      <w:r w:rsidR="007C4AC0" w:rsidRPr="00AF353C">
        <w:rPr>
          <w:sz w:val="20"/>
          <w:szCs w:val="20"/>
        </w:rPr>
        <w:t xml:space="preserve"> </w:t>
      </w:r>
      <w:r w:rsidR="007C4AC0">
        <w:rPr>
          <w:sz w:val="20"/>
          <w:szCs w:val="20"/>
        </w:rPr>
        <w:t xml:space="preserve"> </w:t>
      </w:r>
      <w:r w:rsidR="007C4AC0" w:rsidRPr="00AF353C">
        <w:rPr>
          <w:b/>
          <w:sz w:val="20"/>
          <w:szCs w:val="20"/>
        </w:rPr>
        <w:t>Experience</w:t>
      </w:r>
      <w:r w:rsidR="007C4AC0">
        <w:rPr>
          <w:sz w:val="20"/>
          <w:szCs w:val="20"/>
        </w:rPr>
        <w:t xml:space="preserve"> is a measure of analyst tenure as </w:t>
      </w:r>
      <w:r w:rsidR="007C4AC0" w:rsidRPr="00AF353C">
        <w:rPr>
          <w:sz w:val="20"/>
          <w:szCs w:val="20"/>
        </w:rPr>
        <w:t>a sell-side analyst</w:t>
      </w:r>
      <w:r w:rsidR="007C4AC0">
        <w:rPr>
          <w:sz w:val="20"/>
          <w:szCs w:val="20"/>
        </w:rPr>
        <w:t>, as of the current year (years in the</w:t>
      </w:r>
      <w:r w:rsidR="007C4AC0" w:rsidRPr="00AF353C">
        <w:rPr>
          <w:sz w:val="20"/>
          <w:szCs w:val="20"/>
        </w:rPr>
        <w:t xml:space="preserve"> IBES database</w:t>
      </w:r>
      <w:r w:rsidR="007C4AC0">
        <w:rPr>
          <w:sz w:val="20"/>
          <w:szCs w:val="20"/>
        </w:rPr>
        <w:t xml:space="preserve"> is the proxy</w:t>
      </w:r>
      <w:r w:rsidR="007C4AC0" w:rsidRPr="00AF353C">
        <w:rPr>
          <w:sz w:val="20"/>
          <w:szCs w:val="20"/>
        </w:rPr>
        <w:t>).</w:t>
      </w:r>
      <w:r w:rsidR="007C4AC0">
        <w:rPr>
          <w:sz w:val="20"/>
          <w:szCs w:val="20"/>
        </w:rPr>
        <w:t xml:space="preserve">  </w:t>
      </w:r>
      <w:r w:rsidR="007C4AC0" w:rsidRPr="00AF353C">
        <w:rPr>
          <w:b/>
          <w:sz w:val="20"/>
          <w:szCs w:val="20"/>
        </w:rPr>
        <w:t>Complexity</w:t>
      </w:r>
      <w:r w:rsidR="007C4AC0">
        <w:rPr>
          <w:b/>
          <w:sz w:val="20"/>
          <w:szCs w:val="20"/>
        </w:rPr>
        <w:t xml:space="preserve"> </w:t>
      </w:r>
      <w:r w:rsidR="007C4AC0" w:rsidRPr="005579BA">
        <w:rPr>
          <w:sz w:val="20"/>
          <w:szCs w:val="20"/>
        </w:rPr>
        <w:t>is the</w:t>
      </w:r>
      <w:r w:rsidR="007C4AC0">
        <w:rPr>
          <w:sz w:val="20"/>
          <w:szCs w:val="20"/>
        </w:rPr>
        <w:t xml:space="preserve"> n</w:t>
      </w:r>
      <w:r w:rsidR="007C4AC0" w:rsidRPr="00AF353C">
        <w:rPr>
          <w:sz w:val="20"/>
          <w:szCs w:val="20"/>
        </w:rPr>
        <w:t xml:space="preserve">umber of companies </w:t>
      </w:r>
      <w:r w:rsidR="007C4AC0">
        <w:rPr>
          <w:sz w:val="20"/>
          <w:szCs w:val="20"/>
        </w:rPr>
        <w:t xml:space="preserve">the </w:t>
      </w:r>
      <w:r w:rsidR="007C4AC0" w:rsidRPr="00AF353C">
        <w:rPr>
          <w:sz w:val="20"/>
          <w:szCs w:val="20"/>
        </w:rPr>
        <w:t>analyst</w:t>
      </w:r>
      <w:r w:rsidR="007C4AC0">
        <w:rPr>
          <w:sz w:val="20"/>
          <w:szCs w:val="20"/>
        </w:rPr>
        <w:t xml:space="preserve"> covers during the year</w:t>
      </w:r>
      <w:r w:rsidR="007C4AC0" w:rsidRPr="00AF353C">
        <w:rPr>
          <w:sz w:val="20"/>
          <w:szCs w:val="20"/>
        </w:rPr>
        <w:t>.</w:t>
      </w:r>
      <w:r w:rsidR="007C4AC0">
        <w:rPr>
          <w:sz w:val="20"/>
          <w:szCs w:val="20"/>
        </w:rPr>
        <w:t xml:space="preserve">  </w:t>
      </w:r>
      <w:r w:rsidR="007C4AC0" w:rsidRPr="005D221D">
        <w:rPr>
          <w:b/>
          <w:sz w:val="20"/>
          <w:szCs w:val="20"/>
        </w:rPr>
        <w:t>Volatility (lagged)</w:t>
      </w:r>
      <w:r w:rsidR="007C4AC0" w:rsidRPr="005D221D">
        <w:rPr>
          <w:sz w:val="20"/>
          <w:szCs w:val="20"/>
        </w:rPr>
        <w:t xml:space="preserve"> is the standard deviation of daily stock returns for the preceding year.  </w:t>
      </w:r>
      <w:r w:rsidR="007C4AC0" w:rsidRPr="005D221D">
        <w:rPr>
          <w:b/>
          <w:sz w:val="20"/>
          <w:szCs w:val="20"/>
        </w:rPr>
        <w:t xml:space="preserve">Industry </w:t>
      </w:r>
      <w:r w:rsidR="007C4AC0" w:rsidRPr="005D221D">
        <w:rPr>
          <w:sz w:val="20"/>
          <w:szCs w:val="20"/>
        </w:rPr>
        <w:t xml:space="preserve">is a dummy variable, </w:t>
      </w:r>
      <w:r w:rsidR="007C4AC0">
        <w:rPr>
          <w:sz w:val="20"/>
          <w:szCs w:val="20"/>
        </w:rPr>
        <w:t>one for each one digit SIC code</w:t>
      </w:r>
      <w:r w:rsidR="007C4AC0" w:rsidRPr="005D221D">
        <w:rPr>
          <w:sz w:val="20"/>
          <w:szCs w:val="20"/>
        </w:rPr>
        <w:t>.</w:t>
      </w:r>
      <w:r w:rsidR="00C731E1">
        <w:rPr>
          <w:sz w:val="20"/>
          <w:szCs w:val="20"/>
        </w:rPr>
        <w:t xml:space="preserve">  </w:t>
      </w:r>
      <w:r>
        <w:rPr>
          <w:sz w:val="20"/>
          <w:szCs w:val="20"/>
        </w:rPr>
        <w:t>The z-statistics are based on Huber/White robust standard errors.</w:t>
      </w:r>
      <w:r w:rsidR="00DB381E">
        <w:rPr>
          <w:sz w:val="20"/>
          <w:szCs w:val="20"/>
        </w:rPr>
        <w:t xml:space="preserve">  * Statistically significant at the 5% level or better.</w:t>
      </w:r>
    </w:p>
    <w:p w:rsidR="00AB2C2F" w:rsidRPr="00BD04E4" w:rsidRDefault="00AB2C2F"/>
    <w:p w:rsidR="00903D89" w:rsidRDefault="00903D89">
      <w:pPr>
        <w:ind w:left="720"/>
        <w:rPr>
          <w:b/>
          <w:sz w:val="20"/>
          <w:szCs w:val="20"/>
        </w:rPr>
      </w:pPr>
      <w:r w:rsidRPr="00AB2C2F">
        <w:rPr>
          <w:b/>
          <w:sz w:val="20"/>
          <w:szCs w:val="20"/>
        </w:rPr>
        <w:t>Own</w:t>
      </w:r>
      <w:r w:rsidRPr="00AB2C2F">
        <w:rPr>
          <w:b/>
          <w:sz w:val="20"/>
          <w:szCs w:val="20"/>
          <w:vertAlign w:val="superscript"/>
        </w:rPr>
        <w:t>*</w:t>
      </w:r>
      <w:r w:rsidRPr="00AB2C2F">
        <w:rPr>
          <w:b/>
          <w:sz w:val="20"/>
          <w:szCs w:val="20"/>
        </w:rPr>
        <w:t>=</w:t>
      </w:r>
      <w:r w:rsidRPr="00AB2C2F">
        <w:rPr>
          <w:b/>
          <w:sz w:val="20"/>
          <w:szCs w:val="20"/>
        </w:rPr>
        <w:sym w:font="Symbol" w:char="F067"/>
      </w:r>
      <w:r w:rsidRPr="00AB2C2F">
        <w:rPr>
          <w:b/>
          <w:sz w:val="20"/>
          <w:szCs w:val="20"/>
          <w:vertAlign w:val="subscript"/>
        </w:rPr>
        <w:t>0</w:t>
      </w:r>
      <w:r w:rsidRPr="00AB2C2F">
        <w:rPr>
          <w:b/>
          <w:sz w:val="20"/>
          <w:szCs w:val="20"/>
        </w:rPr>
        <w:t xml:space="preserve"> + </w:t>
      </w:r>
      <w:proofErr w:type="spellStart"/>
      <w:r w:rsidRPr="00AB2C2F">
        <w:rPr>
          <w:b/>
          <w:sz w:val="20"/>
          <w:szCs w:val="20"/>
        </w:rPr>
        <w:t>γ</w:t>
      </w:r>
      <w:r w:rsidRPr="00AB2C2F">
        <w:rPr>
          <w:b/>
          <w:sz w:val="20"/>
          <w:szCs w:val="20"/>
          <w:vertAlign w:val="subscript"/>
        </w:rPr>
        <w:t>i</w:t>
      </w:r>
      <w:proofErr w:type="spellEnd"/>
      <w:r w:rsidRPr="00AB2C2F">
        <w:rPr>
          <w:b/>
          <w:sz w:val="20"/>
          <w:szCs w:val="20"/>
          <w:vertAlign w:val="subscript"/>
        </w:rPr>
        <w:t xml:space="preserve">  </w:t>
      </w:r>
      <w:proofErr w:type="spellStart"/>
      <w:r w:rsidRPr="00AB2C2F">
        <w:rPr>
          <w:b/>
          <w:sz w:val="20"/>
          <w:szCs w:val="20"/>
        </w:rPr>
        <w:t>Industry</w:t>
      </w:r>
      <w:r w:rsidRPr="00AB2C2F">
        <w:rPr>
          <w:b/>
          <w:sz w:val="20"/>
          <w:szCs w:val="20"/>
          <w:vertAlign w:val="subscript"/>
        </w:rPr>
        <w:t>i</w:t>
      </w:r>
      <w:proofErr w:type="spellEnd"/>
      <w:r w:rsidRPr="00AB2C2F">
        <w:rPr>
          <w:b/>
          <w:sz w:val="20"/>
          <w:szCs w:val="20"/>
          <w:vertAlign w:val="subscript"/>
        </w:rPr>
        <w:t xml:space="preserve"> </w:t>
      </w:r>
      <w:r w:rsidRPr="00AB2C2F">
        <w:rPr>
          <w:b/>
          <w:sz w:val="20"/>
          <w:szCs w:val="20"/>
        </w:rPr>
        <w:t xml:space="preserve">+ </w:t>
      </w:r>
      <w:proofErr w:type="spellStart"/>
      <w:r w:rsidRPr="00AB2C2F">
        <w:rPr>
          <w:b/>
          <w:sz w:val="20"/>
          <w:szCs w:val="20"/>
        </w:rPr>
        <w:t>γ</w:t>
      </w:r>
      <w:r w:rsidRPr="00AB2C2F">
        <w:rPr>
          <w:b/>
          <w:sz w:val="20"/>
          <w:szCs w:val="20"/>
          <w:vertAlign w:val="subscript"/>
        </w:rPr>
        <w:t>i</w:t>
      </w:r>
      <w:proofErr w:type="spellEnd"/>
      <w:r w:rsidRPr="00AB2C2F">
        <w:rPr>
          <w:b/>
          <w:sz w:val="20"/>
          <w:szCs w:val="20"/>
          <w:vertAlign w:val="subscript"/>
        </w:rPr>
        <w:t xml:space="preserve"> </w:t>
      </w:r>
      <w:proofErr w:type="spellStart"/>
      <w:r w:rsidRPr="00AB2C2F">
        <w:rPr>
          <w:b/>
          <w:sz w:val="20"/>
          <w:szCs w:val="20"/>
        </w:rPr>
        <w:t>Year</w:t>
      </w:r>
      <w:r w:rsidRPr="00AB2C2F">
        <w:rPr>
          <w:b/>
          <w:sz w:val="20"/>
          <w:szCs w:val="20"/>
          <w:vertAlign w:val="subscript"/>
        </w:rPr>
        <w:t>i</w:t>
      </w:r>
      <w:proofErr w:type="spellEnd"/>
      <w:r w:rsidRPr="00AB2C2F">
        <w:rPr>
          <w:b/>
          <w:sz w:val="20"/>
          <w:szCs w:val="20"/>
        </w:rPr>
        <w:t xml:space="preserve"> + </w:t>
      </w:r>
      <w:r w:rsidRPr="00AB2C2F">
        <w:rPr>
          <w:b/>
          <w:sz w:val="20"/>
          <w:szCs w:val="20"/>
        </w:rPr>
        <w:sym w:font="Symbol" w:char="F067"/>
      </w:r>
      <w:r w:rsidRPr="00AB2C2F">
        <w:rPr>
          <w:b/>
          <w:sz w:val="20"/>
          <w:szCs w:val="20"/>
          <w:vertAlign w:val="subscript"/>
        </w:rPr>
        <w:t>1</w:t>
      </w:r>
      <w:r w:rsidRPr="00AB2C2F">
        <w:rPr>
          <w:b/>
          <w:sz w:val="20"/>
          <w:szCs w:val="20"/>
        </w:rPr>
        <w:t xml:space="preserve"> Experience +</w:t>
      </w:r>
      <w:r w:rsidRPr="00AB2C2F">
        <w:rPr>
          <w:b/>
          <w:sz w:val="20"/>
          <w:szCs w:val="20"/>
        </w:rPr>
        <w:sym w:font="Symbol" w:char="F067"/>
      </w:r>
      <w:r w:rsidRPr="00AB2C2F">
        <w:rPr>
          <w:b/>
          <w:sz w:val="20"/>
          <w:szCs w:val="20"/>
          <w:vertAlign w:val="subscript"/>
        </w:rPr>
        <w:t>2</w:t>
      </w:r>
      <w:r w:rsidRPr="00AB2C2F">
        <w:rPr>
          <w:b/>
          <w:sz w:val="20"/>
          <w:szCs w:val="20"/>
        </w:rPr>
        <w:t xml:space="preserve"> IPO Underwriter +</w:t>
      </w:r>
      <w:r w:rsidRPr="00AB2C2F">
        <w:rPr>
          <w:b/>
          <w:sz w:val="20"/>
          <w:szCs w:val="20"/>
        </w:rPr>
        <w:sym w:font="Symbol" w:char="F067"/>
      </w:r>
      <w:r w:rsidRPr="00AB2C2F">
        <w:rPr>
          <w:b/>
          <w:sz w:val="20"/>
          <w:szCs w:val="20"/>
          <w:vertAlign w:val="subscript"/>
        </w:rPr>
        <w:t>3</w:t>
      </w:r>
      <w:r w:rsidRPr="00AB2C2F">
        <w:rPr>
          <w:b/>
          <w:sz w:val="20"/>
          <w:szCs w:val="20"/>
        </w:rPr>
        <w:t xml:space="preserve"> IPO Co-Manager +</w:t>
      </w:r>
      <w:r w:rsidRPr="00AB2C2F">
        <w:rPr>
          <w:b/>
          <w:sz w:val="20"/>
          <w:szCs w:val="20"/>
        </w:rPr>
        <w:sym w:font="Symbol" w:char="F067"/>
      </w:r>
      <w:r w:rsidRPr="00AB2C2F">
        <w:rPr>
          <w:b/>
          <w:sz w:val="20"/>
          <w:szCs w:val="20"/>
          <w:vertAlign w:val="subscript"/>
        </w:rPr>
        <w:t>4</w:t>
      </w:r>
      <w:r w:rsidRPr="00AB2C2F">
        <w:rPr>
          <w:b/>
          <w:sz w:val="20"/>
          <w:szCs w:val="20"/>
        </w:rPr>
        <w:t xml:space="preserve"> SEO Underwriter +</w:t>
      </w:r>
      <w:r w:rsidRPr="00AB2C2F">
        <w:rPr>
          <w:b/>
          <w:sz w:val="20"/>
          <w:szCs w:val="20"/>
        </w:rPr>
        <w:sym w:font="Symbol" w:char="F067"/>
      </w:r>
      <w:r w:rsidRPr="00AB2C2F">
        <w:rPr>
          <w:b/>
          <w:sz w:val="20"/>
          <w:szCs w:val="20"/>
          <w:vertAlign w:val="subscript"/>
        </w:rPr>
        <w:t>5</w:t>
      </w:r>
      <w:r w:rsidRPr="00AB2C2F">
        <w:rPr>
          <w:b/>
          <w:sz w:val="20"/>
          <w:szCs w:val="20"/>
        </w:rPr>
        <w:t xml:space="preserve"> SEO Underwriter Co-Manager + µ</w:t>
      </w:r>
      <w:r w:rsidRPr="00AB2C2F">
        <w:rPr>
          <w:b/>
          <w:sz w:val="20"/>
          <w:szCs w:val="20"/>
          <w:vertAlign w:val="subscript"/>
        </w:rPr>
        <w:t xml:space="preserve"> </w:t>
      </w:r>
      <w:r w:rsidRPr="00AB2C2F">
        <w:rPr>
          <w:b/>
          <w:sz w:val="20"/>
          <w:szCs w:val="20"/>
        </w:rPr>
        <w:t xml:space="preserve"> </w:t>
      </w:r>
    </w:p>
    <w:p w:rsidR="00C731E1" w:rsidRPr="00AB2C2F" w:rsidRDefault="00C731E1">
      <w:pPr>
        <w:ind w:left="720"/>
        <w:rPr>
          <w:b/>
          <w:sz w:val="20"/>
          <w:szCs w:val="20"/>
        </w:rPr>
      </w:pPr>
    </w:p>
    <w:p w:rsidR="00903D89" w:rsidRDefault="0017727A">
      <w:pPr>
        <w:rPr>
          <w:b/>
          <w:sz w:val="20"/>
          <w:szCs w:val="20"/>
        </w:rPr>
      </w:pPr>
      <w:r w:rsidRPr="00316ED4">
        <w:rPr>
          <w:b/>
          <w:sz w:val="20"/>
          <w:szCs w:val="20"/>
        </w:rPr>
        <w:t>PANEL</w:t>
      </w:r>
      <w:r w:rsidR="00E10546" w:rsidRPr="00316ED4">
        <w:rPr>
          <w:b/>
          <w:sz w:val="20"/>
          <w:szCs w:val="20"/>
        </w:rPr>
        <w:t xml:space="preserve"> A</w:t>
      </w:r>
      <w:r w:rsidR="00C731E1" w:rsidRPr="00316ED4">
        <w:rPr>
          <w:b/>
          <w:sz w:val="20"/>
          <w:szCs w:val="20"/>
        </w:rPr>
        <w:t xml:space="preserve"> - 1</w:t>
      </w:r>
      <w:r w:rsidR="00C731E1" w:rsidRPr="00316ED4">
        <w:rPr>
          <w:b/>
          <w:sz w:val="20"/>
          <w:szCs w:val="20"/>
          <w:vertAlign w:val="superscript"/>
        </w:rPr>
        <w:t>st</w:t>
      </w:r>
      <w:r w:rsidR="00C731E1" w:rsidRPr="00316ED4">
        <w:rPr>
          <w:b/>
          <w:sz w:val="20"/>
          <w:szCs w:val="20"/>
        </w:rPr>
        <w:t xml:space="preserve"> Stage </w:t>
      </w:r>
      <w:proofErr w:type="spellStart"/>
      <w:r w:rsidR="00C731E1" w:rsidRPr="00316ED4">
        <w:rPr>
          <w:b/>
          <w:sz w:val="20"/>
          <w:szCs w:val="20"/>
        </w:rPr>
        <w:t>Probit</w:t>
      </w:r>
      <w:proofErr w:type="spellEnd"/>
    </w:p>
    <w:p w:rsidR="001D174D" w:rsidRPr="00316ED4" w:rsidRDefault="001D174D">
      <w:pPr>
        <w:rPr>
          <w:b/>
          <w:sz w:val="20"/>
          <w:szCs w:val="20"/>
        </w:rPr>
      </w:pP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82"/>
        <w:gridCol w:w="2582"/>
        <w:gridCol w:w="544"/>
        <w:gridCol w:w="1901"/>
      </w:tblGrid>
      <w:tr w:rsidR="00903D89" w:rsidRPr="00BD04E4">
        <w:trPr>
          <w:jc w:val="center"/>
        </w:trPr>
        <w:tc>
          <w:tcPr>
            <w:tcW w:w="0" w:type="auto"/>
          </w:tcPr>
          <w:p w:rsidR="00903D89" w:rsidRPr="00A3582C" w:rsidRDefault="00903D89">
            <w:pPr>
              <w:rPr>
                <w:b/>
                <w:sz w:val="20"/>
                <w:szCs w:val="20"/>
              </w:rPr>
            </w:pPr>
          </w:p>
        </w:tc>
        <w:tc>
          <w:tcPr>
            <w:tcW w:w="0" w:type="auto"/>
          </w:tcPr>
          <w:p w:rsidR="00903D89" w:rsidRPr="00A3582C" w:rsidRDefault="00903D89">
            <w:pPr>
              <w:rPr>
                <w:sz w:val="20"/>
                <w:szCs w:val="20"/>
              </w:rPr>
            </w:pPr>
          </w:p>
        </w:tc>
        <w:tc>
          <w:tcPr>
            <w:tcW w:w="0" w:type="auto"/>
            <w:gridSpan w:val="3"/>
          </w:tcPr>
          <w:p w:rsidR="00903D89" w:rsidRPr="00A3582C" w:rsidRDefault="00903D89">
            <w:pPr>
              <w:jc w:val="center"/>
              <w:rPr>
                <w:b/>
                <w:sz w:val="20"/>
                <w:szCs w:val="20"/>
              </w:rPr>
            </w:pPr>
          </w:p>
        </w:tc>
      </w:tr>
      <w:tr w:rsidR="00903D89" w:rsidRPr="00BD04E4">
        <w:trPr>
          <w:jc w:val="center"/>
        </w:trPr>
        <w:tc>
          <w:tcPr>
            <w:tcW w:w="0" w:type="auto"/>
          </w:tcPr>
          <w:p w:rsidR="00903D89" w:rsidRPr="00A3582C" w:rsidRDefault="00903D89">
            <w:pPr>
              <w:rPr>
                <w:sz w:val="20"/>
                <w:szCs w:val="20"/>
              </w:rPr>
            </w:pPr>
          </w:p>
        </w:tc>
        <w:tc>
          <w:tcPr>
            <w:tcW w:w="0" w:type="auto"/>
          </w:tcPr>
          <w:p w:rsidR="00903D89" w:rsidRPr="00A3582C" w:rsidRDefault="00903D89">
            <w:pPr>
              <w:rPr>
                <w:sz w:val="20"/>
                <w:szCs w:val="20"/>
              </w:rPr>
            </w:pPr>
          </w:p>
        </w:tc>
        <w:tc>
          <w:tcPr>
            <w:tcW w:w="0" w:type="auto"/>
          </w:tcPr>
          <w:p w:rsidR="00903D89" w:rsidRPr="00A3582C" w:rsidRDefault="00903D89">
            <w:pPr>
              <w:jc w:val="center"/>
              <w:rPr>
                <w:b/>
                <w:sz w:val="20"/>
                <w:szCs w:val="20"/>
              </w:rPr>
            </w:pPr>
            <w:r w:rsidRPr="00A3582C">
              <w:rPr>
                <w:b/>
                <w:sz w:val="20"/>
                <w:szCs w:val="20"/>
              </w:rPr>
              <w:t>Coefficient</w:t>
            </w:r>
          </w:p>
        </w:tc>
        <w:tc>
          <w:tcPr>
            <w:tcW w:w="0" w:type="auto"/>
          </w:tcPr>
          <w:p w:rsidR="00903D89" w:rsidRPr="00A3582C" w:rsidRDefault="00903D89">
            <w:pPr>
              <w:rPr>
                <w:sz w:val="20"/>
                <w:szCs w:val="20"/>
              </w:rPr>
            </w:pPr>
          </w:p>
        </w:tc>
        <w:tc>
          <w:tcPr>
            <w:tcW w:w="0" w:type="auto"/>
          </w:tcPr>
          <w:p w:rsidR="00903D89" w:rsidRPr="00A3582C" w:rsidRDefault="00903D89">
            <w:pPr>
              <w:jc w:val="center"/>
              <w:rPr>
                <w:b/>
                <w:sz w:val="20"/>
                <w:szCs w:val="20"/>
              </w:rPr>
            </w:pPr>
            <w:r w:rsidRPr="00A3582C">
              <w:rPr>
                <w:b/>
                <w:sz w:val="20"/>
                <w:szCs w:val="20"/>
              </w:rPr>
              <w:t>Z-Statistic</w:t>
            </w:r>
          </w:p>
        </w:tc>
      </w:tr>
      <w:tr w:rsidR="00903D89" w:rsidRPr="00BD04E4">
        <w:trPr>
          <w:jc w:val="center"/>
        </w:trPr>
        <w:tc>
          <w:tcPr>
            <w:tcW w:w="0" w:type="auto"/>
          </w:tcPr>
          <w:p w:rsidR="00903D89" w:rsidRPr="00A3582C" w:rsidRDefault="00903D89">
            <w:pPr>
              <w:rPr>
                <w:sz w:val="20"/>
                <w:szCs w:val="20"/>
              </w:rPr>
            </w:pPr>
            <w:r w:rsidRPr="00A3582C">
              <w:rPr>
                <w:sz w:val="20"/>
                <w:szCs w:val="20"/>
              </w:rPr>
              <w:t>Intercept</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-1.19</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-15.1</w:t>
            </w:r>
          </w:p>
        </w:tc>
      </w:tr>
      <w:tr w:rsidR="00903D89" w:rsidRPr="00BD04E4">
        <w:trPr>
          <w:jc w:val="center"/>
        </w:trPr>
        <w:tc>
          <w:tcPr>
            <w:tcW w:w="0" w:type="auto"/>
          </w:tcPr>
          <w:p w:rsidR="00903D89" w:rsidRPr="00A3582C" w:rsidRDefault="00903D89">
            <w:pPr>
              <w:rPr>
                <w:sz w:val="20"/>
                <w:szCs w:val="20"/>
              </w:rPr>
            </w:pPr>
            <w:r w:rsidRPr="00A3582C">
              <w:rPr>
                <w:sz w:val="20"/>
                <w:szCs w:val="20"/>
              </w:rPr>
              <w:t>IPO Underwriter</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0.460</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2.54</w:t>
            </w:r>
          </w:p>
        </w:tc>
      </w:tr>
      <w:tr w:rsidR="00903D89" w:rsidRPr="00BD04E4">
        <w:trPr>
          <w:jc w:val="center"/>
        </w:trPr>
        <w:tc>
          <w:tcPr>
            <w:tcW w:w="0" w:type="auto"/>
          </w:tcPr>
          <w:p w:rsidR="00903D89" w:rsidRPr="00A3582C" w:rsidRDefault="00903D89">
            <w:pPr>
              <w:rPr>
                <w:sz w:val="20"/>
                <w:szCs w:val="20"/>
              </w:rPr>
            </w:pPr>
            <w:r w:rsidRPr="00A3582C">
              <w:rPr>
                <w:sz w:val="20"/>
                <w:szCs w:val="20"/>
              </w:rPr>
              <w:t>IPO Co-manager</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0.690</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6.88</w:t>
            </w:r>
          </w:p>
        </w:tc>
      </w:tr>
      <w:tr w:rsidR="00903D89" w:rsidRPr="00BD04E4">
        <w:trPr>
          <w:jc w:val="center"/>
        </w:trPr>
        <w:tc>
          <w:tcPr>
            <w:tcW w:w="0" w:type="auto"/>
          </w:tcPr>
          <w:p w:rsidR="00903D89" w:rsidRPr="00A3582C" w:rsidRDefault="00903D89">
            <w:pPr>
              <w:rPr>
                <w:sz w:val="20"/>
                <w:szCs w:val="20"/>
              </w:rPr>
            </w:pPr>
            <w:r w:rsidRPr="00A3582C">
              <w:rPr>
                <w:sz w:val="20"/>
                <w:szCs w:val="20"/>
              </w:rPr>
              <w:t>SEO Underwriter</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0.759</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6.58</w:t>
            </w:r>
          </w:p>
        </w:tc>
      </w:tr>
      <w:tr w:rsidR="00903D89" w:rsidRPr="00BD04E4">
        <w:trPr>
          <w:jc w:val="center"/>
        </w:trPr>
        <w:tc>
          <w:tcPr>
            <w:tcW w:w="0" w:type="auto"/>
          </w:tcPr>
          <w:p w:rsidR="00903D89" w:rsidRPr="00A3582C" w:rsidRDefault="00903D89">
            <w:pPr>
              <w:rPr>
                <w:sz w:val="20"/>
                <w:szCs w:val="20"/>
              </w:rPr>
            </w:pPr>
            <w:r w:rsidRPr="00A3582C">
              <w:rPr>
                <w:sz w:val="20"/>
                <w:szCs w:val="20"/>
              </w:rPr>
              <w:t>SEO Co-manager</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0.510</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6.31</w:t>
            </w:r>
          </w:p>
        </w:tc>
      </w:tr>
      <w:tr w:rsidR="00903D89" w:rsidRPr="00BD04E4">
        <w:trPr>
          <w:jc w:val="center"/>
        </w:trPr>
        <w:tc>
          <w:tcPr>
            <w:tcW w:w="0" w:type="auto"/>
          </w:tcPr>
          <w:p w:rsidR="00903D89" w:rsidRPr="00A3582C" w:rsidRDefault="00903D89">
            <w:pPr>
              <w:rPr>
                <w:sz w:val="20"/>
                <w:szCs w:val="20"/>
              </w:rPr>
            </w:pPr>
            <w:r w:rsidRPr="00A3582C">
              <w:rPr>
                <w:sz w:val="20"/>
                <w:szCs w:val="20"/>
              </w:rPr>
              <w:t>Experience</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-0.007</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-2.45</w:t>
            </w:r>
          </w:p>
        </w:tc>
      </w:tr>
      <w:tr w:rsidR="00903D89" w:rsidRPr="00BD04E4">
        <w:trPr>
          <w:jc w:val="center"/>
        </w:trPr>
        <w:tc>
          <w:tcPr>
            <w:tcW w:w="0" w:type="auto"/>
          </w:tcPr>
          <w:p w:rsidR="00903D89" w:rsidRPr="00A3582C" w:rsidRDefault="00903D89">
            <w:pPr>
              <w:rPr>
                <w:sz w:val="20"/>
                <w:szCs w:val="20"/>
              </w:rPr>
            </w:pPr>
            <w:r w:rsidRPr="00A3582C">
              <w:rPr>
                <w:sz w:val="20"/>
                <w:szCs w:val="20"/>
              </w:rPr>
              <w:t>Year Dummies</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Yes</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p>
        </w:tc>
      </w:tr>
      <w:tr w:rsidR="00903D89" w:rsidRPr="00BD04E4">
        <w:trPr>
          <w:jc w:val="center"/>
        </w:trPr>
        <w:tc>
          <w:tcPr>
            <w:tcW w:w="0" w:type="auto"/>
          </w:tcPr>
          <w:p w:rsidR="00903D89" w:rsidRPr="00A3582C" w:rsidRDefault="00903D89">
            <w:pPr>
              <w:rPr>
                <w:sz w:val="20"/>
                <w:szCs w:val="20"/>
              </w:rPr>
            </w:pPr>
            <w:r w:rsidRPr="00A3582C">
              <w:rPr>
                <w:sz w:val="20"/>
                <w:szCs w:val="20"/>
              </w:rPr>
              <w:t>Industry Dummies</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Yes</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p>
        </w:tc>
      </w:tr>
      <w:tr w:rsidR="00903D89" w:rsidRPr="00BD04E4">
        <w:trPr>
          <w:jc w:val="center"/>
        </w:trPr>
        <w:tc>
          <w:tcPr>
            <w:tcW w:w="0" w:type="auto"/>
          </w:tcPr>
          <w:p w:rsidR="00903D89" w:rsidRPr="00A3582C" w:rsidRDefault="00903D89">
            <w:pPr>
              <w:jc w:val="right"/>
              <w:rPr>
                <w:b/>
                <w:sz w:val="20"/>
                <w:szCs w:val="20"/>
              </w:rPr>
            </w:pPr>
            <w:r w:rsidRPr="00A3582C">
              <w:rPr>
                <w:b/>
                <w:sz w:val="20"/>
                <w:szCs w:val="20"/>
              </w:rPr>
              <w:t xml:space="preserve"> Wald Χ</w:t>
            </w:r>
            <w:r w:rsidRPr="00A3582C">
              <w:rPr>
                <w:b/>
                <w:sz w:val="20"/>
                <w:szCs w:val="20"/>
                <w:vertAlign w:val="superscript"/>
              </w:rPr>
              <w:t>2</w:t>
            </w:r>
            <w:r w:rsidRPr="00A3582C">
              <w:rPr>
                <w:b/>
                <w:sz w:val="20"/>
                <w:szCs w:val="20"/>
              </w:rPr>
              <w:t>=3.38</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Prob</w:t>
            </w:r>
            <w:r w:rsidR="004D4C59">
              <w:rPr>
                <w:sz w:val="20"/>
                <w:szCs w:val="20"/>
              </w:rPr>
              <w:t>.</w:t>
            </w:r>
            <w:r w:rsidRPr="00A3582C">
              <w:rPr>
                <w:sz w:val="20"/>
                <w:szCs w:val="20"/>
              </w:rPr>
              <w:t xml:space="preserve"> (</w:t>
            </w:r>
            <w:r w:rsidRPr="00A3582C">
              <w:rPr>
                <w:b/>
                <w:sz w:val="20"/>
                <w:szCs w:val="20"/>
              </w:rPr>
              <w:t>Χ</w:t>
            </w:r>
            <w:r w:rsidRPr="00A3582C">
              <w:rPr>
                <w:b/>
                <w:sz w:val="20"/>
                <w:szCs w:val="20"/>
                <w:vertAlign w:val="superscript"/>
              </w:rPr>
              <w:t>2</w:t>
            </w:r>
            <w:r w:rsidRPr="00A3582C">
              <w:rPr>
                <w:b/>
                <w:sz w:val="20"/>
                <w:szCs w:val="20"/>
              </w:rPr>
              <w:t>)=.066</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p>
        </w:tc>
      </w:tr>
    </w:tbl>
    <w:p w:rsidR="00903D89" w:rsidRPr="00BD04E4" w:rsidRDefault="00903D89"/>
    <w:p w:rsidR="00C731E1" w:rsidRPr="00BD04E4" w:rsidRDefault="00C731E1" w:rsidP="00C731E1">
      <w:pPr>
        <w:rPr>
          <w:b/>
        </w:rPr>
      </w:pPr>
      <w:r>
        <w:rPr>
          <w:b/>
        </w:rPr>
        <w:br w:type="page"/>
      </w:r>
      <w:r w:rsidRPr="00BD04E4">
        <w:rPr>
          <w:b/>
        </w:rPr>
        <w:lastRenderedPageBreak/>
        <w:t xml:space="preserve">Table </w:t>
      </w:r>
      <w:r w:rsidR="00E817C9">
        <w:rPr>
          <w:b/>
        </w:rPr>
        <w:t>7</w:t>
      </w:r>
      <w:r w:rsidR="0072020C">
        <w:rPr>
          <w:b/>
        </w:rPr>
        <w:t>, continued</w:t>
      </w:r>
      <w:r>
        <w:rPr>
          <w:b/>
        </w:rPr>
        <w:t xml:space="preserve"> </w:t>
      </w:r>
    </w:p>
    <w:p w:rsidR="00C731E1" w:rsidRPr="00BD04E4" w:rsidRDefault="00C731E1" w:rsidP="00C731E1">
      <w:r w:rsidRPr="00BD04E4">
        <w:rPr>
          <w:b/>
        </w:rPr>
        <w:t>Forecast Error Pooled Treatment Regression – Disclosing Sample</w:t>
      </w:r>
    </w:p>
    <w:p w:rsidR="00C731E1" w:rsidRDefault="00C731E1" w:rsidP="00C731E1"/>
    <w:p w:rsidR="00C731E1" w:rsidRDefault="00C731E1" w:rsidP="00C731E1">
      <w:pPr>
        <w:rPr>
          <w:sz w:val="20"/>
          <w:szCs w:val="20"/>
        </w:rPr>
      </w:pPr>
      <w:r w:rsidRPr="00AB2C2F">
        <w:rPr>
          <w:sz w:val="20"/>
          <w:szCs w:val="20"/>
        </w:rPr>
        <w:t>This table analyzes the effect of analyst stock ownership on analyst forecast bias</w:t>
      </w:r>
      <w:r w:rsidR="009E7167">
        <w:rPr>
          <w:sz w:val="20"/>
          <w:szCs w:val="20"/>
        </w:rPr>
        <w:t>,</w:t>
      </w:r>
      <w:r w:rsidRPr="00AB2C2F">
        <w:rPr>
          <w:sz w:val="20"/>
          <w:szCs w:val="20"/>
        </w:rPr>
        <w:t xml:space="preserve"> controlling for the </w:t>
      </w:r>
      <w:r>
        <w:rPr>
          <w:sz w:val="20"/>
          <w:szCs w:val="20"/>
        </w:rPr>
        <w:t>fact that</w:t>
      </w:r>
      <w:r w:rsidRPr="00AB2C2F">
        <w:rPr>
          <w:sz w:val="20"/>
          <w:szCs w:val="20"/>
        </w:rPr>
        <w:t xml:space="preserve"> </w:t>
      </w:r>
      <w:r>
        <w:rPr>
          <w:sz w:val="20"/>
          <w:szCs w:val="20"/>
        </w:rPr>
        <w:t xml:space="preserve">stock </w:t>
      </w:r>
      <w:r w:rsidRPr="00AB2C2F">
        <w:rPr>
          <w:sz w:val="20"/>
          <w:szCs w:val="20"/>
        </w:rPr>
        <w:t xml:space="preserve">ownership </w:t>
      </w:r>
      <w:r>
        <w:rPr>
          <w:sz w:val="20"/>
          <w:szCs w:val="20"/>
        </w:rPr>
        <w:t>is endogenous; by the use of a treatment regression (</w:t>
      </w:r>
      <w:r w:rsidR="00E817C9">
        <w:rPr>
          <w:sz w:val="20"/>
          <w:szCs w:val="20"/>
        </w:rPr>
        <w:t>Table 4</w:t>
      </w:r>
      <w:r w:rsidR="00066341">
        <w:rPr>
          <w:sz w:val="20"/>
          <w:szCs w:val="20"/>
        </w:rPr>
        <w:t xml:space="preserve"> ignores the </w:t>
      </w:r>
      <w:r w:rsidR="00AE2A4E">
        <w:rPr>
          <w:sz w:val="20"/>
          <w:szCs w:val="20"/>
        </w:rPr>
        <w:t>self-selection</w:t>
      </w:r>
      <w:r w:rsidR="00066341">
        <w:rPr>
          <w:sz w:val="20"/>
          <w:szCs w:val="20"/>
        </w:rPr>
        <w:t xml:space="preserve"> issue</w:t>
      </w:r>
      <w:r>
        <w:rPr>
          <w:sz w:val="20"/>
          <w:szCs w:val="20"/>
        </w:rPr>
        <w:t>)</w:t>
      </w:r>
      <w:r w:rsidRPr="00AB2C2F">
        <w:rPr>
          <w:sz w:val="20"/>
          <w:szCs w:val="20"/>
        </w:rPr>
        <w:t xml:space="preserve">.  </w:t>
      </w:r>
      <w:r w:rsidRPr="008F0764">
        <w:rPr>
          <w:sz w:val="20"/>
          <w:szCs w:val="20"/>
        </w:rPr>
        <w:t xml:space="preserve">Owning analysts are identified as sell-side analysts that provide research coverage on a company and disclose ownership in that same company. </w:t>
      </w:r>
      <w:r>
        <w:rPr>
          <w:sz w:val="20"/>
          <w:szCs w:val="20"/>
        </w:rPr>
        <w:t xml:space="preserve"> </w:t>
      </w:r>
      <w:r>
        <w:rPr>
          <w:b/>
          <w:sz w:val="20"/>
          <w:szCs w:val="20"/>
        </w:rPr>
        <w:t xml:space="preserve">Forecast error </w:t>
      </w:r>
      <w:r>
        <w:rPr>
          <w:sz w:val="20"/>
          <w:szCs w:val="20"/>
        </w:rPr>
        <w:t xml:space="preserve">is actual earnings for the quarter less the analyst’s earnings forecast all deflated by lagged stock price. </w:t>
      </w:r>
      <w:r w:rsidRPr="00AF353C">
        <w:rPr>
          <w:b/>
          <w:sz w:val="20"/>
          <w:szCs w:val="20"/>
        </w:rPr>
        <w:t>Own</w:t>
      </w:r>
      <w:r>
        <w:rPr>
          <w:sz w:val="20"/>
          <w:szCs w:val="20"/>
        </w:rPr>
        <w:t xml:space="preserve"> is a </w:t>
      </w:r>
      <w:r w:rsidRPr="00AF353C">
        <w:rPr>
          <w:sz w:val="20"/>
          <w:szCs w:val="20"/>
        </w:rPr>
        <w:t>dummy variable</w:t>
      </w:r>
      <w:r>
        <w:rPr>
          <w:sz w:val="20"/>
          <w:szCs w:val="20"/>
        </w:rPr>
        <w:t xml:space="preserve"> indicating whether the analyst owns the stock on which she issues a report. </w:t>
      </w:r>
      <w:r w:rsidRPr="00AF353C">
        <w:rPr>
          <w:b/>
          <w:sz w:val="20"/>
          <w:szCs w:val="20"/>
        </w:rPr>
        <w:t>IPO Underwriter</w:t>
      </w:r>
      <w:r>
        <w:rPr>
          <w:b/>
          <w:sz w:val="20"/>
          <w:szCs w:val="20"/>
        </w:rPr>
        <w:t xml:space="preserve"> </w:t>
      </w:r>
      <w:r w:rsidRPr="00AF353C">
        <w:rPr>
          <w:sz w:val="20"/>
          <w:szCs w:val="20"/>
        </w:rPr>
        <w:t>is a</w:t>
      </w:r>
      <w:r>
        <w:rPr>
          <w:b/>
          <w:sz w:val="20"/>
          <w:szCs w:val="20"/>
        </w:rPr>
        <w:t xml:space="preserve"> </w:t>
      </w:r>
      <w:r w:rsidRPr="00AF353C">
        <w:rPr>
          <w:sz w:val="20"/>
          <w:szCs w:val="20"/>
        </w:rPr>
        <w:t>dummy variable</w:t>
      </w:r>
      <w:r>
        <w:rPr>
          <w:sz w:val="20"/>
          <w:szCs w:val="20"/>
        </w:rPr>
        <w:t xml:space="preserve"> indicating whether the</w:t>
      </w:r>
      <w:r w:rsidRPr="00AF353C">
        <w:rPr>
          <w:sz w:val="20"/>
          <w:szCs w:val="20"/>
        </w:rPr>
        <w:t xml:space="preserve"> analyst's</w:t>
      </w:r>
      <w:r>
        <w:rPr>
          <w:sz w:val="20"/>
          <w:szCs w:val="20"/>
        </w:rPr>
        <w:t xml:space="preserve"> brokerage</w:t>
      </w:r>
      <w:r w:rsidRPr="00AF353C">
        <w:rPr>
          <w:sz w:val="20"/>
          <w:szCs w:val="20"/>
        </w:rPr>
        <w:t xml:space="preserve"> firm is the IPO l</w:t>
      </w:r>
      <w:r>
        <w:rPr>
          <w:sz w:val="20"/>
          <w:szCs w:val="20"/>
        </w:rPr>
        <w:t>ead underwriter and the analyst report</w:t>
      </w:r>
      <w:r w:rsidRPr="00AF353C">
        <w:rPr>
          <w:sz w:val="20"/>
          <w:szCs w:val="20"/>
        </w:rPr>
        <w:t xml:space="preserve"> is issued within one year after the IPO.</w:t>
      </w:r>
      <w:r>
        <w:rPr>
          <w:sz w:val="20"/>
          <w:szCs w:val="20"/>
        </w:rPr>
        <w:t xml:space="preserve">  </w:t>
      </w:r>
      <w:r w:rsidRPr="00AF353C">
        <w:rPr>
          <w:b/>
          <w:sz w:val="20"/>
          <w:szCs w:val="20"/>
        </w:rPr>
        <w:t>IPO Co-manager</w:t>
      </w:r>
      <w:r>
        <w:rPr>
          <w:b/>
          <w:sz w:val="20"/>
          <w:szCs w:val="20"/>
        </w:rPr>
        <w:t xml:space="preserve"> </w:t>
      </w:r>
      <w:r w:rsidRPr="006B30B6">
        <w:rPr>
          <w:sz w:val="20"/>
          <w:szCs w:val="20"/>
        </w:rPr>
        <w:t>is defined in the same way.</w:t>
      </w:r>
      <w:r>
        <w:rPr>
          <w:sz w:val="20"/>
          <w:szCs w:val="20"/>
        </w:rPr>
        <w:t xml:space="preserve">  </w:t>
      </w:r>
      <w:r w:rsidRPr="00AF353C">
        <w:rPr>
          <w:b/>
          <w:sz w:val="20"/>
          <w:szCs w:val="20"/>
        </w:rPr>
        <w:t>SEO Underwriter</w:t>
      </w:r>
      <w:r>
        <w:rPr>
          <w:b/>
          <w:sz w:val="20"/>
          <w:szCs w:val="20"/>
        </w:rPr>
        <w:t xml:space="preserve"> </w:t>
      </w:r>
      <w:r w:rsidRPr="006B30B6">
        <w:rPr>
          <w:sz w:val="20"/>
          <w:szCs w:val="20"/>
        </w:rPr>
        <w:t>is a</w:t>
      </w:r>
      <w:r>
        <w:rPr>
          <w:sz w:val="20"/>
          <w:szCs w:val="20"/>
        </w:rPr>
        <w:t xml:space="preserve"> </w:t>
      </w:r>
      <w:r w:rsidRPr="00AF353C">
        <w:rPr>
          <w:sz w:val="20"/>
          <w:szCs w:val="20"/>
        </w:rPr>
        <w:t>dummy variable</w:t>
      </w:r>
      <w:r>
        <w:rPr>
          <w:sz w:val="20"/>
          <w:szCs w:val="20"/>
        </w:rPr>
        <w:t xml:space="preserve"> indicating whether the</w:t>
      </w:r>
      <w:r w:rsidRPr="00AF353C">
        <w:rPr>
          <w:sz w:val="20"/>
          <w:szCs w:val="20"/>
        </w:rPr>
        <w:t xml:space="preserve"> analyst's </w:t>
      </w:r>
      <w:r>
        <w:rPr>
          <w:sz w:val="20"/>
          <w:szCs w:val="20"/>
        </w:rPr>
        <w:t xml:space="preserve">brokerage </w:t>
      </w:r>
      <w:r w:rsidRPr="00AF353C">
        <w:rPr>
          <w:sz w:val="20"/>
          <w:szCs w:val="20"/>
        </w:rPr>
        <w:t>firm is the SEO l</w:t>
      </w:r>
      <w:r>
        <w:rPr>
          <w:sz w:val="20"/>
          <w:szCs w:val="20"/>
        </w:rPr>
        <w:t>ead underwriter and the analyst report</w:t>
      </w:r>
      <w:r w:rsidRPr="00AF353C">
        <w:rPr>
          <w:sz w:val="20"/>
          <w:szCs w:val="20"/>
        </w:rPr>
        <w:t xml:space="preserve"> is issued within six months before and one year after the SEO.</w:t>
      </w:r>
      <w:r>
        <w:rPr>
          <w:sz w:val="20"/>
          <w:szCs w:val="20"/>
        </w:rPr>
        <w:t xml:space="preserve">  </w:t>
      </w:r>
      <w:r w:rsidRPr="00AF353C">
        <w:rPr>
          <w:b/>
          <w:sz w:val="20"/>
          <w:szCs w:val="20"/>
        </w:rPr>
        <w:t>SEO Co-manager</w:t>
      </w:r>
      <w:r>
        <w:rPr>
          <w:sz w:val="20"/>
          <w:szCs w:val="20"/>
        </w:rPr>
        <w:t xml:space="preserve"> is defined the same way.  </w:t>
      </w:r>
      <w:r w:rsidRPr="0026291C">
        <w:rPr>
          <w:b/>
          <w:sz w:val="20"/>
          <w:szCs w:val="20"/>
        </w:rPr>
        <w:t>Forecast age</w:t>
      </w:r>
      <w:r>
        <w:rPr>
          <w:sz w:val="20"/>
          <w:szCs w:val="20"/>
        </w:rPr>
        <w:t xml:space="preserve"> is the difference, in days, between the date of the analyst’s forecast and the company’s actual earnings announcement.  </w:t>
      </w:r>
      <w:r w:rsidRPr="0069681F">
        <w:rPr>
          <w:b/>
          <w:sz w:val="20"/>
          <w:szCs w:val="20"/>
        </w:rPr>
        <w:t xml:space="preserve">Loss </w:t>
      </w:r>
      <w:r w:rsidRPr="0069681F">
        <w:rPr>
          <w:sz w:val="20"/>
          <w:szCs w:val="20"/>
        </w:rPr>
        <w:t>is a dummy variable indicating whether the current quarter’s income is a loss or not.</w:t>
      </w:r>
      <w:r>
        <w:rPr>
          <w:b/>
        </w:rPr>
        <w:t xml:space="preserve">  </w:t>
      </w:r>
      <w:r w:rsidRPr="009C5B6A">
        <w:rPr>
          <w:b/>
          <w:sz w:val="20"/>
          <w:szCs w:val="20"/>
        </w:rPr>
        <w:t xml:space="preserve">Follow </w:t>
      </w:r>
      <w:r w:rsidRPr="009C5B6A">
        <w:rPr>
          <w:sz w:val="20"/>
          <w:szCs w:val="20"/>
        </w:rPr>
        <w:t>is the number of analysts reporting earnings forecasts on the company during the quarter.</w:t>
      </w:r>
      <w:r>
        <w:t xml:space="preserve">  </w:t>
      </w:r>
      <w:r w:rsidRPr="00AF353C">
        <w:rPr>
          <w:b/>
          <w:sz w:val="20"/>
          <w:szCs w:val="20"/>
        </w:rPr>
        <w:t xml:space="preserve">Broker </w:t>
      </w:r>
      <w:proofErr w:type="spellStart"/>
      <w:r w:rsidRPr="00AF353C">
        <w:rPr>
          <w:b/>
          <w:sz w:val="20"/>
          <w:szCs w:val="20"/>
        </w:rPr>
        <w:t>Decile</w:t>
      </w:r>
      <w:proofErr w:type="spellEnd"/>
      <w:r>
        <w:rPr>
          <w:b/>
          <w:sz w:val="20"/>
          <w:szCs w:val="20"/>
        </w:rPr>
        <w:t xml:space="preserve"> </w:t>
      </w:r>
      <w:r w:rsidRPr="006B30B6">
        <w:rPr>
          <w:sz w:val="20"/>
          <w:szCs w:val="20"/>
        </w:rPr>
        <w:t xml:space="preserve">is a </w:t>
      </w:r>
      <w:proofErr w:type="spellStart"/>
      <w:r w:rsidRPr="006B30B6">
        <w:rPr>
          <w:sz w:val="20"/>
          <w:szCs w:val="20"/>
        </w:rPr>
        <w:t>decile</w:t>
      </w:r>
      <w:proofErr w:type="spellEnd"/>
      <w:r w:rsidRPr="006B30B6">
        <w:rPr>
          <w:sz w:val="20"/>
          <w:szCs w:val="20"/>
        </w:rPr>
        <w:t xml:space="preserve"> </w:t>
      </w:r>
      <w:r>
        <w:rPr>
          <w:sz w:val="20"/>
          <w:szCs w:val="20"/>
        </w:rPr>
        <w:t xml:space="preserve">size </w:t>
      </w:r>
      <w:r w:rsidRPr="006B30B6">
        <w:rPr>
          <w:sz w:val="20"/>
          <w:szCs w:val="20"/>
        </w:rPr>
        <w:t>ranking of</w:t>
      </w:r>
      <w:r>
        <w:rPr>
          <w:b/>
          <w:sz w:val="20"/>
          <w:szCs w:val="20"/>
        </w:rPr>
        <w:t xml:space="preserve"> </w:t>
      </w:r>
      <w:r w:rsidRPr="00DD61FC">
        <w:rPr>
          <w:sz w:val="20"/>
          <w:szCs w:val="20"/>
        </w:rPr>
        <w:t>the analyst’s</w:t>
      </w:r>
      <w:r>
        <w:rPr>
          <w:b/>
          <w:sz w:val="20"/>
          <w:szCs w:val="20"/>
        </w:rPr>
        <w:t xml:space="preserve"> </w:t>
      </w:r>
      <w:r>
        <w:rPr>
          <w:sz w:val="20"/>
          <w:szCs w:val="20"/>
        </w:rPr>
        <w:t>brokerage firm, computed annually,</w:t>
      </w:r>
      <w:r w:rsidRPr="00AF353C">
        <w:rPr>
          <w:sz w:val="20"/>
          <w:szCs w:val="20"/>
        </w:rPr>
        <w:t xml:space="preserve"> </w:t>
      </w:r>
      <w:r w:rsidR="00563454" w:rsidRPr="00AF353C">
        <w:rPr>
          <w:sz w:val="20"/>
          <w:szCs w:val="20"/>
        </w:rPr>
        <w:t>and based</w:t>
      </w:r>
      <w:r w:rsidRPr="00AF353C">
        <w:rPr>
          <w:sz w:val="20"/>
          <w:szCs w:val="20"/>
        </w:rPr>
        <w:t xml:space="preserve"> on the number of analysts at each brokerage firm</w:t>
      </w:r>
      <w:r>
        <w:rPr>
          <w:sz w:val="20"/>
          <w:szCs w:val="20"/>
        </w:rPr>
        <w:t xml:space="preserve"> as reported by IBES.</w:t>
      </w:r>
      <w:r w:rsidRPr="00AF353C">
        <w:rPr>
          <w:sz w:val="20"/>
          <w:szCs w:val="20"/>
        </w:rPr>
        <w:t xml:space="preserve"> </w:t>
      </w:r>
      <w:r>
        <w:rPr>
          <w:sz w:val="20"/>
          <w:szCs w:val="20"/>
        </w:rPr>
        <w:t xml:space="preserve"> </w:t>
      </w:r>
      <w:r w:rsidRPr="00AF353C">
        <w:rPr>
          <w:b/>
          <w:sz w:val="20"/>
          <w:szCs w:val="20"/>
        </w:rPr>
        <w:t>Experience</w:t>
      </w:r>
      <w:r>
        <w:rPr>
          <w:sz w:val="20"/>
          <w:szCs w:val="20"/>
        </w:rPr>
        <w:t xml:space="preserve"> is a measure of analyst tenure as </w:t>
      </w:r>
      <w:r w:rsidRPr="00AF353C">
        <w:rPr>
          <w:sz w:val="20"/>
          <w:szCs w:val="20"/>
        </w:rPr>
        <w:t>a sell-side analyst</w:t>
      </w:r>
      <w:r>
        <w:rPr>
          <w:sz w:val="20"/>
          <w:szCs w:val="20"/>
        </w:rPr>
        <w:t>, as of the current year (years in the</w:t>
      </w:r>
      <w:r w:rsidRPr="00AF353C">
        <w:rPr>
          <w:sz w:val="20"/>
          <w:szCs w:val="20"/>
        </w:rPr>
        <w:t xml:space="preserve"> IBES database</w:t>
      </w:r>
      <w:r>
        <w:rPr>
          <w:sz w:val="20"/>
          <w:szCs w:val="20"/>
        </w:rPr>
        <w:t xml:space="preserve"> is the proxy</w:t>
      </w:r>
      <w:r w:rsidRPr="00AF353C">
        <w:rPr>
          <w:sz w:val="20"/>
          <w:szCs w:val="20"/>
        </w:rPr>
        <w:t>).</w:t>
      </w:r>
      <w:r>
        <w:rPr>
          <w:sz w:val="20"/>
          <w:szCs w:val="20"/>
        </w:rPr>
        <w:t xml:space="preserve">  </w:t>
      </w:r>
      <w:r w:rsidRPr="00AF353C">
        <w:rPr>
          <w:b/>
          <w:sz w:val="20"/>
          <w:szCs w:val="20"/>
        </w:rPr>
        <w:t>Complexity</w:t>
      </w:r>
      <w:r>
        <w:rPr>
          <w:b/>
          <w:sz w:val="20"/>
          <w:szCs w:val="20"/>
        </w:rPr>
        <w:t xml:space="preserve"> </w:t>
      </w:r>
      <w:r w:rsidRPr="005579BA">
        <w:rPr>
          <w:sz w:val="20"/>
          <w:szCs w:val="20"/>
        </w:rPr>
        <w:t>is the</w:t>
      </w:r>
      <w:r>
        <w:rPr>
          <w:sz w:val="20"/>
          <w:szCs w:val="20"/>
        </w:rPr>
        <w:t xml:space="preserve"> n</w:t>
      </w:r>
      <w:r w:rsidRPr="00AF353C">
        <w:rPr>
          <w:sz w:val="20"/>
          <w:szCs w:val="20"/>
        </w:rPr>
        <w:t xml:space="preserve">umber of companies </w:t>
      </w:r>
      <w:r>
        <w:rPr>
          <w:sz w:val="20"/>
          <w:szCs w:val="20"/>
        </w:rPr>
        <w:t xml:space="preserve">the </w:t>
      </w:r>
      <w:r w:rsidRPr="00AF353C">
        <w:rPr>
          <w:sz w:val="20"/>
          <w:szCs w:val="20"/>
        </w:rPr>
        <w:t>analyst</w:t>
      </w:r>
      <w:r>
        <w:rPr>
          <w:sz w:val="20"/>
          <w:szCs w:val="20"/>
        </w:rPr>
        <w:t xml:space="preserve"> covers during the year</w:t>
      </w:r>
      <w:r w:rsidRPr="00AF353C">
        <w:rPr>
          <w:sz w:val="20"/>
          <w:szCs w:val="20"/>
        </w:rPr>
        <w:t>.</w:t>
      </w:r>
      <w:r>
        <w:rPr>
          <w:sz w:val="20"/>
          <w:szCs w:val="20"/>
        </w:rPr>
        <w:t xml:space="preserve">  </w:t>
      </w:r>
      <w:r w:rsidRPr="005D221D">
        <w:rPr>
          <w:b/>
          <w:sz w:val="20"/>
          <w:szCs w:val="20"/>
        </w:rPr>
        <w:t>Volatility (lagged)</w:t>
      </w:r>
      <w:r w:rsidRPr="005D221D">
        <w:rPr>
          <w:sz w:val="20"/>
          <w:szCs w:val="20"/>
        </w:rPr>
        <w:t xml:space="preserve"> is the standard deviation of daily stock returns for the preceding year.  </w:t>
      </w:r>
      <w:r w:rsidRPr="005D221D">
        <w:rPr>
          <w:b/>
          <w:sz w:val="20"/>
          <w:szCs w:val="20"/>
        </w:rPr>
        <w:t xml:space="preserve">Industry </w:t>
      </w:r>
      <w:r w:rsidRPr="005D221D">
        <w:rPr>
          <w:sz w:val="20"/>
          <w:szCs w:val="20"/>
        </w:rPr>
        <w:t xml:space="preserve">is a dummy variable, </w:t>
      </w:r>
      <w:r>
        <w:rPr>
          <w:sz w:val="20"/>
          <w:szCs w:val="20"/>
        </w:rPr>
        <w:t>one for each one digit SIC code</w:t>
      </w:r>
      <w:r w:rsidRPr="005D221D">
        <w:rPr>
          <w:sz w:val="20"/>
          <w:szCs w:val="20"/>
        </w:rPr>
        <w:t>.</w:t>
      </w:r>
      <w:r>
        <w:rPr>
          <w:sz w:val="20"/>
          <w:szCs w:val="20"/>
        </w:rPr>
        <w:t xml:space="preserve">  The z-statistics are based on Huber/White robust standard errors.</w:t>
      </w:r>
    </w:p>
    <w:p w:rsidR="00C731E1" w:rsidRDefault="00C731E1" w:rsidP="00C731E1">
      <w:pPr>
        <w:rPr>
          <w:sz w:val="20"/>
          <w:szCs w:val="20"/>
        </w:rPr>
      </w:pPr>
    </w:p>
    <w:p w:rsidR="00C731E1" w:rsidRDefault="00C731E1" w:rsidP="00C731E1">
      <w:pPr>
        <w:pStyle w:val="BodyTextIndent"/>
        <w:spacing w:line="240" w:lineRule="auto"/>
        <w:ind w:left="720" w:firstLine="0"/>
        <w:rPr>
          <w:b/>
          <w:sz w:val="20"/>
          <w:szCs w:val="20"/>
        </w:rPr>
      </w:pPr>
      <w:r w:rsidRPr="00AB2C2F">
        <w:rPr>
          <w:b/>
          <w:sz w:val="20"/>
          <w:szCs w:val="20"/>
        </w:rPr>
        <w:t>FE=</w:t>
      </w:r>
      <w:r w:rsidRPr="00AB2C2F">
        <w:rPr>
          <w:b/>
          <w:sz w:val="20"/>
          <w:szCs w:val="20"/>
        </w:rPr>
        <w:sym w:font="Symbol" w:char="F061"/>
      </w:r>
      <w:r w:rsidRPr="00AB2C2F">
        <w:rPr>
          <w:b/>
          <w:sz w:val="20"/>
          <w:szCs w:val="20"/>
          <w:vertAlign w:val="subscript"/>
        </w:rPr>
        <w:t xml:space="preserve">0 </w:t>
      </w:r>
      <w:r w:rsidRPr="00AB2C2F">
        <w:rPr>
          <w:b/>
          <w:sz w:val="20"/>
          <w:szCs w:val="20"/>
        </w:rPr>
        <w:t xml:space="preserve">+ </w:t>
      </w:r>
      <w:r w:rsidRPr="00AB2C2F">
        <w:rPr>
          <w:b/>
          <w:sz w:val="20"/>
          <w:szCs w:val="20"/>
        </w:rPr>
        <w:sym w:font="Symbol" w:char="F061"/>
      </w:r>
      <w:proofErr w:type="spellStart"/>
      <w:r w:rsidRPr="00AB2C2F">
        <w:rPr>
          <w:b/>
          <w:sz w:val="20"/>
          <w:szCs w:val="20"/>
          <w:vertAlign w:val="subscript"/>
        </w:rPr>
        <w:t>i</w:t>
      </w:r>
      <w:proofErr w:type="spellEnd"/>
      <w:r w:rsidRPr="00AB2C2F">
        <w:rPr>
          <w:b/>
          <w:sz w:val="20"/>
          <w:szCs w:val="20"/>
          <w:vertAlign w:val="subscript"/>
        </w:rPr>
        <w:t xml:space="preserve"> </w:t>
      </w:r>
      <w:r w:rsidRPr="00AB2C2F">
        <w:rPr>
          <w:b/>
          <w:sz w:val="20"/>
          <w:szCs w:val="20"/>
        </w:rPr>
        <w:t>Industry</w:t>
      </w:r>
      <w:r>
        <w:rPr>
          <w:b/>
          <w:sz w:val="20"/>
          <w:szCs w:val="20"/>
        </w:rPr>
        <w:t xml:space="preserve"> +</w:t>
      </w:r>
      <w:r w:rsidRPr="00AB2C2F">
        <w:rPr>
          <w:b/>
          <w:sz w:val="20"/>
          <w:szCs w:val="20"/>
        </w:rPr>
        <w:sym w:font="Symbol" w:char="F061"/>
      </w:r>
      <w:proofErr w:type="spellStart"/>
      <w:r w:rsidRPr="00AB2C2F">
        <w:rPr>
          <w:b/>
          <w:sz w:val="20"/>
          <w:szCs w:val="20"/>
          <w:vertAlign w:val="subscript"/>
        </w:rPr>
        <w:t>i</w:t>
      </w:r>
      <w:proofErr w:type="spellEnd"/>
      <w:r w:rsidRPr="00AB2C2F">
        <w:rPr>
          <w:b/>
          <w:sz w:val="20"/>
          <w:szCs w:val="20"/>
          <w:vertAlign w:val="subscript"/>
        </w:rPr>
        <w:t xml:space="preserve"> </w:t>
      </w:r>
      <w:r w:rsidRPr="003C205B">
        <w:rPr>
          <w:b/>
          <w:sz w:val="20"/>
          <w:szCs w:val="20"/>
        </w:rPr>
        <w:t>Year</w:t>
      </w:r>
      <w:r w:rsidRPr="00AB2C2F">
        <w:rPr>
          <w:b/>
          <w:sz w:val="20"/>
          <w:szCs w:val="20"/>
        </w:rPr>
        <w:t xml:space="preserve">+ </w:t>
      </w:r>
      <w:r w:rsidRPr="00AB2C2F">
        <w:rPr>
          <w:b/>
          <w:sz w:val="20"/>
          <w:szCs w:val="20"/>
        </w:rPr>
        <w:sym w:font="Symbol" w:char="F062"/>
      </w:r>
      <w:r w:rsidRPr="00AB2C2F">
        <w:rPr>
          <w:b/>
          <w:sz w:val="20"/>
          <w:szCs w:val="20"/>
          <w:vertAlign w:val="subscript"/>
        </w:rPr>
        <w:t xml:space="preserve">1 </w:t>
      </w:r>
      <w:r w:rsidRPr="00AB2C2F">
        <w:rPr>
          <w:b/>
          <w:sz w:val="20"/>
          <w:szCs w:val="20"/>
        </w:rPr>
        <w:t xml:space="preserve">Own + </w:t>
      </w:r>
      <w:r w:rsidRPr="00AB2C2F">
        <w:rPr>
          <w:b/>
          <w:sz w:val="20"/>
          <w:szCs w:val="20"/>
        </w:rPr>
        <w:sym w:font="Symbol" w:char="F062"/>
      </w:r>
      <w:r w:rsidRPr="00AB2C2F">
        <w:rPr>
          <w:b/>
          <w:sz w:val="20"/>
          <w:szCs w:val="20"/>
          <w:vertAlign w:val="subscript"/>
        </w:rPr>
        <w:t xml:space="preserve">2 </w:t>
      </w:r>
      <w:r w:rsidRPr="00AB2C2F">
        <w:rPr>
          <w:b/>
          <w:sz w:val="20"/>
          <w:szCs w:val="20"/>
        </w:rPr>
        <w:t xml:space="preserve">IPO Underwriter + </w:t>
      </w:r>
      <w:r w:rsidRPr="00AB2C2F">
        <w:rPr>
          <w:b/>
          <w:sz w:val="20"/>
          <w:szCs w:val="20"/>
        </w:rPr>
        <w:sym w:font="Symbol" w:char="F062"/>
      </w:r>
      <w:r w:rsidRPr="00AB2C2F">
        <w:rPr>
          <w:b/>
          <w:sz w:val="20"/>
          <w:szCs w:val="20"/>
          <w:vertAlign w:val="subscript"/>
        </w:rPr>
        <w:t xml:space="preserve">3 </w:t>
      </w:r>
      <w:r w:rsidRPr="00AB2C2F">
        <w:rPr>
          <w:b/>
          <w:sz w:val="20"/>
          <w:szCs w:val="20"/>
        </w:rPr>
        <w:t xml:space="preserve">IPO Co-manager </w:t>
      </w:r>
    </w:p>
    <w:p w:rsidR="00C731E1" w:rsidRPr="00AB2C2F" w:rsidRDefault="00C731E1" w:rsidP="00C731E1">
      <w:pPr>
        <w:pStyle w:val="BodyTextIndent"/>
        <w:spacing w:line="240" w:lineRule="auto"/>
        <w:ind w:left="720" w:firstLine="0"/>
        <w:rPr>
          <w:b/>
          <w:sz w:val="20"/>
          <w:szCs w:val="20"/>
        </w:rPr>
      </w:pPr>
      <w:r w:rsidRPr="00AB2C2F">
        <w:rPr>
          <w:b/>
          <w:sz w:val="20"/>
          <w:szCs w:val="20"/>
        </w:rPr>
        <w:t xml:space="preserve">+ </w:t>
      </w:r>
      <w:r w:rsidRPr="00AB2C2F">
        <w:rPr>
          <w:b/>
          <w:sz w:val="20"/>
          <w:szCs w:val="20"/>
        </w:rPr>
        <w:sym w:font="Symbol" w:char="F062"/>
      </w:r>
      <w:proofErr w:type="gramStart"/>
      <w:r w:rsidRPr="00AB2C2F">
        <w:rPr>
          <w:b/>
          <w:sz w:val="20"/>
          <w:szCs w:val="20"/>
          <w:vertAlign w:val="subscript"/>
        </w:rPr>
        <w:t xml:space="preserve">4  </w:t>
      </w:r>
      <w:r w:rsidRPr="00AB2C2F">
        <w:rPr>
          <w:b/>
          <w:sz w:val="20"/>
          <w:szCs w:val="20"/>
        </w:rPr>
        <w:t>SEO</w:t>
      </w:r>
      <w:proofErr w:type="gramEnd"/>
      <w:r w:rsidRPr="00AB2C2F">
        <w:rPr>
          <w:b/>
          <w:sz w:val="20"/>
          <w:szCs w:val="20"/>
        </w:rPr>
        <w:t xml:space="preserve"> Underwriter + </w:t>
      </w:r>
      <w:r w:rsidRPr="00AB2C2F">
        <w:rPr>
          <w:b/>
          <w:sz w:val="20"/>
          <w:szCs w:val="20"/>
        </w:rPr>
        <w:sym w:font="Symbol" w:char="F062"/>
      </w:r>
      <w:r w:rsidRPr="00AB2C2F">
        <w:rPr>
          <w:b/>
          <w:sz w:val="20"/>
          <w:szCs w:val="20"/>
          <w:vertAlign w:val="subscript"/>
        </w:rPr>
        <w:t xml:space="preserve">5  </w:t>
      </w:r>
      <w:r w:rsidRPr="00AB2C2F">
        <w:rPr>
          <w:b/>
          <w:sz w:val="20"/>
          <w:szCs w:val="20"/>
        </w:rPr>
        <w:t xml:space="preserve">SEO Co-manager + </w:t>
      </w:r>
      <w:r w:rsidRPr="00AB2C2F">
        <w:rPr>
          <w:b/>
          <w:sz w:val="20"/>
          <w:szCs w:val="20"/>
        </w:rPr>
        <w:sym w:font="Symbol" w:char="F062"/>
      </w:r>
      <w:r w:rsidRPr="00AB2C2F">
        <w:rPr>
          <w:b/>
          <w:sz w:val="20"/>
          <w:szCs w:val="20"/>
          <w:vertAlign w:val="subscript"/>
        </w:rPr>
        <w:t xml:space="preserve">6 </w:t>
      </w:r>
      <w:r w:rsidRPr="00AB2C2F">
        <w:rPr>
          <w:b/>
          <w:sz w:val="20"/>
          <w:szCs w:val="20"/>
        </w:rPr>
        <w:t xml:space="preserve">Forecast Age + </w:t>
      </w:r>
      <w:r w:rsidRPr="00AB2C2F">
        <w:rPr>
          <w:b/>
          <w:sz w:val="20"/>
          <w:szCs w:val="20"/>
        </w:rPr>
        <w:sym w:font="Symbol" w:char="F062"/>
      </w:r>
      <w:r w:rsidRPr="00AB2C2F">
        <w:rPr>
          <w:b/>
          <w:sz w:val="20"/>
          <w:szCs w:val="20"/>
          <w:vertAlign w:val="subscript"/>
        </w:rPr>
        <w:t>7</w:t>
      </w:r>
      <w:r w:rsidRPr="00AB2C2F">
        <w:rPr>
          <w:b/>
          <w:sz w:val="20"/>
          <w:szCs w:val="20"/>
        </w:rPr>
        <w:t xml:space="preserve"> Loss + </w:t>
      </w:r>
      <w:r w:rsidRPr="00AB2C2F">
        <w:rPr>
          <w:b/>
          <w:sz w:val="20"/>
          <w:szCs w:val="20"/>
        </w:rPr>
        <w:sym w:font="Symbol" w:char="F062"/>
      </w:r>
      <w:r w:rsidRPr="00AB2C2F">
        <w:rPr>
          <w:b/>
          <w:sz w:val="20"/>
          <w:szCs w:val="20"/>
          <w:vertAlign w:val="subscript"/>
        </w:rPr>
        <w:t xml:space="preserve">8 </w:t>
      </w:r>
      <w:r w:rsidRPr="00AB2C2F">
        <w:rPr>
          <w:b/>
          <w:sz w:val="20"/>
          <w:szCs w:val="20"/>
        </w:rPr>
        <w:t>Follow</w:t>
      </w:r>
    </w:p>
    <w:p w:rsidR="00C731E1" w:rsidRPr="00AB2C2F" w:rsidRDefault="00C731E1" w:rsidP="00C731E1">
      <w:pPr>
        <w:pStyle w:val="BodyTextIndent"/>
        <w:spacing w:line="240" w:lineRule="auto"/>
        <w:ind w:left="720" w:firstLine="0"/>
        <w:rPr>
          <w:b/>
          <w:sz w:val="20"/>
          <w:szCs w:val="20"/>
        </w:rPr>
      </w:pPr>
      <w:r w:rsidRPr="00AB2C2F">
        <w:rPr>
          <w:b/>
          <w:sz w:val="20"/>
          <w:szCs w:val="20"/>
        </w:rPr>
        <w:t xml:space="preserve">+ </w:t>
      </w:r>
      <w:r w:rsidRPr="00AB2C2F">
        <w:rPr>
          <w:b/>
          <w:sz w:val="20"/>
          <w:szCs w:val="20"/>
        </w:rPr>
        <w:sym w:font="Symbol" w:char="F062"/>
      </w:r>
      <w:r w:rsidRPr="00AB2C2F">
        <w:rPr>
          <w:b/>
          <w:sz w:val="20"/>
          <w:szCs w:val="20"/>
          <w:vertAlign w:val="subscript"/>
        </w:rPr>
        <w:t>9</w:t>
      </w:r>
      <w:r w:rsidRPr="00AB2C2F">
        <w:rPr>
          <w:b/>
          <w:sz w:val="20"/>
          <w:szCs w:val="20"/>
        </w:rPr>
        <w:t xml:space="preserve"> Broker </w:t>
      </w:r>
      <w:proofErr w:type="spellStart"/>
      <w:r w:rsidRPr="00AB2C2F">
        <w:rPr>
          <w:b/>
          <w:sz w:val="20"/>
          <w:szCs w:val="20"/>
        </w:rPr>
        <w:t>Decile</w:t>
      </w:r>
      <w:proofErr w:type="spellEnd"/>
      <w:r w:rsidRPr="00AB2C2F">
        <w:rPr>
          <w:b/>
          <w:sz w:val="20"/>
          <w:szCs w:val="20"/>
        </w:rPr>
        <w:t xml:space="preserve"> + </w:t>
      </w:r>
      <w:r w:rsidRPr="00AB2C2F">
        <w:rPr>
          <w:b/>
          <w:sz w:val="20"/>
          <w:szCs w:val="20"/>
        </w:rPr>
        <w:sym w:font="Symbol" w:char="F062"/>
      </w:r>
      <w:r w:rsidRPr="00AB2C2F">
        <w:rPr>
          <w:b/>
          <w:sz w:val="20"/>
          <w:szCs w:val="20"/>
          <w:vertAlign w:val="subscript"/>
        </w:rPr>
        <w:t>10</w:t>
      </w:r>
      <w:r w:rsidRPr="00AB2C2F">
        <w:rPr>
          <w:b/>
          <w:sz w:val="20"/>
          <w:szCs w:val="20"/>
        </w:rPr>
        <w:t xml:space="preserve"> Complexity + </w:t>
      </w:r>
      <w:r w:rsidRPr="00AB2C2F">
        <w:rPr>
          <w:b/>
          <w:sz w:val="20"/>
          <w:szCs w:val="20"/>
        </w:rPr>
        <w:sym w:font="Symbol" w:char="F062"/>
      </w:r>
      <w:r w:rsidRPr="00AB2C2F">
        <w:rPr>
          <w:b/>
          <w:sz w:val="20"/>
          <w:szCs w:val="20"/>
          <w:vertAlign w:val="subscript"/>
        </w:rPr>
        <w:t xml:space="preserve">11 </w:t>
      </w:r>
      <w:r w:rsidRPr="00AB2C2F">
        <w:rPr>
          <w:b/>
          <w:sz w:val="20"/>
          <w:szCs w:val="20"/>
        </w:rPr>
        <w:t xml:space="preserve">Volatility (lagged) + </w:t>
      </w:r>
      <w:r w:rsidRPr="00AB2C2F">
        <w:rPr>
          <w:b/>
          <w:sz w:val="20"/>
          <w:szCs w:val="20"/>
        </w:rPr>
        <w:sym w:font="Symbol" w:char="F065"/>
      </w:r>
    </w:p>
    <w:p w:rsidR="00C731E1" w:rsidRPr="00AB2C2F" w:rsidRDefault="00C731E1" w:rsidP="00C731E1">
      <w:pPr>
        <w:pStyle w:val="BodyTextIndent"/>
        <w:spacing w:line="240" w:lineRule="auto"/>
        <w:ind w:left="720" w:firstLine="0"/>
        <w:rPr>
          <w:b/>
          <w:sz w:val="20"/>
          <w:szCs w:val="20"/>
        </w:rPr>
      </w:pPr>
      <w:r w:rsidRPr="00AB2C2F">
        <w:rPr>
          <w:b/>
          <w:sz w:val="20"/>
          <w:szCs w:val="20"/>
        </w:rPr>
        <w:tab/>
        <w:t>[</w:t>
      </w:r>
      <w:proofErr w:type="gramStart"/>
      <w:r w:rsidRPr="00AB2C2F">
        <w:rPr>
          <w:sz w:val="20"/>
          <w:szCs w:val="20"/>
        </w:rPr>
        <w:t>where</w:t>
      </w:r>
      <w:proofErr w:type="gramEnd"/>
      <w:r w:rsidRPr="00AB2C2F">
        <w:rPr>
          <w:sz w:val="20"/>
          <w:szCs w:val="20"/>
        </w:rPr>
        <w:t xml:space="preserve"> Own=1 if Own</w:t>
      </w:r>
      <w:r w:rsidRPr="00AB2C2F">
        <w:rPr>
          <w:sz w:val="20"/>
          <w:szCs w:val="20"/>
          <w:vertAlign w:val="superscript"/>
        </w:rPr>
        <w:t>*</w:t>
      </w:r>
      <w:r w:rsidRPr="00AB2C2F">
        <w:rPr>
          <w:sz w:val="20"/>
          <w:szCs w:val="20"/>
        </w:rPr>
        <w:t>&gt;0 and Own=0 otherwise]</w:t>
      </w:r>
    </w:p>
    <w:p w:rsidR="00C731E1" w:rsidRPr="00AB2C2F" w:rsidRDefault="00C731E1" w:rsidP="00C731E1">
      <w:pPr>
        <w:rPr>
          <w:sz w:val="20"/>
          <w:szCs w:val="20"/>
        </w:rPr>
      </w:pPr>
    </w:p>
    <w:p w:rsidR="00903D89" w:rsidRPr="00316ED4" w:rsidRDefault="0017727A">
      <w:pPr>
        <w:rPr>
          <w:b/>
          <w:sz w:val="20"/>
          <w:szCs w:val="20"/>
        </w:rPr>
      </w:pPr>
      <w:r w:rsidRPr="00316ED4">
        <w:rPr>
          <w:b/>
          <w:sz w:val="20"/>
          <w:szCs w:val="20"/>
        </w:rPr>
        <w:t>PANEL</w:t>
      </w:r>
      <w:r w:rsidR="00E10546" w:rsidRPr="00316ED4">
        <w:rPr>
          <w:b/>
          <w:sz w:val="20"/>
          <w:szCs w:val="20"/>
        </w:rPr>
        <w:t xml:space="preserve"> B</w:t>
      </w:r>
      <w:r w:rsidR="00C731E1" w:rsidRPr="00316ED4">
        <w:rPr>
          <w:b/>
          <w:sz w:val="20"/>
          <w:szCs w:val="20"/>
        </w:rPr>
        <w:t xml:space="preserve"> - 2</w:t>
      </w:r>
      <w:r w:rsidR="00C731E1" w:rsidRPr="00316ED4">
        <w:rPr>
          <w:b/>
          <w:sz w:val="20"/>
          <w:szCs w:val="20"/>
          <w:vertAlign w:val="superscript"/>
        </w:rPr>
        <w:t>nd</w:t>
      </w:r>
      <w:r w:rsidR="00C731E1" w:rsidRPr="00316ED4">
        <w:rPr>
          <w:b/>
          <w:sz w:val="20"/>
          <w:szCs w:val="20"/>
        </w:rPr>
        <w:t xml:space="preserve"> Stage Regression</w:t>
      </w:r>
    </w:p>
    <w:p w:rsidR="00C731E1" w:rsidRPr="00493EC6" w:rsidRDefault="00C731E1">
      <w:pPr>
        <w:rPr>
          <w:b/>
        </w:rPr>
      </w:pP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1"/>
        <w:gridCol w:w="328"/>
        <w:gridCol w:w="1696"/>
        <w:gridCol w:w="466"/>
        <w:gridCol w:w="1631"/>
      </w:tblGrid>
      <w:tr w:rsidR="00903D89" w:rsidRPr="00BD04E4">
        <w:trPr>
          <w:jc w:val="center"/>
        </w:trPr>
        <w:tc>
          <w:tcPr>
            <w:tcW w:w="0" w:type="auto"/>
          </w:tcPr>
          <w:p w:rsidR="00903D89" w:rsidRPr="00A3582C" w:rsidRDefault="00903D89">
            <w:pPr>
              <w:rPr>
                <w:b/>
                <w:sz w:val="20"/>
                <w:szCs w:val="20"/>
              </w:rPr>
            </w:pPr>
          </w:p>
        </w:tc>
        <w:tc>
          <w:tcPr>
            <w:tcW w:w="0" w:type="auto"/>
          </w:tcPr>
          <w:p w:rsidR="00903D89" w:rsidRPr="00A3582C" w:rsidRDefault="00903D89">
            <w:pPr>
              <w:rPr>
                <w:sz w:val="20"/>
                <w:szCs w:val="20"/>
              </w:rPr>
            </w:pPr>
          </w:p>
        </w:tc>
        <w:tc>
          <w:tcPr>
            <w:tcW w:w="0" w:type="auto"/>
            <w:gridSpan w:val="3"/>
          </w:tcPr>
          <w:p w:rsidR="00903D89" w:rsidRPr="00A3582C" w:rsidRDefault="00903D89">
            <w:pPr>
              <w:jc w:val="center"/>
              <w:rPr>
                <w:b/>
                <w:sz w:val="20"/>
                <w:szCs w:val="20"/>
              </w:rPr>
            </w:pPr>
          </w:p>
        </w:tc>
      </w:tr>
      <w:tr w:rsidR="00903D89" w:rsidRPr="00BD04E4">
        <w:trPr>
          <w:jc w:val="center"/>
        </w:trPr>
        <w:tc>
          <w:tcPr>
            <w:tcW w:w="0" w:type="auto"/>
          </w:tcPr>
          <w:p w:rsidR="00903D89" w:rsidRPr="00A3582C" w:rsidRDefault="00903D89">
            <w:pPr>
              <w:rPr>
                <w:sz w:val="20"/>
                <w:szCs w:val="20"/>
              </w:rPr>
            </w:pPr>
          </w:p>
        </w:tc>
        <w:tc>
          <w:tcPr>
            <w:tcW w:w="0" w:type="auto"/>
          </w:tcPr>
          <w:p w:rsidR="00903D89" w:rsidRPr="00A3582C" w:rsidRDefault="00903D89">
            <w:pPr>
              <w:rPr>
                <w:sz w:val="20"/>
                <w:szCs w:val="20"/>
              </w:rPr>
            </w:pPr>
          </w:p>
        </w:tc>
        <w:tc>
          <w:tcPr>
            <w:tcW w:w="0" w:type="auto"/>
          </w:tcPr>
          <w:p w:rsidR="00903D89" w:rsidRPr="00A3582C" w:rsidRDefault="00903D89">
            <w:pPr>
              <w:jc w:val="center"/>
              <w:rPr>
                <w:b/>
                <w:sz w:val="20"/>
                <w:szCs w:val="20"/>
              </w:rPr>
            </w:pPr>
            <w:r w:rsidRPr="00A3582C">
              <w:rPr>
                <w:b/>
                <w:sz w:val="20"/>
                <w:szCs w:val="20"/>
              </w:rPr>
              <w:t>Coefficient</w:t>
            </w:r>
          </w:p>
        </w:tc>
        <w:tc>
          <w:tcPr>
            <w:tcW w:w="0" w:type="auto"/>
          </w:tcPr>
          <w:p w:rsidR="00903D89" w:rsidRPr="00A3582C" w:rsidRDefault="00903D89">
            <w:pPr>
              <w:rPr>
                <w:sz w:val="20"/>
                <w:szCs w:val="20"/>
              </w:rPr>
            </w:pPr>
          </w:p>
        </w:tc>
        <w:tc>
          <w:tcPr>
            <w:tcW w:w="0" w:type="auto"/>
          </w:tcPr>
          <w:p w:rsidR="00903D89" w:rsidRPr="00A3582C" w:rsidRDefault="00903D89">
            <w:pPr>
              <w:jc w:val="center"/>
              <w:rPr>
                <w:b/>
                <w:sz w:val="20"/>
                <w:szCs w:val="20"/>
              </w:rPr>
            </w:pPr>
            <w:r w:rsidRPr="00A3582C">
              <w:rPr>
                <w:b/>
                <w:sz w:val="20"/>
                <w:szCs w:val="20"/>
              </w:rPr>
              <w:t>Z-Statistic</w:t>
            </w:r>
          </w:p>
        </w:tc>
      </w:tr>
      <w:tr w:rsidR="00903D89" w:rsidRPr="00BD04E4">
        <w:trPr>
          <w:jc w:val="center"/>
        </w:trPr>
        <w:tc>
          <w:tcPr>
            <w:tcW w:w="0" w:type="auto"/>
          </w:tcPr>
          <w:p w:rsidR="00903D89" w:rsidRPr="00A3582C" w:rsidRDefault="00903D89">
            <w:pPr>
              <w:rPr>
                <w:sz w:val="20"/>
                <w:szCs w:val="20"/>
              </w:rPr>
            </w:pPr>
            <w:r w:rsidRPr="00A3582C">
              <w:rPr>
                <w:sz w:val="20"/>
                <w:szCs w:val="20"/>
              </w:rPr>
              <w:t>Intercept</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-0.0080</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-16.4</w:t>
            </w:r>
          </w:p>
        </w:tc>
      </w:tr>
      <w:tr w:rsidR="00903D89" w:rsidRPr="00BD04E4">
        <w:trPr>
          <w:jc w:val="center"/>
        </w:trPr>
        <w:tc>
          <w:tcPr>
            <w:tcW w:w="0" w:type="auto"/>
          </w:tcPr>
          <w:p w:rsidR="00903D89" w:rsidRPr="00A3582C" w:rsidRDefault="00903D89">
            <w:pPr>
              <w:rPr>
                <w:sz w:val="20"/>
                <w:szCs w:val="20"/>
              </w:rPr>
            </w:pPr>
            <w:r w:rsidRPr="00A3582C">
              <w:rPr>
                <w:sz w:val="20"/>
                <w:szCs w:val="20"/>
              </w:rPr>
              <w:t>Analyst Owner Dummy (OWN)</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-0.0004</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-1.96</w:t>
            </w:r>
          </w:p>
        </w:tc>
      </w:tr>
      <w:tr w:rsidR="00903D89" w:rsidRPr="00BD04E4">
        <w:trPr>
          <w:jc w:val="center"/>
        </w:trPr>
        <w:tc>
          <w:tcPr>
            <w:tcW w:w="0" w:type="auto"/>
          </w:tcPr>
          <w:p w:rsidR="00903D89" w:rsidRPr="00A3582C" w:rsidRDefault="00903D89">
            <w:pPr>
              <w:rPr>
                <w:sz w:val="20"/>
                <w:szCs w:val="20"/>
              </w:rPr>
            </w:pPr>
            <w:r w:rsidRPr="00A3582C">
              <w:rPr>
                <w:sz w:val="20"/>
                <w:szCs w:val="20"/>
              </w:rPr>
              <w:t>IPO Underwriter</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0.0012</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1.70</w:t>
            </w:r>
          </w:p>
        </w:tc>
      </w:tr>
      <w:tr w:rsidR="00903D89" w:rsidRPr="00BD04E4">
        <w:trPr>
          <w:jc w:val="center"/>
        </w:trPr>
        <w:tc>
          <w:tcPr>
            <w:tcW w:w="0" w:type="auto"/>
          </w:tcPr>
          <w:p w:rsidR="00903D89" w:rsidRPr="00A3582C" w:rsidRDefault="00903D89">
            <w:pPr>
              <w:rPr>
                <w:sz w:val="20"/>
                <w:szCs w:val="20"/>
              </w:rPr>
            </w:pPr>
            <w:r w:rsidRPr="00A3582C">
              <w:rPr>
                <w:sz w:val="20"/>
                <w:szCs w:val="20"/>
              </w:rPr>
              <w:t>IPO Co-manager</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0.0007</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1.54</w:t>
            </w:r>
          </w:p>
        </w:tc>
      </w:tr>
      <w:tr w:rsidR="00903D89" w:rsidRPr="00BD04E4">
        <w:trPr>
          <w:jc w:val="center"/>
        </w:trPr>
        <w:tc>
          <w:tcPr>
            <w:tcW w:w="0" w:type="auto"/>
          </w:tcPr>
          <w:p w:rsidR="00903D89" w:rsidRPr="00A3582C" w:rsidRDefault="00903D89">
            <w:pPr>
              <w:rPr>
                <w:sz w:val="20"/>
                <w:szCs w:val="20"/>
              </w:rPr>
            </w:pPr>
            <w:r w:rsidRPr="00A3582C">
              <w:rPr>
                <w:sz w:val="20"/>
                <w:szCs w:val="20"/>
              </w:rPr>
              <w:t>SEO Underwriter</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0.0018</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4.19</w:t>
            </w:r>
          </w:p>
        </w:tc>
      </w:tr>
      <w:tr w:rsidR="00903D89" w:rsidRPr="00BD04E4">
        <w:trPr>
          <w:jc w:val="center"/>
        </w:trPr>
        <w:tc>
          <w:tcPr>
            <w:tcW w:w="0" w:type="auto"/>
          </w:tcPr>
          <w:p w:rsidR="00903D89" w:rsidRPr="00A3582C" w:rsidRDefault="00903D89">
            <w:pPr>
              <w:rPr>
                <w:sz w:val="20"/>
                <w:szCs w:val="20"/>
              </w:rPr>
            </w:pPr>
            <w:r w:rsidRPr="00A3582C">
              <w:rPr>
                <w:sz w:val="20"/>
                <w:szCs w:val="20"/>
              </w:rPr>
              <w:t>SEO Co-manager</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0.0015</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4.38</w:t>
            </w:r>
          </w:p>
        </w:tc>
      </w:tr>
      <w:tr w:rsidR="00903D89" w:rsidRPr="00BD04E4">
        <w:trPr>
          <w:jc w:val="center"/>
        </w:trPr>
        <w:tc>
          <w:tcPr>
            <w:tcW w:w="0" w:type="auto"/>
          </w:tcPr>
          <w:p w:rsidR="00903D89" w:rsidRPr="00A3582C" w:rsidRDefault="00903D89">
            <w:pPr>
              <w:rPr>
                <w:sz w:val="20"/>
                <w:szCs w:val="20"/>
              </w:rPr>
            </w:pPr>
            <w:r w:rsidRPr="00A3582C">
              <w:rPr>
                <w:sz w:val="20"/>
                <w:szCs w:val="20"/>
              </w:rPr>
              <w:t>Forecast Age</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-0.0000</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-22.9</w:t>
            </w:r>
          </w:p>
        </w:tc>
      </w:tr>
      <w:tr w:rsidR="00903D89" w:rsidRPr="00BD04E4">
        <w:trPr>
          <w:jc w:val="center"/>
        </w:trPr>
        <w:tc>
          <w:tcPr>
            <w:tcW w:w="0" w:type="auto"/>
          </w:tcPr>
          <w:p w:rsidR="00903D89" w:rsidRPr="00A3582C" w:rsidRDefault="00903D89">
            <w:pPr>
              <w:rPr>
                <w:sz w:val="20"/>
                <w:szCs w:val="20"/>
              </w:rPr>
            </w:pPr>
            <w:r w:rsidRPr="00A3582C">
              <w:rPr>
                <w:sz w:val="20"/>
                <w:szCs w:val="20"/>
              </w:rPr>
              <w:t>Loss</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-0.0069</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-30.2</w:t>
            </w:r>
          </w:p>
        </w:tc>
      </w:tr>
      <w:tr w:rsidR="00903D89" w:rsidRPr="00BD04E4">
        <w:trPr>
          <w:jc w:val="center"/>
        </w:trPr>
        <w:tc>
          <w:tcPr>
            <w:tcW w:w="0" w:type="auto"/>
          </w:tcPr>
          <w:p w:rsidR="00903D89" w:rsidRPr="00A3582C" w:rsidRDefault="00903D89">
            <w:pPr>
              <w:rPr>
                <w:sz w:val="20"/>
                <w:szCs w:val="20"/>
              </w:rPr>
            </w:pPr>
            <w:r w:rsidRPr="00A3582C">
              <w:rPr>
                <w:sz w:val="20"/>
                <w:szCs w:val="20"/>
              </w:rPr>
              <w:t>Analyst Following (Follow)</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0.0001</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18.1</w:t>
            </w:r>
          </w:p>
        </w:tc>
      </w:tr>
      <w:tr w:rsidR="00903D89" w:rsidRPr="00BD04E4">
        <w:trPr>
          <w:jc w:val="center"/>
        </w:trPr>
        <w:tc>
          <w:tcPr>
            <w:tcW w:w="0" w:type="auto"/>
          </w:tcPr>
          <w:p w:rsidR="00903D89" w:rsidRPr="00A3582C" w:rsidRDefault="00903D89">
            <w:pPr>
              <w:rPr>
                <w:sz w:val="20"/>
                <w:szCs w:val="20"/>
              </w:rPr>
            </w:pPr>
            <w:r w:rsidRPr="00A3582C">
              <w:rPr>
                <w:sz w:val="20"/>
                <w:szCs w:val="20"/>
              </w:rPr>
              <w:t xml:space="preserve">Broker </w:t>
            </w:r>
            <w:proofErr w:type="spellStart"/>
            <w:r w:rsidRPr="00A3582C">
              <w:rPr>
                <w:sz w:val="20"/>
                <w:szCs w:val="20"/>
              </w:rPr>
              <w:t>Decile</w:t>
            </w:r>
            <w:proofErr w:type="spellEnd"/>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0.0001</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4.10</w:t>
            </w:r>
          </w:p>
        </w:tc>
      </w:tr>
      <w:tr w:rsidR="00903D89" w:rsidRPr="00BD04E4">
        <w:trPr>
          <w:jc w:val="center"/>
        </w:trPr>
        <w:tc>
          <w:tcPr>
            <w:tcW w:w="0" w:type="auto"/>
          </w:tcPr>
          <w:p w:rsidR="00903D89" w:rsidRPr="00A3582C" w:rsidRDefault="00903D89">
            <w:pPr>
              <w:rPr>
                <w:sz w:val="20"/>
                <w:szCs w:val="20"/>
              </w:rPr>
            </w:pPr>
            <w:r w:rsidRPr="00A3582C">
              <w:rPr>
                <w:sz w:val="20"/>
                <w:szCs w:val="20"/>
              </w:rPr>
              <w:t>Complexity</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-0.0000</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-1.56</w:t>
            </w:r>
          </w:p>
        </w:tc>
      </w:tr>
      <w:tr w:rsidR="00903D89" w:rsidRPr="00BD04E4">
        <w:trPr>
          <w:jc w:val="center"/>
        </w:trPr>
        <w:tc>
          <w:tcPr>
            <w:tcW w:w="0" w:type="auto"/>
          </w:tcPr>
          <w:p w:rsidR="00903D89" w:rsidRPr="00A3582C" w:rsidRDefault="00903D89">
            <w:pPr>
              <w:rPr>
                <w:sz w:val="20"/>
                <w:szCs w:val="20"/>
              </w:rPr>
            </w:pPr>
            <w:r w:rsidRPr="00A3582C">
              <w:rPr>
                <w:sz w:val="20"/>
                <w:szCs w:val="20"/>
              </w:rPr>
              <w:t>Volatility (lagged)</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0.0755</w:t>
            </w:r>
          </w:p>
        </w:tc>
        <w:tc>
          <w:tcPr>
            <w:tcW w:w="0" w:type="auto"/>
          </w:tcPr>
          <w:p w:rsidR="00903D89" w:rsidRPr="00A3582C" w:rsidRDefault="00DB381E">
            <w:pPr>
              <w:rPr>
                <w:sz w:val="20"/>
                <w:szCs w:val="20"/>
              </w:rPr>
            </w:pPr>
            <w:r>
              <w:rPr>
                <w:sz w:val="20"/>
                <w:szCs w:val="20"/>
              </w:rPr>
              <w:t>*</w:t>
            </w:r>
          </w:p>
        </w:tc>
        <w:tc>
          <w:tcPr>
            <w:tcW w:w="0" w:type="auto"/>
          </w:tcPr>
          <w:p w:rsidR="00903D89" w:rsidRPr="00A3582C" w:rsidRDefault="00903D89">
            <w:pPr>
              <w:jc w:val="right"/>
              <w:rPr>
                <w:sz w:val="20"/>
                <w:szCs w:val="20"/>
              </w:rPr>
            </w:pPr>
            <w:r w:rsidRPr="00A3582C">
              <w:rPr>
                <w:sz w:val="20"/>
                <w:szCs w:val="20"/>
              </w:rPr>
              <w:t>14.6</w:t>
            </w:r>
          </w:p>
        </w:tc>
      </w:tr>
      <w:tr w:rsidR="00903D89" w:rsidRPr="00BD04E4">
        <w:trPr>
          <w:jc w:val="center"/>
        </w:trPr>
        <w:tc>
          <w:tcPr>
            <w:tcW w:w="0" w:type="auto"/>
          </w:tcPr>
          <w:p w:rsidR="00903D89" w:rsidRPr="00A3582C" w:rsidRDefault="00903D89">
            <w:pPr>
              <w:rPr>
                <w:sz w:val="20"/>
                <w:szCs w:val="20"/>
              </w:rPr>
            </w:pPr>
            <w:r w:rsidRPr="00A3582C">
              <w:rPr>
                <w:sz w:val="20"/>
                <w:szCs w:val="20"/>
              </w:rPr>
              <w:t>Year Dummies</w:t>
            </w:r>
            <w:r w:rsidR="00681C37">
              <w:rPr>
                <w:sz w:val="20"/>
                <w:szCs w:val="20"/>
              </w:rPr>
              <w:t xml:space="preserve"> </w:t>
            </w:r>
            <w:r w:rsidRPr="00A3582C">
              <w:rPr>
                <w:sz w:val="20"/>
                <w:szCs w:val="20"/>
              </w:rPr>
              <w:t>(not reported)</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Yes</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p>
        </w:tc>
      </w:tr>
      <w:tr w:rsidR="00903D89" w:rsidRPr="00BD04E4">
        <w:trPr>
          <w:jc w:val="center"/>
        </w:trPr>
        <w:tc>
          <w:tcPr>
            <w:tcW w:w="0" w:type="auto"/>
          </w:tcPr>
          <w:p w:rsidR="00903D89" w:rsidRPr="00A3582C" w:rsidRDefault="00903D89">
            <w:pPr>
              <w:rPr>
                <w:sz w:val="20"/>
                <w:szCs w:val="20"/>
              </w:rPr>
            </w:pPr>
            <w:r w:rsidRPr="00A3582C">
              <w:rPr>
                <w:sz w:val="20"/>
                <w:szCs w:val="20"/>
              </w:rPr>
              <w:t>Industry Dummies</w:t>
            </w:r>
            <w:r w:rsidR="00681C37">
              <w:rPr>
                <w:sz w:val="20"/>
                <w:szCs w:val="20"/>
              </w:rPr>
              <w:t xml:space="preserve"> </w:t>
            </w:r>
            <w:r w:rsidRPr="00A3582C">
              <w:rPr>
                <w:sz w:val="20"/>
                <w:szCs w:val="20"/>
              </w:rPr>
              <w:t>(not reported)</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r w:rsidRPr="00A3582C">
              <w:rPr>
                <w:sz w:val="20"/>
                <w:szCs w:val="20"/>
              </w:rPr>
              <w:t>Yes</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p>
        </w:tc>
      </w:tr>
      <w:tr w:rsidR="00903D89" w:rsidRPr="00BD04E4">
        <w:trPr>
          <w:jc w:val="center"/>
        </w:trPr>
        <w:tc>
          <w:tcPr>
            <w:tcW w:w="0" w:type="auto"/>
          </w:tcPr>
          <w:p w:rsidR="00903D89" w:rsidRPr="00A3582C" w:rsidRDefault="00BE68D7">
            <w:pPr>
              <w:rPr>
                <w:b/>
                <w:sz w:val="20"/>
                <w:szCs w:val="20"/>
              </w:rPr>
            </w:pPr>
            <w:r w:rsidRPr="003D161B">
              <w:rPr>
                <w:sz w:val="20"/>
                <w:szCs w:val="20"/>
              </w:rPr>
              <w:t>Number of observations</w:t>
            </w:r>
          </w:p>
        </w:tc>
        <w:tc>
          <w:tcPr>
            <w:tcW w:w="0" w:type="auto"/>
          </w:tcPr>
          <w:p w:rsidR="00903D89" w:rsidRPr="00A3582C" w:rsidRDefault="00903D89">
            <w:pPr>
              <w:rPr>
                <w:sz w:val="20"/>
                <w:szCs w:val="20"/>
              </w:rPr>
            </w:pPr>
          </w:p>
        </w:tc>
        <w:tc>
          <w:tcPr>
            <w:tcW w:w="0" w:type="auto"/>
          </w:tcPr>
          <w:p w:rsidR="00903D89" w:rsidRPr="00A3582C" w:rsidRDefault="00D4567C">
            <w:pPr>
              <w:jc w:val="right"/>
              <w:rPr>
                <w:sz w:val="20"/>
                <w:szCs w:val="20"/>
              </w:rPr>
            </w:pPr>
            <w:r>
              <w:rPr>
                <w:sz w:val="20"/>
                <w:szCs w:val="20"/>
              </w:rPr>
              <w:t>12,819</w:t>
            </w:r>
          </w:p>
        </w:tc>
        <w:tc>
          <w:tcPr>
            <w:tcW w:w="0" w:type="auto"/>
          </w:tcPr>
          <w:p w:rsidR="00903D89" w:rsidRPr="00A3582C" w:rsidRDefault="00903D89">
            <w:pPr>
              <w:rPr>
                <w:sz w:val="20"/>
                <w:szCs w:val="20"/>
              </w:rPr>
            </w:pPr>
          </w:p>
        </w:tc>
        <w:tc>
          <w:tcPr>
            <w:tcW w:w="0" w:type="auto"/>
          </w:tcPr>
          <w:p w:rsidR="00903D89" w:rsidRPr="00A3582C" w:rsidRDefault="00903D89">
            <w:pPr>
              <w:jc w:val="right"/>
              <w:rPr>
                <w:sz w:val="20"/>
                <w:szCs w:val="20"/>
              </w:rPr>
            </w:pPr>
          </w:p>
        </w:tc>
      </w:tr>
    </w:tbl>
    <w:p w:rsidR="00903D89" w:rsidRPr="00BD04E4" w:rsidRDefault="00903D89"/>
    <w:p w:rsidR="00903D89" w:rsidRPr="00BD04E4" w:rsidRDefault="00903D89"/>
    <w:p w:rsidR="00903D89" w:rsidRPr="00BD04E4" w:rsidRDefault="00903D89">
      <w:pPr>
        <w:ind w:left="360"/>
        <w:rPr>
          <w:b/>
        </w:rPr>
      </w:pPr>
    </w:p>
    <w:p w:rsidR="00903D89" w:rsidRPr="00BD04E4" w:rsidRDefault="00903D89">
      <w:pPr>
        <w:pStyle w:val="Footer"/>
        <w:tabs>
          <w:tab w:val="clear" w:pos="4320"/>
          <w:tab w:val="clear" w:pos="8640"/>
        </w:tabs>
      </w:pPr>
    </w:p>
    <w:p w:rsidR="00903D89" w:rsidRPr="00BD04E4" w:rsidRDefault="00903D89">
      <w:r w:rsidRPr="00BD04E4">
        <w:lastRenderedPageBreak/>
        <w:br w:type="page"/>
      </w:r>
    </w:p>
    <w:p w:rsidR="00903D89" w:rsidRPr="00BD04E4" w:rsidRDefault="00903D89">
      <w:pPr>
        <w:rPr>
          <w:b/>
        </w:rPr>
      </w:pPr>
      <w:r w:rsidRPr="00BD04E4">
        <w:rPr>
          <w:b/>
        </w:rPr>
        <w:lastRenderedPageBreak/>
        <w:t xml:space="preserve">Table </w:t>
      </w:r>
      <w:r w:rsidR="00E817C9">
        <w:rPr>
          <w:b/>
        </w:rPr>
        <w:t>8</w:t>
      </w:r>
    </w:p>
    <w:p w:rsidR="00903D89" w:rsidRDefault="00903D89">
      <w:pPr>
        <w:rPr>
          <w:b/>
        </w:rPr>
      </w:pPr>
      <w:r w:rsidRPr="00BD04E4">
        <w:rPr>
          <w:b/>
        </w:rPr>
        <w:t>Forecast Error Regression – Owning Period / Non-Owning Period – Disclosing Sample</w:t>
      </w:r>
    </w:p>
    <w:p w:rsidR="00974149" w:rsidRPr="00BD04E4" w:rsidRDefault="00974149">
      <w:pPr>
        <w:rPr>
          <w:b/>
        </w:rPr>
      </w:pPr>
    </w:p>
    <w:p w:rsidR="00225AA9" w:rsidRPr="00576D32" w:rsidRDefault="00903D89" w:rsidP="00225AA9">
      <w:pPr>
        <w:pStyle w:val="BodyTextIndent"/>
        <w:spacing w:line="240" w:lineRule="auto"/>
        <w:ind w:firstLine="0"/>
        <w:rPr>
          <w:sz w:val="20"/>
          <w:szCs w:val="20"/>
        </w:rPr>
      </w:pPr>
      <w:r w:rsidRPr="00C731E1">
        <w:rPr>
          <w:sz w:val="20"/>
          <w:szCs w:val="20"/>
        </w:rPr>
        <w:t>This table</w:t>
      </w:r>
      <w:r w:rsidR="00974149" w:rsidRPr="00C731E1">
        <w:rPr>
          <w:sz w:val="20"/>
          <w:szCs w:val="20"/>
        </w:rPr>
        <w:t xml:space="preserve"> analyzes an expanded</w:t>
      </w:r>
      <w:r w:rsidRPr="00C731E1">
        <w:rPr>
          <w:sz w:val="20"/>
          <w:szCs w:val="20"/>
        </w:rPr>
        <w:t xml:space="preserve"> sample</w:t>
      </w:r>
      <w:r w:rsidR="00974149" w:rsidRPr="00C731E1">
        <w:rPr>
          <w:sz w:val="20"/>
          <w:szCs w:val="20"/>
        </w:rPr>
        <w:t>, by adding</w:t>
      </w:r>
      <w:r w:rsidRPr="00C731E1">
        <w:rPr>
          <w:sz w:val="20"/>
          <w:szCs w:val="20"/>
        </w:rPr>
        <w:t xml:space="preserve"> any forecasts</w:t>
      </w:r>
      <w:r w:rsidR="009C58F1">
        <w:rPr>
          <w:sz w:val="20"/>
          <w:szCs w:val="20"/>
        </w:rPr>
        <w:t xml:space="preserve"> related to stock owned by an analyst but</w:t>
      </w:r>
      <w:r w:rsidRPr="00C731E1">
        <w:rPr>
          <w:sz w:val="20"/>
          <w:szCs w:val="20"/>
        </w:rPr>
        <w:t xml:space="preserve"> issued before or after the ownership period</w:t>
      </w:r>
      <w:r w:rsidR="00974149" w:rsidRPr="00C731E1">
        <w:rPr>
          <w:sz w:val="20"/>
          <w:szCs w:val="20"/>
        </w:rPr>
        <w:t xml:space="preserve"> for</w:t>
      </w:r>
      <w:r w:rsidRPr="00C731E1">
        <w:rPr>
          <w:sz w:val="20"/>
          <w:szCs w:val="20"/>
        </w:rPr>
        <w:t xml:space="preserve"> both owning and control analysts </w:t>
      </w:r>
      <w:r w:rsidR="00974149" w:rsidRPr="00C731E1">
        <w:rPr>
          <w:sz w:val="20"/>
          <w:szCs w:val="20"/>
        </w:rPr>
        <w:t xml:space="preserve">to the </w:t>
      </w:r>
      <w:r w:rsidR="00E817C9">
        <w:rPr>
          <w:sz w:val="20"/>
          <w:szCs w:val="20"/>
        </w:rPr>
        <w:t>Table 3</w:t>
      </w:r>
      <w:r w:rsidR="00974149" w:rsidRPr="00C731E1">
        <w:rPr>
          <w:sz w:val="20"/>
          <w:szCs w:val="20"/>
        </w:rPr>
        <w:t xml:space="preserve">, Panel B sample.  The purpose is to compare reporting behavior during the ownership period to behavior during a non-ownership period.  </w:t>
      </w:r>
      <w:r w:rsidR="00C731E1" w:rsidRPr="00C731E1">
        <w:rPr>
          <w:sz w:val="20"/>
          <w:szCs w:val="20"/>
        </w:rPr>
        <w:t xml:space="preserve">Owning analysts are identified as sell-side analysts that provide research coverage on a company and disclose ownership in that same company.  </w:t>
      </w:r>
      <w:r w:rsidR="00C731E1" w:rsidRPr="00C731E1">
        <w:rPr>
          <w:b/>
          <w:sz w:val="20"/>
          <w:szCs w:val="20"/>
        </w:rPr>
        <w:t>Forecast error</w:t>
      </w:r>
      <w:r w:rsidR="009C58F1">
        <w:rPr>
          <w:b/>
          <w:sz w:val="20"/>
          <w:szCs w:val="20"/>
        </w:rPr>
        <w:t xml:space="preserve"> (FE)</w:t>
      </w:r>
      <w:r w:rsidR="00C731E1" w:rsidRPr="00C731E1">
        <w:rPr>
          <w:b/>
          <w:sz w:val="20"/>
          <w:szCs w:val="20"/>
        </w:rPr>
        <w:t xml:space="preserve"> </w:t>
      </w:r>
      <w:r w:rsidR="00C731E1" w:rsidRPr="00C731E1">
        <w:rPr>
          <w:sz w:val="20"/>
          <w:szCs w:val="20"/>
        </w:rPr>
        <w:t xml:space="preserve">is actual earnings for the quarter less the analyst’s earnings forecast all deflated by lagged stock price. </w:t>
      </w:r>
      <w:r w:rsidR="009E7167">
        <w:rPr>
          <w:b/>
          <w:sz w:val="20"/>
          <w:szCs w:val="20"/>
        </w:rPr>
        <w:t>Non-</w:t>
      </w:r>
      <w:r w:rsidR="00C731E1" w:rsidRPr="00C731E1">
        <w:rPr>
          <w:b/>
          <w:sz w:val="20"/>
          <w:szCs w:val="20"/>
        </w:rPr>
        <w:t>Owning period</w:t>
      </w:r>
      <w:r w:rsidR="00C731E1" w:rsidRPr="00C731E1">
        <w:rPr>
          <w:sz w:val="20"/>
          <w:szCs w:val="20"/>
        </w:rPr>
        <w:t xml:space="preserve"> is a dummy variable indicating that no analyst owns the stock during the forecast period.  </w:t>
      </w:r>
      <w:r w:rsidR="00C731E1" w:rsidRPr="00C731E1">
        <w:rPr>
          <w:b/>
          <w:sz w:val="20"/>
          <w:szCs w:val="20"/>
        </w:rPr>
        <w:t>Own</w:t>
      </w:r>
      <w:r w:rsidR="00C731E1" w:rsidRPr="00C731E1">
        <w:rPr>
          <w:sz w:val="20"/>
          <w:szCs w:val="20"/>
        </w:rPr>
        <w:t xml:space="preserve"> is a dummy variable indicating whether the analyst owns the stock on which she issues a report.  </w:t>
      </w:r>
      <w:r w:rsidR="009E7167">
        <w:rPr>
          <w:b/>
          <w:sz w:val="20"/>
          <w:szCs w:val="20"/>
        </w:rPr>
        <w:t>Owning-</w:t>
      </w:r>
      <w:r w:rsidR="00C731E1" w:rsidRPr="00C731E1">
        <w:rPr>
          <w:b/>
          <w:sz w:val="20"/>
          <w:szCs w:val="20"/>
        </w:rPr>
        <w:t xml:space="preserve">analyst – non-owning period </w:t>
      </w:r>
      <w:r w:rsidR="00C731E1" w:rsidRPr="00C731E1">
        <w:rPr>
          <w:sz w:val="20"/>
          <w:szCs w:val="20"/>
        </w:rPr>
        <w:t xml:space="preserve">is a dummy variable indicating whether an analyst owns the stock during another quarter but does not own during the current quarter.  </w:t>
      </w:r>
      <w:r w:rsidR="00C731E1" w:rsidRPr="00C731E1">
        <w:rPr>
          <w:b/>
          <w:sz w:val="20"/>
          <w:szCs w:val="20"/>
        </w:rPr>
        <w:t xml:space="preserve">IPO Underwriter </w:t>
      </w:r>
      <w:r w:rsidR="00C731E1" w:rsidRPr="00C731E1">
        <w:rPr>
          <w:sz w:val="20"/>
          <w:szCs w:val="20"/>
        </w:rPr>
        <w:t>is a</w:t>
      </w:r>
      <w:r w:rsidR="00C731E1" w:rsidRPr="00C731E1">
        <w:rPr>
          <w:b/>
          <w:sz w:val="20"/>
          <w:szCs w:val="20"/>
        </w:rPr>
        <w:t xml:space="preserve"> </w:t>
      </w:r>
      <w:r w:rsidR="00C731E1" w:rsidRPr="00C731E1">
        <w:rPr>
          <w:sz w:val="20"/>
          <w:szCs w:val="20"/>
        </w:rPr>
        <w:t xml:space="preserve">dummy variable indicating whether the analyst's brokerage firm is the IPO lead underwriter and the analyst report is issued within one year after the IPO.  </w:t>
      </w:r>
      <w:r w:rsidR="00C731E1" w:rsidRPr="00C731E1">
        <w:rPr>
          <w:b/>
          <w:sz w:val="20"/>
          <w:szCs w:val="20"/>
        </w:rPr>
        <w:t xml:space="preserve">IPO Co-manager </w:t>
      </w:r>
      <w:r w:rsidR="00C731E1" w:rsidRPr="00C731E1">
        <w:rPr>
          <w:sz w:val="20"/>
          <w:szCs w:val="20"/>
        </w:rPr>
        <w:t xml:space="preserve">is defined in the same way.  </w:t>
      </w:r>
      <w:r w:rsidR="00C731E1" w:rsidRPr="00C731E1">
        <w:rPr>
          <w:b/>
          <w:sz w:val="20"/>
          <w:szCs w:val="20"/>
        </w:rPr>
        <w:t xml:space="preserve">SEO Underwriter </w:t>
      </w:r>
      <w:r w:rsidR="00C731E1" w:rsidRPr="00C731E1">
        <w:rPr>
          <w:sz w:val="20"/>
          <w:szCs w:val="20"/>
        </w:rPr>
        <w:t xml:space="preserve">is a dummy variable indicating whether the analyst's brokerage firm is the SEO lead underwriter and the analyst report is issued within six months before and one year after the SEO.  </w:t>
      </w:r>
      <w:r w:rsidR="00C731E1" w:rsidRPr="00C731E1">
        <w:rPr>
          <w:b/>
          <w:sz w:val="20"/>
          <w:szCs w:val="20"/>
        </w:rPr>
        <w:t>SEO Co-manager</w:t>
      </w:r>
      <w:r w:rsidR="00C731E1" w:rsidRPr="00C731E1">
        <w:rPr>
          <w:sz w:val="20"/>
          <w:szCs w:val="20"/>
        </w:rPr>
        <w:t xml:space="preserve"> is defined the same way.  </w:t>
      </w:r>
      <w:r w:rsidR="00C731E1" w:rsidRPr="00C731E1">
        <w:rPr>
          <w:b/>
          <w:sz w:val="20"/>
          <w:szCs w:val="20"/>
        </w:rPr>
        <w:t>Forecast age</w:t>
      </w:r>
      <w:r w:rsidR="00C731E1" w:rsidRPr="00C731E1">
        <w:rPr>
          <w:sz w:val="20"/>
          <w:szCs w:val="20"/>
        </w:rPr>
        <w:t xml:space="preserve"> is the difference, in days, between the date of the analyst’s forecast and the company’s actual earnings announcement.  </w:t>
      </w:r>
      <w:r w:rsidR="00C731E1" w:rsidRPr="00C731E1">
        <w:rPr>
          <w:b/>
          <w:sz w:val="20"/>
          <w:szCs w:val="20"/>
        </w:rPr>
        <w:t xml:space="preserve">Loss </w:t>
      </w:r>
      <w:r w:rsidR="00C731E1" w:rsidRPr="00C731E1">
        <w:rPr>
          <w:sz w:val="20"/>
          <w:szCs w:val="20"/>
        </w:rPr>
        <w:t>is a dummy variable indicating whether the current quarter’s income is a loss or not.</w:t>
      </w:r>
      <w:r w:rsidR="00C731E1" w:rsidRPr="00C731E1">
        <w:rPr>
          <w:b/>
          <w:sz w:val="20"/>
          <w:szCs w:val="20"/>
        </w:rPr>
        <w:t xml:space="preserve">  Follow </w:t>
      </w:r>
      <w:r w:rsidR="00C731E1" w:rsidRPr="00C731E1">
        <w:rPr>
          <w:sz w:val="20"/>
          <w:szCs w:val="20"/>
        </w:rPr>
        <w:t xml:space="preserve">is the number of analysts reporting earnings forecasts on the company during the quarter.  </w:t>
      </w:r>
      <w:r w:rsidR="00C731E1" w:rsidRPr="00C731E1">
        <w:rPr>
          <w:b/>
          <w:sz w:val="20"/>
          <w:szCs w:val="20"/>
        </w:rPr>
        <w:t xml:space="preserve">Broker </w:t>
      </w:r>
      <w:proofErr w:type="spellStart"/>
      <w:r w:rsidR="00C731E1" w:rsidRPr="00C731E1">
        <w:rPr>
          <w:b/>
          <w:sz w:val="20"/>
          <w:szCs w:val="20"/>
        </w:rPr>
        <w:t>Decile</w:t>
      </w:r>
      <w:proofErr w:type="spellEnd"/>
      <w:r w:rsidR="00C731E1" w:rsidRPr="00C731E1">
        <w:rPr>
          <w:b/>
          <w:sz w:val="20"/>
          <w:szCs w:val="20"/>
        </w:rPr>
        <w:t xml:space="preserve"> </w:t>
      </w:r>
      <w:r w:rsidR="00C731E1" w:rsidRPr="00C731E1">
        <w:rPr>
          <w:sz w:val="20"/>
          <w:szCs w:val="20"/>
        </w:rPr>
        <w:t xml:space="preserve">is a </w:t>
      </w:r>
      <w:proofErr w:type="spellStart"/>
      <w:r w:rsidR="00C731E1" w:rsidRPr="00C731E1">
        <w:rPr>
          <w:sz w:val="20"/>
          <w:szCs w:val="20"/>
        </w:rPr>
        <w:t>decile</w:t>
      </w:r>
      <w:proofErr w:type="spellEnd"/>
      <w:r w:rsidR="00C731E1" w:rsidRPr="00C731E1">
        <w:rPr>
          <w:sz w:val="20"/>
          <w:szCs w:val="20"/>
        </w:rPr>
        <w:t xml:space="preserve"> size ranking of</w:t>
      </w:r>
      <w:r w:rsidR="00C731E1" w:rsidRPr="00C731E1">
        <w:rPr>
          <w:b/>
          <w:sz w:val="20"/>
          <w:szCs w:val="20"/>
        </w:rPr>
        <w:t xml:space="preserve"> </w:t>
      </w:r>
      <w:r w:rsidR="00C731E1" w:rsidRPr="00C731E1">
        <w:rPr>
          <w:sz w:val="20"/>
          <w:szCs w:val="20"/>
        </w:rPr>
        <w:t>the analyst’s</w:t>
      </w:r>
      <w:r w:rsidR="00C731E1" w:rsidRPr="00C731E1">
        <w:rPr>
          <w:b/>
          <w:sz w:val="20"/>
          <w:szCs w:val="20"/>
        </w:rPr>
        <w:t xml:space="preserve"> </w:t>
      </w:r>
      <w:r w:rsidR="00C731E1" w:rsidRPr="00C731E1">
        <w:rPr>
          <w:sz w:val="20"/>
          <w:szCs w:val="20"/>
        </w:rPr>
        <w:t xml:space="preserve">brokerage firm, computed annually, </w:t>
      </w:r>
      <w:r w:rsidR="00563454" w:rsidRPr="00C731E1">
        <w:rPr>
          <w:sz w:val="20"/>
          <w:szCs w:val="20"/>
        </w:rPr>
        <w:t>and based</w:t>
      </w:r>
      <w:r w:rsidR="00C731E1" w:rsidRPr="00C731E1">
        <w:rPr>
          <w:sz w:val="20"/>
          <w:szCs w:val="20"/>
        </w:rPr>
        <w:t xml:space="preserve"> on the number of analysts at each brokerage firm as reported by IBES.  </w:t>
      </w:r>
      <w:r w:rsidR="00C731E1" w:rsidRPr="00C731E1">
        <w:rPr>
          <w:b/>
          <w:sz w:val="20"/>
          <w:szCs w:val="20"/>
        </w:rPr>
        <w:t>Experience</w:t>
      </w:r>
      <w:r w:rsidR="00C731E1" w:rsidRPr="00C731E1">
        <w:rPr>
          <w:sz w:val="20"/>
          <w:szCs w:val="20"/>
        </w:rPr>
        <w:t xml:space="preserve"> is a measure of analyst tenure as a sell-side analyst, as of the current year (years in the IBES database is the proxy).  </w:t>
      </w:r>
      <w:r w:rsidR="00C731E1" w:rsidRPr="00C731E1">
        <w:rPr>
          <w:b/>
          <w:sz w:val="20"/>
          <w:szCs w:val="20"/>
        </w:rPr>
        <w:t xml:space="preserve">Complexity </w:t>
      </w:r>
      <w:r w:rsidR="00C731E1" w:rsidRPr="00C731E1">
        <w:rPr>
          <w:sz w:val="20"/>
          <w:szCs w:val="20"/>
        </w:rPr>
        <w:t xml:space="preserve">is the number of companies the analyst covers during the year.  </w:t>
      </w:r>
      <w:r w:rsidR="00C731E1" w:rsidRPr="00C731E1">
        <w:rPr>
          <w:b/>
          <w:sz w:val="20"/>
          <w:szCs w:val="20"/>
        </w:rPr>
        <w:t>Volatility (lagged)</w:t>
      </w:r>
      <w:r w:rsidR="00C731E1" w:rsidRPr="00C731E1">
        <w:rPr>
          <w:sz w:val="20"/>
          <w:szCs w:val="20"/>
        </w:rPr>
        <w:t xml:space="preserve"> is the standard deviation of daily stock returns for the preceding year.  </w:t>
      </w:r>
      <w:r w:rsidR="00C731E1" w:rsidRPr="00C731E1">
        <w:rPr>
          <w:b/>
          <w:sz w:val="20"/>
          <w:szCs w:val="20"/>
        </w:rPr>
        <w:t xml:space="preserve">Industry </w:t>
      </w:r>
      <w:r w:rsidR="00C731E1" w:rsidRPr="00C731E1">
        <w:rPr>
          <w:sz w:val="20"/>
          <w:szCs w:val="20"/>
        </w:rPr>
        <w:t>is a dummy variable, one for each one digit SIC code.</w:t>
      </w:r>
      <w:r w:rsidR="00225AA9">
        <w:rPr>
          <w:sz w:val="20"/>
          <w:szCs w:val="20"/>
        </w:rPr>
        <w:t xml:space="preserve">  * Statistically significant at the 5% level or better.</w:t>
      </w:r>
    </w:p>
    <w:p w:rsidR="00903D89" w:rsidRPr="00C731E1" w:rsidRDefault="00903D89">
      <w:pPr>
        <w:rPr>
          <w:b/>
          <w:sz w:val="20"/>
          <w:szCs w:val="20"/>
        </w:rPr>
      </w:pPr>
    </w:p>
    <w:p w:rsidR="00903D89" w:rsidRPr="00BD04E4" w:rsidRDefault="00903D89">
      <w:pPr>
        <w:rPr>
          <w:i/>
        </w:rPr>
      </w:pPr>
      <w:r w:rsidRPr="00BD04E4">
        <w:rPr>
          <w:i/>
        </w:rPr>
        <w:t>Dependent variable:  Forecast Error (FE).</w:t>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7"/>
        <w:gridCol w:w="294"/>
        <w:gridCol w:w="1521"/>
        <w:gridCol w:w="418"/>
        <w:gridCol w:w="1772"/>
      </w:tblGrid>
      <w:tr w:rsidR="00903D89" w:rsidRPr="00BD04E4">
        <w:trPr>
          <w:jc w:val="center"/>
        </w:trPr>
        <w:tc>
          <w:tcPr>
            <w:tcW w:w="0" w:type="auto"/>
          </w:tcPr>
          <w:p w:rsidR="00903D89" w:rsidRPr="00223E75" w:rsidRDefault="00903D89">
            <w:pPr>
              <w:rPr>
                <w:sz w:val="20"/>
                <w:szCs w:val="20"/>
              </w:rPr>
            </w:pPr>
          </w:p>
        </w:tc>
        <w:tc>
          <w:tcPr>
            <w:tcW w:w="0" w:type="auto"/>
          </w:tcPr>
          <w:p w:rsidR="00903D89" w:rsidRPr="00223E75" w:rsidRDefault="00903D89">
            <w:pPr>
              <w:rPr>
                <w:sz w:val="20"/>
                <w:szCs w:val="20"/>
              </w:rPr>
            </w:pPr>
          </w:p>
        </w:tc>
        <w:tc>
          <w:tcPr>
            <w:tcW w:w="0" w:type="auto"/>
            <w:gridSpan w:val="3"/>
          </w:tcPr>
          <w:p w:rsidR="00903D89" w:rsidRPr="00223E75" w:rsidRDefault="00903D89">
            <w:pPr>
              <w:jc w:val="center"/>
              <w:rPr>
                <w:b/>
                <w:sz w:val="20"/>
                <w:szCs w:val="20"/>
              </w:rPr>
            </w:pPr>
          </w:p>
        </w:tc>
      </w:tr>
      <w:tr w:rsidR="00903D89" w:rsidRPr="00BD04E4">
        <w:trPr>
          <w:jc w:val="center"/>
        </w:trPr>
        <w:tc>
          <w:tcPr>
            <w:tcW w:w="0" w:type="auto"/>
          </w:tcPr>
          <w:p w:rsidR="00903D89" w:rsidRPr="00223E75" w:rsidRDefault="00903D89">
            <w:pPr>
              <w:rPr>
                <w:sz w:val="20"/>
                <w:szCs w:val="20"/>
              </w:rPr>
            </w:pPr>
          </w:p>
        </w:tc>
        <w:tc>
          <w:tcPr>
            <w:tcW w:w="0" w:type="auto"/>
          </w:tcPr>
          <w:p w:rsidR="00903D89" w:rsidRPr="00223E75" w:rsidRDefault="00903D89">
            <w:pPr>
              <w:rPr>
                <w:sz w:val="20"/>
                <w:szCs w:val="20"/>
              </w:rPr>
            </w:pPr>
          </w:p>
        </w:tc>
        <w:tc>
          <w:tcPr>
            <w:tcW w:w="0" w:type="auto"/>
          </w:tcPr>
          <w:p w:rsidR="00903D89" w:rsidRPr="00223E75" w:rsidRDefault="00903D89">
            <w:pPr>
              <w:jc w:val="center"/>
              <w:rPr>
                <w:b/>
                <w:sz w:val="20"/>
                <w:szCs w:val="20"/>
              </w:rPr>
            </w:pPr>
            <w:r w:rsidRPr="00223E75">
              <w:rPr>
                <w:b/>
                <w:sz w:val="20"/>
                <w:szCs w:val="20"/>
              </w:rPr>
              <w:t>Coefficient</w:t>
            </w:r>
          </w:p>
        </w:tc>
        <w:tc>
          <w:tcPr>
            <w:tcW w:w="0" w:type="auto"/>
          </w:tcPr>
          <w:p w:rsidR="00903D89" w:rsidRPr="00223E75" w:rsidRDefault="00903D89">
            <w:pPr>
              <w:rPr>
                <w:sz w:val="20"/>
                <w:szCs w:val="20"/>
              </w:rPr>
            </w:pPr>
          </w:p>
        </w:tc>
        <w:tc>
          <w:tcPr>
            <w:tcW w:w="0" w:type="auto"/>
          </w:tcPr>
          <w:p w:rsidR="00903D89" w:rsidRPr="00223E75" w:rsidRDefault="00903D89">
            <w:pPr>
              <w:jc w:val="center"/>
              <w:rPr>
                <w:b/>
                <w:sz w:val="20"/>
                <w:szCs w:val="20"/>
              </w:rPr>
            </w:pPr>
            <w:r w:rsidRPr="00223E75">
              <w:rPr>
                <w:b/>
                <w:sz w:val="20"/>
                <w:szCs w:val="20"/>
              </w:rPr>
              <w:t>T-Statistic(1)</w:t>
            </w:r>
          </w:p>
        </w:tc>
      </w:tr>
      <w:tr w:rsidR="00903D89" w:rsidRPr="00BD04E4">
        <w:trPr>
          <w:jc w:val="center"/>
        </w:trPr>
        <w:tc>
          <w:tcPr>
            <w:tcW w:w="0" w:type="auto"/>
          </w:tcPr>
          <w:p w:rsidR="00903D89" w:rsidRPr="00223E75" w:rsidRDefault="00903D89">
            <w:pPr>
              <w:rPr>
                <w:sz w:val="20"/>
                <w:szCs w:val="20"/>
              </w:rPr>
            </w:pPr>
            <w:r w:rsidRPr="00223E75">
              <w:rPr>
                <w:sz w:val="20"/>
                <w:szCs w:val="20"/>
              </w:rPr>
              <w:t>Intercept</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-0.0071</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-6.07</w:t>
            </w:r>
          </w:p>
        </w:tc>
      </w:tr>
      <w:tr w:rsidR="00903D89" w:rsidRPr="00BD04E4">
        <w:trPr>
          <w:jc w:val="center"/>
        </w:trPr>
        <w:tc>
          <w:tcPr>
            <w:tcW w:w="0" w:type="auto"/>
          </w:tcPr>
          <w:p w:rsidR="00903D89" w:rsidRPr="00223E75" w:rsidRDefault="003C205B">
            <w:pPr>
              <w:rPr>
                <w:sz w:val="20"/>
                <w:szCs w:val="20"/>
              </w:rPr>
            </w:pPr>
            <w:r>
              <w:rPr>
                <w:sz w:val="20"/>
                <w:szCs w:val="20"/>
              </w:rPr>
              <w:t>Non Owning</w:t>
            </w:r>
            <w:r w:rsidR="00903D89" w:rsidRPr="00223E75">
              <w:rPr>
                <w:sz w:val="20"/>
                <w:szCs w:val="20"/>
              </w:rPr>
              <w:t xml:space="preserve"> Period dummy variable</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0.0001</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0.27</w:t>
            </w:r>
          </w:p>
        </w:tc>
      </w:tr>
      <w:tr w:rsidR="00903D89" w:rsidRPr="00BD04E4">
        <w:trPr>
          <w:jc w:val="center"/>
        </w:trPr>
        <w:tc>
          <w:tcPr>
            <w:tcW w:w="0" w:type="auto"/>
          </w:tcPr>
          <w:p w:rsidR="00903D89" w:rsidRPr="00223E75" w:rsidRDefault="00903D89">
            <w:pPr>
              <w:rPr>
                <w:sz w:val="20"/>
                <w:szCs w:val="20"/>
              </w:rPr>
            </w:pPr>
            <w:r w:rsidRPr="00223E75">
              <w:rPr>
                <w:sz w:val="20"/>
                <w:szCs w:val="20"/>
              </w:rPr>
              <w:t>Analyst Owner Dummy (OWN)</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-0.0008</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-2.59</w:t>
            </w:r>
          </w:p>
        </w:tc>
      </w:tr>
      <w:tr w:rsidR="00903D89" w:rsidRPr="00BD04E4">
        <w:trPr>
          <w:jc w:val="center"/>
        </w:trPr>
        <w:tc>
          <w:tcPr>
            <w:tcW w:w="0" w:type="auto"/>
          </w:tcPr>
          <w:p w:rsidR="00903D89" w:rsidRPr="00223E75" w:rsidRDefault="003C205B">
            <w:pPr>
              <w:rPr>
                <w:sz w:val="20"/>
                <w:szCs w:val="20"/>
              </w:rPr>
            </w:pPr>
            <w:r>
              <w:rPr>
                <w:sz w:val="20"/>
                <w:szCs w:val="20"/>
              </w:rPr>
              <w:t>Owning analyst</w:t>
            </w:r>
            <w:r w:rsidR="00903D89" w:rsidRPr="00223E75">
              <w:rPr>
                <w:sz w:val="20"/>
                <w:szCs w:val="20"/>
              </w:rPr>
              <w:t xml:space="preserve"> – non-owning periods</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-0.0007</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-1.97</w:t>
            </w:r>
          </w:p>
        </w:tc>
      </w:tr>
      <w:tr w:rsidR="00903D89" w:rsidRPr="00BD04E4">
        <w:trPr>
          <w:jc w:val="center"/>
        </w:trPr>
        <w:tc>
          <w:tcPr>
            <w:tcW w:w="0" w:type="auto"/>
          </w:tcPr>
          <w:p w:rsidR="00903D89" w:rsidRPr="00223E75" w:rsidRDefault="00903D89">
            <w:pPr>
              <w:rPr>
                <w:sz w:val="20"/>
                <w:szCs w:val="20"/>
              </w:rPr>
            </w:pPr>
            <w:r w:rsidRPr="00223E75">
              <w:rPr>
                <w:sz w:val="20"/>
                <w:szCs w:val="20"/>
              </w:rPr>
              <w:t>IPO Underwriter</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0.0016</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2.54</w:t>
            </w:r>
          </w:p>
        </w:tc>
      </w:tr>
      <w:tr w:rsidR="00903D89" w:rsidRPr="00BD04E4">
        <w:trPr>
          <w:jc w:val="center"/>
        </w:trPr>
        <w:tc>
          <w:tcPr>
            <w:tcW w:w="0" w:type="auto"/>
          </w:tcPr>
          <w:p w:rsidR="00903D89" w:rsidRPr="00223E75" w:rsidRDefault="00903D89">
            <w:pPr>
              <w:rPr>
                <w:sz w:val="20"/>
                <w:szCs w:val="20"/>
              </w:rPr>
            </w:pPr>
            <w:r w:rsidRPr="00223E75">
              <w:rPr>
                <w:sz w:val="20"/>
                <w:szCs w:val="20"/>
              </w:rPr>
              <w:t>IPO Co-manager</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0.0011</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1.96</w:t>
            </w:r>
          </w:p>
        </w:tc>
      </w:tr>
      <w:tr w:rsidR="00903D89" w:rsidRPr="00BD04E4">
        <w:trPr>
          <w:jc w:val="center"/>
        </w:trPr>
        <w:tc>
          <w:tcPr>
            <w:tcW w:w="0" w:type="auto"/>
          </w:tcPr>
          <w:p w:rsidR="00903D89" w:rsidRPr="00223E75" w:rsidRDefault="00903D89">
            <w:pPr>
              <w:rPr>
                <w:sz w:val="20"/>
                <w:szCs w:val="20"/>
              </w:rPr>
            </w:pPr>
            <w:r w:rsidRPr="00223E75">
              <w:rPr>
                <w:sz w:val="20"/>
                <w:szCs w:val="20"/>
              </w:rPr>
              <w:t>SEO Underwriter</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0.0008</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2.23</w:t>
            </w:r>
          </w:p>
        </w:tc>
      </w:tr>
      <w:tr w:rsidR="00903D89" w:rsidRPr="00BD04E4">
        <w:trPr>
          <w:jc w:val="center"/>
        </w:trPr>
        <w:tc>
          <w:tcPr>
            <w:tcW w:w="0" w:type="auto"/>
          </w:tcPr>
          <w:p w:rsidR="00903D89" w:rsidRPr="00223E75" w:rsidRDefault="00903D89">
            <w:pPr>
              <w:rPr>
                <w:sz w:val="20"/>
                <w:szCs w:val="20"/>
              </w:rPr>
            </w:pPr>
            <w:r w:rsidRPr="00223E75">
              <w:rPr>
                <w:sz w:val="20"/>
                <w:szCs w:val="20"/>
              </w:rPr>
              <w:t>SEO Co-manager</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0.0010</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2.23</w:t>
            </w:r>
          </w:p>
        </w:tc>
      </w:tr>
      <w:tr w:rsidR="00903D89" w:rsidRPr="00BD04E4">
        <w:trPr>
          <w:jc w:val="center"/>
        </w:trPr>
        <w:tc>
          <w:tcPr>
            <w:tcW w:w="0" w:type="auto"/>
          </w:tcPr>
          <w:p w:rsidR="00903D89" w:rsidRPr="00223E75" w:rsidRDefault="00903D89">
            <w:pPr>
              <w:rPr>
                <w:sz w:val="20"/>
                <w:szCs w:val="20"/>
              </w:rPr>
            </w:pPr>
            <w:r w:rsidRPr="00223E75">
              <w:rPr>
                <w:sz w:val="20"/>
                <w:szCs w:val="20"/>
              </w:rPr>
              <w:t>Forecast Age</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-0.0000</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-6.45</w:t>
            </w:r>
          </w:p>
        </w:tc>
      </w:tr>
      <w:tr w:rsidR="00903D89" w:rsidRPr="00BD04E4">
        <w:trPr>
          <w:jc w:val="center"/>
        </w:trPr>
        <w:tc>
          <w:tcPr>
            <w:tcW w:w="0" w:type="auto"/>
          </w:tcPr>
          <w:p w:rsidR="00903D89" w:rsidRPr="00223E75" w:rsidRDefault="00903D89">
            <w:pPr>
              <w:rPr>
                <w:sz w:val="20"/>
                <w:szCs w:val="20"/>
              </w:rPr>
            </w:pPr>
            <w:r w:rsidRPr="00223E75">
              <w:rPr>
                <w:sz w:val="20"/>
                <w:szCs w:val="20"/>
              </w:rPr>
              <w:t>Loss</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-0.0066</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-7.65</w:t>
            </w:r>
          </w:p>
        </w:tc>
      </w:tr>
      <w:tr w:rsidR="00903D89" w:rsidRPr="00BD04E4">
        <w:trPr>
          <w:jc w:val="center"/>
        </w:trPr>
        <w:tc>
          <w:tcPr>
            <w:tcW w:w="0" w:type="auto"/>
          </w:tcPr>
          <w:p w:rsidR="00903D89" w:rsidRPr="00223E75" w:rsidRDefault="00903D89">
            <w:pPr>
              <w:rPr>
                <w:sz w:val="20"/>
                <w:szCs w:val="20"/>
              </w:rPr>
            </w:pPr>
            <w:r w:rsidRPr="00223E75">
              <w:rPr>
                <w:sz w:val="20"/>
                <w:szCs w:val="20"/>
              </w:rPr>
              <w:t>Analyst Following (Follow)</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0.0001</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5.20</w:t>
            </w:r>
          </w:p>
        </w:tc>
      </w:tr>
      <w:tr w:rsidR="00903D89" w:rsidRPr="00BD04E4">
        <w:trPr>
          <w:jc w:val="center"/>
        </w:trPr>
        <w:tc>
          <w:tcPr>
            <w:tcW w:w="0" w:type="auto"/>
          </w:tcPr>
          <w:p w:rsidR="00903D89" w:rsidRPr="00223E75" w:rsidRDefault="00903D89">
            <w:pPr>
              <w:rPr>
                <w:sz w:val="20"/>
                <w:szCs w:val="20"/>
              </w:rPr>
            </w:pPr>
            <w:r w:rsidRPr="00223E75">
              <w:rPr>
                <w:sz w:val="20"/>
                <w:szCs w:val="20"/>
              </w:rPr>
              <w:t xml:space="preserve">Broker </w:t>
            </w:r>
            <w:proofErr w:type="spellStart"/>
            <w:r w:rsidRPr="00223E75">
              <w:rPr>
                <w:sz w:val="20"/>
                <w:szCs w:val="20"/>
              </w:rPr>
              <w:t>Decile</w:t>
            </w:r>
            <w:proofErr w:type="spellEnd"/>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0.0001</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5.69</w:t>
            </w:r>
          </w:p>
        </w:tc>
      </w:tr>
      <w:tr w:rsidR="00903D89" w:rsidRPr="00BD04E4">
        <w:trPr>
          <w:jc w:val="center"/>
        </w:trPr>
        <w:tc>
          <w:tcPr>
            <w:tcW w:w="0" w:type="auto"/>
          </w:tcPr>
          <w:p w:rsidR="00903D89" w:rsidRPr="00223E75" w:rsidRDefault="00903D89">
            <w:pPr>
              <w:rPr>
                <w:sz w:val="20"/>
                <w:szCs w:val="20"/>
              </w:rPr>
            </w:pPr>
            <w:r w:rsidRPr="00223E75">
              <w:rPr>
                <w:sz w:val="20"/>
                <w:szCs w:val="20"/>
              </w:rPr>
              <w:t>Experience</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-0.0000</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-3.36</w:t>
            </w:r>
          </w:p>
        </w:tc>
      </w:tr>
      <w:tr w:rsidR="00903D89" w:rsidRPr="00BD04E4">
        <w:trPr>
          <w:jc w:val="center"/>
        </w:trPr>
        <w:tc>
          <w:tcPr>
            <w:tcW w:w="0" w:type="auto"/>
          </w:tcPr>
          <w:p w:rsidR="00903D89" w:rsidRPr="00223E75" w:rsidRDefault="00903D89">
            <w:pPr>
              <w:rPr>
                <w:sz w:val="20"/>
                <w:szCs w:val="20"/>
              </w:rPr>
            </w:pPr>
            <w:r w:rsidRPr="00223E75">
              <w:rPr>
                <w:sz w:val="20"/>
                <w:szCs w:val="20"/>
              </w:rPr>
              <w:t>Complexity</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0.0000</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1.24</w:t>
            </w:r>
          </w:p>
        </w:tc>
      </w:tr>
      <w:tr w:rsidR="00903D89" w:rsidRPr="00BD04E4">
        <w:trPr>
          <w:jc w:val="center"/>
        </w:trPr>
        <w:tc>
          <w:tcPr>
            <w:tcW w:w="0" w:type="auto"/>
          </w:tcPr>
          <w:p w:rsidR="00903D89" w:rsidRPr="00223E75" w:rsidRDefault="00903D89">
            <w:pPr>
              <w:rPr>
                <w:sz w:val="20"/>
                <w:szCs w:val="20"/>
              </w:rPr>
            </w:pPr>
            <w:r w:rsidRPr="00223E75">
              <w:rPr>
                <w:sz w:val="20"/>
                <w:szCs w:val="20"/>
              </w:rPr>
              <w:t>Volatility (lagged)</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0.0720</w:t>
            </w:r>
          </w:p>
        </w:tc>
        <w:tc>
          <w:tcPr>
            <w:tcW w:w="0" w:type="auto"/>
          </w:tcPr>
          <w:p w:rsidR="00903D89" w:rsidRPr="00223E75" w:rsidRDefault="00225AA9">
            <w:pPr>
              <w:rPr>
                <w:sz w:val="20"/>
                <w:szCs w:val="20"/>
              </w:rPr>
            </w:pPr>
            <w:r>
              <w:rPr>
                <w:sz w:val="20"/>
                <w:szCs w:val="20"/>
              </w:rPr>
              <w:t>*</w:t>
            </w:r>
          </w:p>
        </w:tc>
        <w:tc>
          <w:tcPr>
            <w:tcW w:w="0" w:type="auto"/>
          </w:tcPr>
          <w:p w:rsidR="00903D89" w:rsidRPr="00223E75" w:rsidRDefault="00903D89">
            <w:pPr>
              <w:jc w:val="right"/>
              <w:rPr>
                <w:sz w:val="20"/>
                <w:szCs w:val="20"/>
              </w:rPr>
            </w:pPr>
            <w:r w:rsidRPr="00223E75">
              <w:rPr>
                <w:sz w:val="20"/>
                <w:szCs w:val="20"/>
              </w:rPr>
              <w:t>6.16</w:t>
            </w:r>
          </w:p>
        </w:tc>
      </w:tr>
      <w:tr w:rsidR="00903D89" w:rsidRPr="00BD04E4">
        <w:trPr>
          <w:jc w:val="center"/>
        </w:trPr>
        <w:tc>
          <w:tcPr>
            <w:tcW w:w="0" w:type="auto"/>
          </w:tcPr>
          <w:p w:rsidR="00903D89" w:rsidRPr="00223E75" w:rsidRDefault="00903D89">
            <w:pPr>
              <w:rPr>
                <w:sz w:val="20"/>
                <w:szCs w:val="20"/>
              </w:rPr>
            </w:pPr>
            <w:r w:rsidRPr="00223E75">
              <w:rPr>
                <w:sz w:val="20"/>
                <w:szCs w:val="20"/>
              </w:rPr>
              <w:t>Industry Dummies</w:t>
            </w:r>
            <w:r w:rsidR="00681C37">
              <w:rPr>
                <w:sz w:val="20"/>
                <w:szCs w:val="20"/>
              </w:rPr>
              <w:t xml:space="preserve"> </w:t>
            </w:r>
            <w:r w:rsidRPr="00223E75">
              <w:rPr>
                <w:sz w:val="20"/>
                <w:szCs w:val="20"/>
              </w:rPr>
              <w:t>(not reported)</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r w:rsidRPr="00223E75">
              <w:rPr>
                <w:sz w:val="20"/>
                <w:szCs w:val="20"/>
              </w:rPr>
              <w:t>Yes</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p>
        </w:tc>
      </w:tr>
      <w:tr w:rsidR="00903D89" w:rsidRPr="00BD04E4">
        <w:trPr>
          <w:jc w:val="center"/>
        </w:trPr>
        <w:tc>
          <w:tcPr>
            <w:tcW w:w="0" w:type="auto"/>
          </w:tcPr>
          <w:p w:rsidR="00903D89" w:rsidRPr="00223E75" w:rsidRDefault="00BE68D7">
            <w:pPr>
              <w:rPr>
                <w:b/>
                <w:sz w:val="20"/>
                <w:szCs w:val="20"/>
              </w:rPr>
            </w:pPr>
            <w:r w:rsidRPr="003D161B">
              <w:rPr>
                <w:sz w:val="20"/>
                <w:szCs w:val="20"/>
              </w:rPr>
              <w:t>Number of observations</w:t>
            </w:r>
          </w:p>
        </w:tc>
        <w:tc>
          <w:tcPr>
            <w:tcW w:w="0" w:type="auto"/>
          </w:tcPr>
          <w:p w:rsidR="00903D89" w:rsidRPr="00223E75" w:rsidRDefault="00903D89">
            <w:pPr>
              <w:rPr>
                <w:sz w:val="20"/>
                <w:szCs w:val="20"/>
              </w:rPr>
            </w:pPr>
          </w:p>
        </w:tc>
        <w:tc>
          <w:tcPr>
            <w:tcW w:w="0" w:type="auto"/>
          </w:tcPr>
          <w:p w:rsidR="00903D89" w:rsidRPr="00223E75" w:rsidRDefault="001365FD">
            <w:pPr>
              <w:jc w:val="right"/>
              <w:rPr>
                <w:sz w:val="20"/>
                <w:szCs w:val="20"/>
              </w:rPr>
            </w:pPr>
            <w:r>
              <w:rPr>
                <w:sz w:val="20"/>
                <w:szCs w:val="20"/>
              </w:rPr>
              <w:t>30,998</w:t>
            </w:r>
          </w:p>
        </w:tc>
        <w:tc>
          <w:tcPr>
            <w:tcW w:w="0" w:type="auto"/>
          </w:tcPr>
          <w:p w:rsidR="00903D89" w:rsidRPr="00223E75" w:rsidRDefault="00903D89">
            <w:pPr>
              <w:rPr>
                <w:sz w:val="20"/>
                <w:szCs w:val="20"/>
              </w:rPr>
            </w:pPr>
          </w:p>
        </w:tc>
        <w:tc>
          <w:tcPr>
            <w:tcW w:w="0" w:type="auto"/>
          </w:tcPr>
          <w:p w:rsidR="00903D89" w:rsidRPr="00223E75" w:rsidRDefault="00903D89">
            <w:pPr>
              <w:jc w:val="right"/>
              <w:rPr>
                <w:sz w:val="20"/>
                <w:szCs w:val="20"/>
              </w:rPr>
            </w:pPr>
          </w:p>
        </w:tc>
      </w:tr>
    </w:tbl>
    <w:p w:rsidR="00903D89" w:rsidRPr="00316ED4" w:rsidRDefault="00903D89" w:rsidP="00316ED4">
      <w:pPr>
        <w:ind w:firstLine="360"/>
        <w:rPr>
          <w:sz w:val="20"/>
          <w:szCs w:val="20"/>
        </w:rPr>
      </w:pPr>
      <w:r w:rsidRPr="00223E75">
        <w:rPr>
          <w:sz w:val="20"/>
          <w:szCs w:val="20"/>
        </w:rPr>
        <w:t xml:space="preserve">(1) </w:t>
      </w:r>
      <w:proofErr w:type="spellStart"/>
      <w:r w:rsidRPr="00223E75">
        <w:rPr>
          <w:sz w:val="20"/>
          <w:szCs w:val="20"/>
        </w:rPr>
        <w:t>Fama</w:t>
      </w:r>
      <w:proofErr w:type="spellEnd"/>
      <w:r w:rsidRPr="00223E75">
        <w:rPr>
          <w:sz w:val="20"/>
          <w:szCs w:val="20"/>
        </w:rPr>
        <w:t xml:space="preserve">-Macbeth </w:t>
      </w:r>
      <w:r w:rsidR="00223E75" w:rsidRPr="00223E75">
        <w:rPr>
          <w:sz w:val="20"/>
          <w:szCs w:val="20"/>
        </w:rPr>
        <w:t>Average Coefficients (</w:t>
      </w:r>
      <w:r w:rsidR="00223E75" w:rsidRPr="00223E75">
        <w:rPr>
          <w:position w:val="-10"/>
          <w:sz w:val="20"/>
          <w:szCs w:val="20"/>
        </w:rPr>
        <w:object w:dxaOrig="220" w:dyaOrig="300">
          <v:shape id="_x0000_i1028" type="#_x0000_t75" style="width:11.25pt;height:15pt" o:ole="">
            <v:imagedata r:id="rId11" o:title=""/>
          </v:shape>
          <o:OLEObject Type="Embed" ProgID="Equation.3" ShapeID="_x0000_i1028" DrawAspect="Content" ObjectID="_1393744586" r:id="rId15"/>
        </w:object>
      </w:r>
      <w:r w:rsidR="00223E75" w:rsidRPr="00223E75">
        <w:rPr>
          <w:sz w:val="20"/>
          <w:szCs w:val="20"/>
        </w:rPr>
        <w:t xml:space="preserve">) and T-Statistics  </w:t>
      </w:r>
      <w:r w:rsidR="00223E75" w:rsidRPr="00223E75">
        <w:rPr>
          <w:position w:val="-28"/>
          <w:sz w:val="20"/>
          <w:szCs w:val="20"/>
        </w:rPr>
        <w:object w:dxaOrig="1260" w:dyaOrig="660">
          <v:shape id="_x0000_i1029" type="#_x0000_t75" style="width:85.5pt;height:31.5pt" o:ole="">
            <v:imagedata r:id="rId13" o:title=""/>
          </v:shape>
          <o:OLEObject Type="Embed" ProgID="Equation.3" ShapeID="_x0000_i1029" DrawAspect="Content" ObjectID="_1393744587" r:id="rId16"/>
        </w:object>
      </w:r>
    </w:p>
    <w:sectPr w:rsidR="00903D89" w:rsidRPr="00316ED4" w:rsidSect="00C17680">
      <w:footerReference w:type="even" r:id="rId17"/>
      <w:footerReference w:type="default" r:id="rId18"/>
      <w:footerReference w:type="first" r:id="rId19"/>
      <w:endnotePr>
        <w:numFmt w:val="decimal"/>
      </w:endnotePr>
      <w:pgSz w:w="12240" w:h="15840" w:code="1"/>
      <w:pgMar w:top="1440" w:right="1440" w:bottom="1440" w:left="2160" w:header="720" w:footer="15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661" w:rsidRDefault="00545661">
      <w:r>
        <w:separator/>
      </w:r>
    </w:p>
  </w:endnote>
  <w:endnote w:type="continuationSeparator" w:id="0">
    <w:p w:rsidR="00545661" w:rsidRDefault="00545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22" w:rsidRDefault="00915317">
    <w:pPr>
      <w:pStyle w:val="Footer"/>
      <w:ind w:right="360"/>
      <w:jc w:val="center"/>
    </w:pPr>
    <w:r>
      <w:rPr>
        <w:rStyle w:val="PageNumber"/>
      </w:rPr>
      <w:fldChar w:fldCharType="begin"/>
    </w:r>
    <w:r w:rsidR="00236622">
      <w:rPr>
        <w:rStyle w:val="PageNumber"/>
      </w:rPr>
      <w:instrText xml:space="preserve"> PAGE </w:instrText>
    </w:r>
    <w:r>
      <w:rPr>
        <w:rStyle w:val="PageNumber"/>
      </w:rPr>
      <w:fldChar w:fldCharType="separate"/>
    </w:r>
    <w:r w:rsidR="00F66820">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22" w:rsidRDefault="0023662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22" w:rsidRDefault="00915317">
    <w:pPr>
      <w:pStyle w:val="Footer"/>
      <w:framePr w:wrap="around" w:vAnchor="text" w:hAnchor="margin" w:xAlign="right" w:y="1"/>
      <w:rPr>
        <w:rStyle w:val="PageNumber"/>
      </w:rPr>
    </w:pPr>
    <w:r>
      <w:rPr>
        <w:rStyle w:val="PageNumber"/>
      </w:rPr>
      <w:fldChar w:fldCharType="begin"/>
    </w:r>
    <w:r w:rsidR="00236622">
      <w:rPr>
        <w:rStyle w:val="PageNumber"/>
      </w:rPr>
      <w:instrText xml:space="preserve">PAGE  </w:instrText>
    </w:r>
    <w:r>
      <w:rPr>
        <w:rStyle w:val="PageNumber"/>
      </w:rPr>
      <w:fldChar w:fldCharType="end"/>
    </w:r>
  </w:p>
  <w:p w:rsidR="00236622" w:rsidRDefault="0023662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22" w:rsidRDefault="00915317">
    <w:pPr>
      <w:pStyle w:val="Footer"/>
      <w:ind w:right="360"/>
      <w:jc w:val="center"/>
    </w:pPr>
    <w:r>
      <w:rPr>
        <w:rStyle w:val="PageNumber"/>
      </w:rPr>
      <w:fldChar w:fldCharType="begin"/>
    </w:r>
    <w:r w:rsidR="00236622">
      <w:rPr>
        <w:rStyle w:val="PageNumber"/>
      </w:rPr>
      <w:instrText xml:space="preserve"> PAGE </w:instrText>
    </w:r>
    <w:r>
      <w:rPr>
        <w:rStyle w:val="PageNumber"/>
      </w:rPr>
      <w:fldChar w:fldCharType="separate"/>
    </w:r>
    <w:r w:rsidR="00DC2D12">
      <w:rPr>
        <w:rStyle w:val="PageNumber"/>
        <w:noProof/>
      </w:rPr>
      <w:t>42</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22" w:rsidRDefault="00915317">
    <w:pPr>
      <w:pStyle w:val="Footer"/>
      <w:jc w:val="center"/>
    </w:pPr>
    <w:r>
      <w:rPr>
        <w:rStyle w:val="PageNumber"/>
      </w:rPr>
      <w:fldChar w:fldCharType="begin"/>
    </w:r>
    <w:r w:rsidR="00236622">
      <w:rPr>
        <w:rStyle w:val="PageNumber"/>
      </w:rPr>
      <w:instrText xml:space="preserve"> PAGE </w:instrText>
    </w:r>
    <w:r>
      <w:rPr>
        <w:rStyle w:val="PageNumber"/>
      </w:rPr>
      <w:fldChar w:fldCharType="separate"/>
    </w:r>
    <w:r w:rsidR="00DC2D12">
      <w:rPr>
        <w:rStyle w:val="PageNumber"/>
        <w:noProof/>
      </w:rPr>
      <w:t>36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661" w:rsidRDefault="00545661">
      <w:r>
        <w:separator/>
      </w:r>
    </w:p>
  </w:footnote>
  <w:footnote w:type="continuationSeparator" w:id="0">
    <w:p w:rsidR="00545661" w:rsidRDefault="00545661">
      <w:r>
        <w:continuationSeparator/>
      </w:r>
    </w:p>
  </w:footnote>
  <w:footnote w:id="1">
    <w:p w:rsidR="00236622" w:rsidRPr="00731564" w:rsidRDefault="00236622" w:rsidP="00B75881">
      <w:pPr>
        <w:pStyle w:val="FootnoteText"/>
      </w:pPr>
      <w:r w:rsidRPr="00FF7A22">
        <w:rPr>
          <w:rStyle w:val="FootnoteReference"/>
        </w:rPr>
        <w:footnoteRef/>
      </w:r>
      <w:r>
        <w:t xml:space="preserve"> For incentive support see, Lim (2001), Lin and </w:t>
      </w:r>
      <w:proofErr w:type="spellStart"/>
      <w:r>
        <w:t>McNichols</w:t>
      </w:r>
      <w:proofErr w:type="spellEnd"/>
      <w:r>
        <w:t xml:space="preserve">, (1998), </w:t>
      </w:r>
      <w:proofErr w:type="spellStart"/>
      <w:r w:rsidRPr="00FF7A22">
        <w:t>McNichols</w:t>
      </w:r>
      <w:proofErr w:type="spellEnd"/>
      <w:r w:rsidRPr="00FF7A22">
        <w:t xml:space="preserve"> and O’Brien (1997); for alternative explanations see, Kean</w:t>
      </w:r>
      <w:r>
        <w:t xml:space="preserve">e and </w:t>
      </w:r>
      <w:proofErr w:type="spellStart"/>
      <w:r>
        <w:t>Runkle</w:t>
      </w:r>
      <w:proofErr w:type="spellEnd"/>
      <w:r>
        <w:t xml:space="preserve">, (1998), </w:t>
      </w:r>
      <w:proofErr w:type="spellStart"/>
      <w:proofErr w:type="gramStart"/>
      <w:r>
        <w:t>Gu</w:t>
      </w:r>
      <w:proofErr w:type="spellEnd"/>
      <w:proofErr w:type="gramEnd"/>
      <w:r>
        <w:t xml:space="preserve"> and Wu</w:t>
      </w:r>
      <w:r w:rsidRPr="00FF7A22">
        <w:t xml:space="preserve"> (2000),</w:t>
      </w:r>
      <w:r w:rsidRPr="00FF7A22">
        <w:rPr>
          <w:b/>
        </w:rPr>
        <w:t xml:space="preserve"> </w:t>
      </w:r>
      <w:proofErr w:type="spellStart"/>
      <w:r w:rsidRPr="00FF7A22">
        <w:t>Abarbanell</w:t>
      </w:r>
      <w:proofErr w:type="spellEnd"/>
      <w:r w:rsidRPr="00FF7A22">
        <w:t xml:space="preserve"> and </w:t>
      </w:r>
      <w:proofErr w:type="spellStart"/>
      <w:r w:rsidRPr="00FF7A22">
        <w:t>Leh</w:t>
      </w:r>
      <w:r>
        <w:t>avy</w:t>
      </w:r>
      <w:proofErr w:type="spellEnd"/>
      <w:r>
        <w:t>, (2003).</w:t>
      </w:r>
    </w:p>
  </w:footnote>
  <w:footnote w:id="2">
    <w:p w:rsidR="00236622" w:rsidRDefault="00236622">
      <w:pPr>
        <w:pStyle w:val="FootnoteText"/>
      </w:pPr>
      <w:r>
        <w:rPr>
          <w:rStyle w:val="FootnoteReference"/>
        </w:rPr>
        <w:footnoteRef/>
      </w:r>
      <w:r>
        <w:t xml:space="preserve"> Doug Carlisle, Partner, Menlo Ventures. As reported by </w:t>
      </w:r>
      <w:proofErr w:type="spellStart"/>
      <w:r>
        <w:t>Thurm</w:t>
      </w:r>
      <w:proofErr w:type="spellEnd"/>
      <w:r>
        <w:t>, WSJ, December 10, 2001.</w:t>
      </w:r>
    </w:p>
    <w:p w:rsidR="00236622" w:rsidRDefault="00236622">
      <w:pPr>
        <w:pStyle w:val="FootnoteText"/>
      </w:pPr>
    </w:p>
  </w:footnote>
  <w:footnote w:id="3">
    <w:p w:rsidR="00236622" w:rsidRDefault="00236622">
      <w:pPr>
        <w:pStyle w:val="FootnoteText"/>
      </w:pPr>
      <w:r>
        <w:rPr>
          <w:rStyle w:val="FootnoteReference"/>
        </w:rPr>
        <w:footnoteRef/>
      </w:r>
      <w:r>
        <w:t xml:space="preserve"> Since this investment bank was on public record for requiring disclosure of ownership, unlike most of their competitors, it seems reasonable that their disclosures would be truthful and complete due to litigation concerns.</w:t>
      </w:r>
    </w:p>
  </w:footnote>
  <w:footnote w:id="4">
    <w:p w:rsidR="00236622" w:rsidRDefault="00236622">
      <w:pPr>
        <w:pStyle w:val="FootnoteText"/>
      </w:pPr>
      <w:r>
        <w:rPr>
          <w:rStyle w:val="FootnoteReference"/>
        </w:rPr>
        <w:footnoteRef/>
      </w:r>
      <w:r>
        <w:t xml:space="preserve"> Repeated quarters of optimistic earnings forecasts are unlikely to be beneficial as the bias would be revealed in the early quarters.</w:t>
      </w:r>
    </w:p>
  </w:footnote>
  <w:footnote w:id="5">
    <w:p w:rsidR="00236622" w:rsidRDefault="00236622">
      <w:pPr>
        <w:pStyle w:val="FootnoteText"/>
      </w:pPr>
      <w:r>
        <w:rPr>
          <w:rStyle w:val="FootnoteReference"/>
        </w:rPr>
        <w:footnoteRef/>
      </w:r>
      <w:r>
        <w:t xml:space="preserve"> One might expect that brokerage firms also may impose control mechanisms to reduce stock ownership induced biases since the brokerage firm bears the potential losses from such biases (reputation effects, litigation risks) but may not reap the benefits. The SEC inquiry and press stories suggest, however, that the compliance departments at brokerage firms during this period were not very effective in policing conflicts of interest.  In the case of analyst restricted stock ownership for example, the SEC found that the compliance departments were generally not even aware of its existence.</w:t>
      </w:r>
    </w:p>
  </w:footnote>
  <w:footnote w:id="6">
    <w:p w:rsidR="00236622" w:rsidRPr="00FF7A22" w:rsidRDefault="00236622" w:rsidP="006C412A">
      <w:pPr>
        <w:pStyle w:val="FootnoteText"/>
      </w:pPr>
      <w:r w:rsidRPr="00FF7A22">
        <w:rPr>
          <w:rStyle w:val="FootnoteReference"/>
        </w:rPr>
        <w:footnoteRef/>
      </w:r>
      <w:r w:rsidRPr="00FF7A22">
        <w:t xml:space="preserve"> Regulation Analyst Certification, Proposed Rule, SEC, August 2002.  Of course, analysts covering technology stocks during the 1990s may have been earning well above the industry average.</w:t>
      </w:r>
    </w:p>
  </w:footnote>
  <w:footnote w:id="7">
    <w:p w:rsidR="00236622" w:rsidRPr="00FF7A22" w:rsidRDefault="00236622" w:rsidP="006C412A">
      <w:pPr>
        <w:pStyle w:val="FootnoteText"/>
      </w:pPr>
      <w:r w:rsidRPr="00FF7A22">
        <w:rPr>
          <w:rStyle w:val="FootnoteReference"/>
        </w:rPr>
        <w:footnoteRef/>
      </w:r>
      <w:r w:rsidRPr="00FF7A22">
        <w:t xml:space="preserve"> A typical brokerage firm disclosure was as follows:  “The firm and/or affiliates and employees have or may have a long or short position or holding in the securities, options on securities, or other related investments of issuers mentioned herein.” (“Analyzing Analyst Recommendations”</w:t>
      </w:r>
      <w:proofErr w:type="gramStart"/>
      <w:r w:rsidRPr="00FF7A22">
        <w:t xml:space="preserve">, </w:t>
      </w:r>
      <w:r>
        <w:t xml:space="preserve"> </w:t>
      </w:r>
      <w:r w:rsidRPr="00FF7A22">
        <w:t>Securities</w:t>
      </w:r>
      <w:proofErr w:type="gramEnd"/>
      <w:r w:rsidRPr="00FF7A22">
        <w:t xml:space="preserve"> and Exchange Commission, 7/13/2001.)</w:t>
      </w:r>
    </w:p>
  </w:footnote>
  <w:footnote w:id="8">
    <w:p w:rsidR="00236622" w:rsidRDefault="00236622">
      <w:pPr>
        <w:pStyle w:val="FootnoteText"/>
      </w:pPr>
      <w:r>
        <w:rPr>
          <w:rStyle w:val="FootnoteReference"/>
        </w:rPr>
        <w:footnoteRef/>
      </w:r>
      <w:r>
        <w:t xml:space="preserve"> </w:t>
      </w:r>
      <w:r w:rsidRPr="000F3CBF">
        <w:t xml:space="preserve">Market value of equity is the product of the IPO offering price and the number of shares outstanding immediately after the IPO.  </w:t>
      </w:r>
    </w:p>
  </w:footnote>
  <w:footnote w:id="9">
    <w:p w:rsidR="00236622" w:rsidRDefault="00236622">
      <w:pPr>
        <w:pStyle w:val="FootnoteText"/>
      </w:pPr>
      <w:r>
        <w:rPr>
          <w:rStyle w:val="FootnoteReference"/>
        </w:rPr>
        <w:footnoteRef/>
      </w:r>
      <w:r>
        <w:t xml:space="preserve"> </w:t>
      </w:r>
      <w:r w:rsidRPr="000F3CBF">
        <w:t xml:space="preserve">Excess returns are based on the IPO price and are relative to both the CRSP value-weighted index and the NASDAQ.  Results are similar regardless of the benchmark.  </w:t>
      </w:r>
    </w:p>
  </w:footnote>
  <w:footnote w:id="10">
    <w:p w:rsidR="00236622" w:rsidRPr="00FF7A22" w:rsidRDefault="00236622" w:rsidP="006C412A">
      <w:pPr>
        <w:pStyle w:val="FootnoteText"/>
      </w:pPr>
      <w:r>
        <w:rPr>
          <w:rStyle w:val="FootnoteReference"/>
        </w:rPr>
        <w:footnoteRef/>
      </w:r>
      <w:r>
        <w:t xml:space="preserve"> </w:t>
      </w:r>
      <w:proofErr w:type="gramStart"/>
      <w:r w:rsidRPr="00FF7A22">
        <w:t>Details available upon request.</w:t>
      </w:r>
      <w:proofErr w:type="gramEnd"/>
    </w:p>
  </w:footnote>
  <w:footnote w:id="11">
    <w:p w:rsidR="00236622" w:rsidRDefault="00236622" w:rsidP="006C412A">
      <w:pPr>
        <w:pStyle w:val="FootnoteText"/>
      </w:pPr>
      <w:r w:rsidRPr="00FF7A22">
        <w:rPr>
          <w:rStyle w:val="FootnoteReference"/>
        </w:rPr>
        <w:footnoteRef/>
      </w:r>
      <w:r w:rsidRPr="00FF7A22">
        <w:t xml:space="preserve"> </w:t>
      </w:r>
      <w:proofErr w:type="gramStart"/>
      <w:r w:rsidRPr="00FF7A22">
        <w:t>Details available upon request.</w:t>
      </w:r>
      <w:proofErr w:type="gramEnd"/>
    </w:p>
  </w:footnote>
  <w:footnote w:id="12">
    <w:p w:rsidR="00236622" w:rsidRDefault="00236622">
      <w:pPr>
        <w:pStyle w:val="FootnoteText"/>
      </w:pPr>
      <w:r>
        <w:rPr>
          <w:rStyle w:val="FootnoteReference"/>
        </w:rPr>
        <w:footnoteRef/>
      </w:r>
      <w:r>
        <w:t xml:space="preserve"> Price targets are not available for many IBES firms.</w:t>
      </w:r>
    </w:p>
    <w:p w:rsidR="00236622" w:rsidRDefault="00236622">
      <w:pPr>
        <w:pStyle w:val="FootnoteText"/>
      </w:pPr>
    </w:p>
  </w:footnote>
  <w:footnote w:id="13">
    <w:p w:rsidR="00236622" w:rsidRDefault="00236622" w:rsidP="00B32966">
      <w:pPr>
        <w:pStyle w:val="FootnoteText"/>
      </w:pPr>
      <w:r>
        <w:rPr>
          <w:rStyle w:val="FootnoteReference"/>
        </w:rPr>
        <w:footnoteRef/>
      </w:r>
      <w:r>
        <w:t xml:space="preserve"> Results are qualitatively similar using Value weighted or Equal Weighted market returns and a 5 day CAR.</w:t>
      </w:r>
    </w:p>
  </w:footnote>
  <w:footnote w:id="14">
    <w:p w:rsidR="00236622" w:rsidRDefault="00236622" w:rsidP="00B32966">
      <w:pPr>
        <w:pStyle w:val="FootnoteText"/>
      </w:pPr>
      <w:r>
        <w:rPr>
          <w:rStyle w:val="FootnoteReference"/>
        </w:rPr>
        <w:footnoteRef/>
      </w:r>
      <w:r>
        <w:t xml:space="preserve"> Where there are insufficient observations a variable may be excluded; for example, owner strong sell.</w:t>
      </w:r>
    </w:p>
  </w:footnote>
  <w:footnote w:id="15">
    <w:p w:rsidR="00236622" w:rsidRPr="005F34D2" w:rsidRDefault="00236622" w:rsidP="005F34D2">
      <w:pPr>
        <w:pStyle w:val="BodyTextIndent"/>
        <w:spacing w:line="240" w:lineRule="auto"/>
        <w:ind w:firstLine="0"/>
        <w:rPr>
          <w:sz w:val="20"/>
          <w:szCs w:val="20"/>
        </w:rPr>
      </w:pPr>
      <w:r w:rsidRPr="00FF7A22">
        <w:rPr>
          <w:rStyle w:val="FootnoteReference"/>
        </w:rPr>
        <w:footnoteRef/>
      </w:r>
      <w:r w:rsidRPr="00FF7A22">
        <w:t xml:space="preserve"> </w:t>
      </w:r>
      <w:r w:rsidRPr="000F3CBF">
        <w:rPr>
          <w:sz w:val="20"/>
          <w:szCs w:val="20"/>
        </w:rPr>
        <w:t>In the Form 144 sample, four stock-owning analysts do not issue quarterly forecasts.  These analysts are absent from the analysis.</w:t>
      </w:r>
      <w:r>
        <w:rPr>
          <w:sz w:val="20"/>
          <w:szCs w:val="20"/>
        </w:rPr>
        <w:t xml:space="preserve"> </w:t>
      </w:r>
      <w:r w:rsidRPr="005F34D2">
        <w:rPr>
          <w:sz w:val="20"/>
          <w:szCs w:val="20"/>
        </w:rPr>
        <w:t>Also, Average forecast errors are likely smaller, in general, than most other studies, because other st</w:t>
      </w:r>
      <w:r>
        <w:rPr>
          <w:sz w:val="20"/>
          <w:szCs w:val="20"/>
        </w:rPr>
        <w:t>udies have larger, more general</w:t>
      </w:r>
      <w:r w:rsidRPr="005F34D2">
        <w:rPr>
          <w:sz w:val="20"/>
          <w:szCs w:val="20"/>
        </w:rPr>
        <w:t xml:space="preserve"> sample populations.  Also, studies that use annual forecasts have larger forecast errors, on average.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42F"/>
    <w:multiLevelType w:val="multilevel"/>
    <w:tmpl w:val="E064D7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C41648"/>
    <w:multiLevelType w:val="multilevel"/>
    <w:tmpl w:val="E468F78E"/>
    <w:lvl w:ilvl="0">
      <w:start w:val="1"/>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DB877DC"/>
    <w:multiLevelType w:val="multilevel"/>
    <w:tmpl w:val="06BCA0B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081E9D"/>
    <w:multiLevelType w:val="hybridMultilevel"/>
    <w:tmpl w:val="FC3E8F08"/>
    <w:lvl w:ilvl="0" w:tplc="D04CB44E">
      <w:start w:val="1"/>
      <w:numFmt w:val="decimal"/>
      <w:lvlText w:val="%1"/>
      <w:lvlJc w:val="left"/>
      <w:pPr>
        <w:tabs>
          <w:tab w:val="num" w:pos="1800"/>
        </w:tabs>
        <w:ind w:left="1800" w:hanging="1440"/>
      </w:pPr>
      <w:rPr>
        <w:rFonts w:hint="default"/>
      </w:rPr>
    </w:lvl>
    <w:lvl w:ilvl="1" w:tplc="85AE03A8" w:tentative="1">
      <w:start w:val="1"/>
      <w:numFmt w:val="lowerLetter"/>
      <w:lvlText w:val="%2."/>
      <w:lvlJc w:val="left"/>
      <w:pPr>
        <w:tabs>
          <w:tab w:val="num" w:pos="1440"/>
        </w:tabs>
        <w:ind w:left="1440" w:hanging="360"/>
      </w:pPr>
    </w:lvl>
    <w:lvl w:ilvl="2" w:tplc="BED6871C" w:tentative="1">
      <w:start w:val="1"/>
      <w:numFmt w:val="lowerRoman"/>
      <w:lvlText w:val="%3."/>
      <w:lvlJc w:val="right"/>
      <w:pPr>
        <w:tabs>
          <w:tab w:val="num" w:pos="2160"/>
        </w:tabs>
        <w:ind w:left="2160" w:hanging="180"/>
      </w:pPr>
    </w:lvl>
    <w:lvl w:ilvl="3" w:tplc="9D38ED5A" w:tentative="1">
      <w:start w:val="1"/>
      <w:numFmt w:val="decimal"/>
      <w:lvlText w:val="%4."/>
      <w:lvlJc w:val="left"/>
      <w:pPr>
        <w:tabs>
          <w:tab w:val="num" w:pos="2880"/>
        </w:tabs>
        <w:ind w:left="2880" w:hanging="360"/>
      </w:pPr>
    </w:lvl>
    <w:lvl w:ilvl="4" w:tplc="1EC2518C" w:tentative="1">
      <w:start w:val="1"/>
      <w:numFmt w:val="lowerLetter"/>
      <w:lvlText w:val="%5."/>
      <w:lvlJc w:val="left"/>
      <w:pPr>
        <w:tabs>
          <w:tab w:val="num" w:pos="3600"/>
        </w:tabs>
        <w:ind w:left="3600" w:hanging="360"/>
      </w:pPr>
    </w:lvl>
    <w:lvl w:ilvl="5" w:tplc="FC7CB1C6" w:tentative="1">
      <w:start w:val="1"/>
      <w:numFmt w:val="lowerRoman"/>
      <w:lvlText w:val="%6."/>
      <w:lvlJc w:val="right"/>
      <w:pPr>
        <w:tabs>
          <w:tab w:val="num" w:pos="4320"/>
        </w:tabs>
        <w:ind w:left="4320" w:hanging="180"/>
      </w:pPr>
    </w:lvl>
    <w:lvl w:ilvl="6" w:tplc="AC3629BA" w:tentative="1">
      <w:start w:val="1"/>
      <w:numFmt w:val="decimal"/>
      <w:lvlText w:val="%7."/>
      <w:lvlJc w:val="left"/>
      <w:pPr>
        <w:tabs>
          <w:tab w:val="num" w:pos="5040"/>
        </w:tabs>
        <w:ind w:left="5040" w:hanging="360"/>
      </w:pPr>
    </w:lvl>
    <w:lvl w:ilvl="7" w:tplc="140099AC" w:tentative="1">
      <w:start w:val="1"/>
      <w:numFmt w:val="lowerLetter"/>
      <w:lvlText w:val="%8."/>
      <w:lvlJc w:val="left"/>
      <w:pPr>
        <w:tabs>
          <w:tab w:val="num" w:pos="5760"/>
        </w:tabs>
        <w:ind w:left="5760" w:hanging="360"/>
      </w:pPr>
    </w:lvl>
    <w:lvl w:ilvl="8" w:tplc="02CEDDCE" w:tentative="1">
      <w:start w:val="1"/>
      <w:numFmt w:val="lowerRoman"/>
      <w:lvlText w:val="%9."/>
      <w:lvlJc w:val="right"/>
      <w:pPr>
        <w:tabs>
          <w:tab w:val="num" w:pos="6480"/>
        </w:tabs>
        <w:ind w:left="6480" w:hanging="180"/>
      </w:pPr>
    </w:lvl>
  </w:abstractNum>
  <w:abstractNum w:abstractNumId="4">
    <w:nsid w:val="1BB05F28"/>
    <w:multiLevelType w:val="multilevel"/>
    <w:tmpl w:val="A82635E6"/>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0B87061"/>
    <w:multiLevelType w:val="multilevel"/>
    <w:tmpl w:val="7602A7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25254418"/>
    <w:multiLevelType w:val="hybridMultilevel"/>
    <w:tmpl w:val="B6740488"/>
    <w:lvl w:ilvl="0" w:tplc="39E0AAAA">
      <w:start w:val="1"/>
      <w:numFmt w:val="bullet"/>
      <w:lvlText w:val=""/>
      <w:lvlJc w:val="left"/>
      <w:pPr>
        <w:tabs>
          <w:tab w:val="num" w:pos="720"/>
        </w:tabs>
        <w:ind w:left="720" w:hanging="360"/>
      </w:pPr>
      <w:rPr>
        <w:rFonts w:ascii="Symbol" w:eastAsia="Times New Roman" w:hAnsi="Symbol" w:cs="Times New Roman" w:hint="default"/>
        <w:b/>
      </w:rPr>
    </w:lvl>
    <w:lvl w:ilvl="1" w:tplc="C09EF0BC" w:tentative="1">
      <w:start w:val="1"/>
      <w:numFmt w:val="bullet"/>
      <w:lvlText w:val="o"/>
      <w:lvlJc w:val="left"/>
      <w:pPr>
        <w:tabs>
          <w:tab w:val="num" w:pos="1440"/>
        </w:tabs>
        <w:ind w:left="1440" w:hanging="360"/>
      </w:pPr>
      <w:rPr>
        <w:rFonts w:ascii="Courier New" w:hAnsi="Courier New" w:hint="default"/>
      </w:rPr>
    </w:lvl>
    <w:lvl w:ilvl="2" w:tplc="DE760E4E" w:tentative="1">
      <w:start w:val="1"/>
      <w:numFmt w:val="bullet"/>
      <w:lvlText w:val=""/>
      <w:lvlJc w:val="left"/>
      <w:pPr>
        <w:tabs>
          <w:tab w:val="num" w:pos="2160"/>
        </w:tabs>
        <w:ind w:left="2160" w:hanging="360"/>
      </w:pPr>
      <w:rPr>
        <w:rFonts w:ascii="Wingdings" w:hAnsi="Wingdings" w:hint="default"/>
      </w:rPr>
    </w:lvl>
    <w:lvl w:ilvl="3" w:tplc="48A8C028" w:tentative="1">
      <w:start w:val="1"/>
      <w:numFmt w:val="bullet"/>
      <w:lvlText w:val=""/>
      <w:lvlJc w:val="left"/>
      <w:pPr>
        <w:tabs>
          <w:tab w:val="num" w:pos="2880"/>
        </w:tabs>
        <w:ind w:left="2880" w:hanging="360"/>
      </w:pPr>
      <w:rPr>
        <w:rFonts w:ascii="Symbol" w:hAnsi="Symbol" w:hint="default"/>
      </w:rPr>
    </w:lvl>
    <w:lvl w:ilvl="4" w:tplc="701EBBAA" w:tentative="1">
      <w:start w:val="1"/>
      <w:numFmt w:val="bullet"/>
      <w:lvlText w:val="o"/>
      <w:lvlJc w:val="left"/>
      <w:pPr>
        <w:tabs>
          <w:tab w:val="num" w:pos="3600"/>
        </w:tabs>
        <w:ind w:left="3600" w:hanging="360"/>
      </w:pPr>
      <w:rPr>
        <w:rFonts w:ascii="Courier New" w:hAnsi="Courier New" w:hint="default"/>
      </w:rPr>
    </w:lvl>
    <w:lvl w:ilvl="5" w:tplc="04FECB92" w:tentative="1">
      <w:start w:val="1"/>
      <w:numFmt w:val="bullet"/>
      <w:lvlText w:val=""/>
      <w:lvlJc w:val="left"/>
      <w:pPr>
        <w:tabs>
          <w:tab w:val="num" w:pos="4320"/>
        </w:tabs>
        <w:ind w:left="4320" w:hanging="360"/>
      </w:pPr>
      <w:rPr>
        <w:rFonts w:ascii="Wingdings" w:hAnsi="Wingdings" w:hint="default"/>
      </w:rPr>
    </w:lvl>
    <w:lvl w:ilvl="6" w:tplc="5F663A80" w:tentative="1">
      <w:start w:val="1"/>
      <w:numFmt w:val="bullet"/>
      <w:lvlText w:val=""/>
      <w:lvlJc w:val="left"/>
      <w:pPr>
        <w:tabs>
          <w:tab w:val="num" w:pos="5040"/>
        </w:tabs>
        <w:ind w:left="5040" w:hanging="360"/>
      </w:pPr>
      <w:rPr>
        <w:rFonts w:ascii="Symbol" w:hAnsi="Symbol" w:hint="default"/>
      </w:rPr>
    </w:lvl>
    <w:lvl w:ilvl="7" w:tplc="AA447B12" w:tentative="1">
      <w:start w:val="1"/>
      <w:numFmt w:val="bullet"/>
      <w:lvlText w:val="o"/>
      <w:lvlJc w:val="left"/>
      <w:pPr>
        <w:tabs>
          <w:tab w:val="num" w:pos="5760"/>
        </w:tabs>
        <w:ind w:left="5760" w:hanging="360"/>
      </w:pPr>
      <w:rPr>
        <w:rFonts w:ascii="Courier New" w:hAnsi="Courier New" w:hint="default"/>
      </w:rPr>
    </w:lvl>
    <w:lvl w:ilvl="8" w:tplc="DB283F66" w:tentative="1">
      <w:start w:val="1"/>
      <w:numFmt w:val="bullet"/>
      <w:lvlText w:val=""/>
      <w:lvlJc w:val="left"/>
      <w:pPr>
        <w:tabs>
          <w:tab w:val="num" w:pos="6480"/>
        </w:tabs>
        <w:ind w:left="6480" w:hanging="360"/>
      </w:pPr>
      <w:rPr>
        <w:rFonts w:ascii="Wingdings" w:hAnsi="Wingdings" w:hint="default"/>
      </w:rPr>
    </w:lvl>
  </w:abstractNum>
  <w:abstractNum w:abstractNumId="7">
    <w:nsid w:val="2B76147D"/>
    <w:multiLevelType w:val="multilevel"/>
    <w:tmpl w:val="63D0A9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BB869D2"/>
    <w:multiLevelType w:val="hybridMultilevel"/>
    <w:tmpl w:val="EB1E9D82"/>
    <w:lvl w:ilvl="0" w:tplc="0690FC4E">
      <w:start w:val="2"/>
      <w:numFmt w:val="decimal"/>
      <w:lvlText w:val="%1."/>
      <w:lvlJc w:val="left"/>
      <w:pPr>
        <w:tabs>
          <w:tab w:val="num" w:pos="36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2A00EF"/>
    <w:multiLevelType w:val="hybridMultilevel"/>
    <w:tmpl w:val="8B9C86F4"/>
    <w:lvl w:ilvl="0" w:tplc="57246CE6">
      <w:start w:val="1"/>
      <w:numFmt w:val="decimal"/>
      <w:lvlText w:val="%1."/>
      <w:lvlJc w:val="left"/>
      <w:pPr>
        <w:tabs>
          <w:tab w:val="num" w:pos="720"/>
        </w:tabs>
        <w:ind w:left="720" w:hanging="360"/>
      </w:pPr>
      <w:rPr>
        <w:rFonts w:hint="default"/>
      </w:rPr>
    </w:lvl>
    <w:lvl w:ilvl="1" w:tplc="299A7FD6">
      <w:start w:val="1"/>
      <w:numFmt w:val="lowerRoman"/>
      <w:lvlText w:val="(%2)"/>
      <w:lvlJc w:val="left"/>
      <w:pPr>
        <w:tabs>
          <w:tab w:val="num" w:pos="1800"/>
        </w:tabs>
        <w:ind w:left="1800" w:hanging="720"/>
      </w:pPr>
      <w:rPr>
        <w:rFonts w:hint="default"/>
      </w:rPr>
    </w:lvl>
    <w:lvl w:ilvl="2" w:tplc="AFCA5E98">
      <w:start w:val="1"/>
      <w:numFmt w:val="lowerRoman"/>
      <w:lvlText w:val="%3."/>
      <w:lvlJc w:val="right"/>
      <w:pPr>
        <w:tabs>
          <w:tab w:val="num" w:pos="2160"/>
        </w:tabs>
        <w:ind w:left="2160" w:hanging="180"/>
      </w:pPr>
    </w:lvl>
    <w:lvl w:ilvl="3" w:tplc="721C0A9E" w:tentative="1">
      <w:start w:val="1"/>
      <w:numFmt w:val="decimal"/>
      <w:lvlText w:val="%4."/>
      <w:lvlJc w:val="left"/>
      <w:pPr>
        <w:tabs>
          <w:tab w:val="num" w:pos="2880"/>
        </w:tabs>
        <w:ind w:left="2880" w:hanging="360"/>
      </w:pPr>
    </w:lvl>
    <w:lvl w:ilvl="4" w:tplc="B046DEC8" w:tentative="1">
      <w:start w:val="1"/>
      <w:numFmt w:val="lowerLetter"/>
      <w:lvlText w:val="%5."/>
      <w:lvlJc w:val="left"/>
      <w:pPr>
        <w:tabs>
          <w:tab w:val="num" w:pos="3600"/>
        </w:tabs>
        <w:ind w:left="3600" w:hanging="360"/>
      </w:pPr>
    </w:lvl>
    <w:lvl w:ilvl="5" w:tplc="27A8B848" w:tentative="1">
      <w:start w:val="1"/>
      <w:numFmt w:val="lowerRoman"/>
      <w:lvlText w:val="%6."/>
      <w:lvlJc w:val="right"/>
      <w:pPr>
        <w:tabs>
          <w:tab w:val="num" w:pos="4320"/>
        </w:tabs>
        <w:ind w:left="4320" w:hanging="180"/>
      </w:pPr>
    </w:lvl>
    <w:lvl w:ilvl="6" w:tplc="4B962AF4" w:tentative="1">
      <w:start w:val="1"/>
      <w:numFmt w:val="decimal"/>
      <w:lvlText w:val="%7."/>
      <w:lvlJc w:val="left"/>
      <w:pPr>
        <w:tabs>
          <w:tab w:val="num" w:pos="5040"/>
        </w:tabs>
        <w:ind w:left="5040" w:hanging="360"/>
      </w:pPr>
    </w:lvl>
    <w:lvl w:ilvl="7" w:tplc="1CAAF30A" w:tentative="1">
      <w:start w:val="1"/>
      <w:numFmt w:val="lowerLetter"/>
      <w:lvlText w:val="%8."/>
      <w:lvlJc w:val="left"/>
      <w:pPr>
        <w:tabs>
          <w:tab w:val="num" w:pos="5760"/>
        </w:tabs>
        <w:ind w:left="5760" w:hanging="360"/>
      </w:pPr>
    </w:lvl>
    <w:lvl w:ilvl="8" w:tplc="7D7C68F6" w:tentative="1">
      <w:start w:val="1"/>
      <w:numFmt w:val="lowerRoman"/>
      <w:lvlText w:val="%9."/>
      <w:lvlJc w:val="right"/>
      <w:pPr>
        <w:tabs>
          <w:tab w:val="num" w:pos="6480"/>
        </w:tabs>
        <w:ind w:left="6480" w:hanging="180"/>
      </w:pPr>
    </w:lvl>
  </w:abstractNum>
  <w:abstractNum w:abstractNumId="10">
    <w:nsid w:val="33266EA5"/>
    <w:multiLevelType w:val="hybridMultilevel"/>
    <w:tmpl w:val="1BDAEFD2"/>
    <w:lvl w:ilvl="0" w:tplc="261C55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A37138"/>
    <w:multiLevelType w:val="hybridMultilevel"/>
    <w:tmpl w:val="039A9D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005D45"/>
    <w:multiLevelType w:val="multilevel"/>
    <w:tmpl w:val="E5CA1934"/>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36D7177"/>
    <w:multiLevelType w:val="hybridMultilevel"/>
    <w:tmpl w:val="7FB6FB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7104AE"/>
    <w:multiLevelType w:val="multilevel"/>
    <w:tmpl w:val="8BA4AC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14503FD"/>
    <w:multiLevelType w:val="multilevel"/>
    <w:tmpl w:val="7D14F5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6D0A60A8"/>
    <w:multiLevelType w:val="hybridMultilevel"/>
    <w:tmpl w:val="6D689C1E"/>
    <w:lvl w:ilvl="0" w:tplc="340C3608">
      <w:start w:val="6"/>
      <w:numFmt w:val="decimal"/>
      <w:lvlText w:val="%1."/>
      <w:lvlJc w:val="left"/>
      <w:pPr>
        <w:tabs>
          <w:tab w:val="num" w:pos="720"/>
        </w:tabs>
        <w:ind w:left="720" w:hanging="360"/>
      </w:pPr>
      <w:rPr>
        <w:rFonts w:hint="default"/>
      </w:rPr>
    </w:lvl>
    <w:lvl w:ilvl="1" w:tplc="5932561C" w:tentative="1">
      <w:start w:val="1"/>
      <w:numFmt w:val="lowerLetter"/>
      <w:lvlText w:val="%2."/>
      <w:lvlJc w:val="left"/>
      <w:pPr>
        <w:tabs>
          <w:tab w:val="num" w:pos="1440"/>
        </w:tabs>
        <w:ind w:left="1440" w:hanging="360"/>
      </w:pPr>
    </w:lvl>
    <w:lvl w:ilvl="2" w:tplc="CF94E6EE" w:tentative="1">
      <w:start w:val="1"/>
      <w:numFmt w:val="lowerRoman"/>
      <w:lvlText w:val="%3."/>
      <w:lvlJc w:val="right"/>
      <w:pPr>
        <w:tabs>
          <w:tab w:val="num" w:pos="2160"/>
        </w:tabs>
        <w:ind w:left="2160" w:hanging="180"/>
      </w:pPr>
    </w:lvl>
    <w:lvl w:ilvl="3" w:tplc="D616A298" w:tentative="1">
      <w:start w:val="1"/>
      <w:numFmt w:val="decimal"/>
      <w:lvlText w:val="%4."/>
      <w:lvlJc w:val="left"/>
      <w:pPr>
        <w:tabs>
          <w:tab w:val="num" w:pos="2880"/>
        </w:tabs>
        <w:ind w:left="2880" w:hanging="360"/>
      </w:pPr>
    </w:lvl>
    <w:lvl w:ilvl="4" w:tplc="1932DEEA" w:tentative="1">
      <w:start w:val="1"/>
      <w:numFmt w:val="lowerLetter"/>
      <w:lvlText w:val="%5."/>
      <w:lvlJc w:val="left"/>
      <w:pPr>
        <w:tabs>
          <w:tab w:val="num" w:pos="3600"/>
        </w:tabs>
        <w:ind w:left="3600" w:hanging="360"/>
      </w:pPr>
    </w:lvl>
    <w:lvl w:ilvl="5" w:tplc="62BC3E48" w:tentative="1">
      <w:start w:val="1"/>
      <w:numFmt w:val="lowerRoman"/>
      <w:lvlText w:val="%6."/>
      <w:lvlJc w:val="right"/>
      <w:pPr>
        <w:tabs>
          <w:tab w:val="num" w:pos="4320"/>
        </w:tabs>
        <w:ind w:left="4320" w:hanging="180"/>
      </w:pPr>
    </w:lvl>
    <w:lvl w:ilvl="6" w:tplc="9CEEDBE8" w:tentative="1">
      <w:start w:val="1"/>
      <w:numFmt w:val="decimal"/>
      <w:lvlText w:val="%7."/>
      <w:lvlJc w:val="left"/>
      <w:pPr>
        <w:tabs>
          <w:tab w:val="num" w:pos="5040"/>
        </w:tabs>
        <w:ind w:left="5040" w:hanging="360"/>
      </w:pPr>
    </w:lvl>
    <w:lvl w:ilvl="7" w:tplc="CBB4347E" w:tentative="1">
      <w:start w:val="1"/>
      <w:numFmt w:val="lowerLetter"/>
      <w:lvlText w:val="%8."/>
      <w:lvlJc w:val="left"/>
      <w:pPr>
        <w:tabs>
          <w:tab w:val="num" w:pos="5760"/>
        </w:tabs>
        <w:ind w:left="5760" w:hanging="360"/>
      </w:pPr>
    </w:lvl>
    <w:lvl w:ilvl="8" w:tplc="30C45266" w:tentative="1">
      <w:start w:val="1"/>
      <w:numFmt w:val="lowerRoman"/>
      <w:lvlText w:val="%9."/>
      <w:lvlJc w:val="right"/>
      <w:pPr>
        <w:tabs>
          <w:tab w:val="num" w:pos="6480"/>
        </w:tabs>
        <w:ind w:left="6480" w:hanging="180"/>
      </w:pPr>
    </w:lvl>
  </w:abstractNum>
  <w:abstractNum w:abstractNumId="17">
    <w:nsid w:val="6E446A3D"/>
    <w:multiLevelType w:val="multilevel"/>
    <w:tmpl w:val="5C3AB2D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E613F22"/>
    <w:multiLevelType w:val="hybridMultilevel"/>
    <w:tmpl w:val="E468F78E"/>
    <w:lvl w:ilvl="0" w:tplc="0E42800E">
      <w:start w:val="1"/>
      <w:numFmt w:val="bullet"/>
      <w:lvlText w:val=""/>
      <w:lvlJc w:val="left"/>
      <w:pPr>
        <w:tabs>
          <w:tab w:val="num" w:pos="1080"/>
        </w:tabs>
        <w:ind w:left="1080" w:hanging="360"/>
      </w:pPr>
      <w:rPr>
        <w:rFonts w:ascii="Symbol" w:eastAsia="Times New Roman" w:hAnsi="Symbol" w:cs="Times New Roman" w:hint="default"/>
      </w:rPr>
    </w:lvl>
    <w:lvl w:ilvl="1" w:tplc="FDAEBC9E" w:tentative="1">
      <w:start w:val="1"/>
      <w:numFmt w:val="bullet"/>
      <w:lvlText w:val="o"/>
      <w:lvlJc w:val="left"/>
      <w:pPr>
        <w:tabs>
          <w:tab w:val="num" w:pos="1800"/>
        </w:tabs>
        <w:ind w:left="1800" w:hanging="360"/>
      </w:pPr>
      <w:rPr>
        <w:rFonts w:ascii="Courier New" w:hAnsi="Courier New" w:cs="Courier New" w:hint="default"/>
      </w:rPr>
    </w:lvl>
    <w:lvl w:ilvl="2" w:tplc="7A904CB4" w:tentative="1">
      <w:start w:val="1"/>
      <w:numFmt w:val="bullet"/>
      <w:lvlText w:val=""/>
      <w:lvlJc w:val="left"/>
      <w:pPr>
        <w:tabs>
          <w:tab w:val="num" w:pos="2520"/>
        </w:tabs>
        <w:ind w:left="2520" w:hanging="360"/>
      </w:pPr>
      <w:rPr>
        <w:rFonts w:ascii="Wingdings" w:hAnsi="Wingdings" w:hint="default"/>
      </w:rPr>
    </w:lvl>
    <w:lvl w:ilvl="3" w:tplc="FE64D5B2" w:tentative="1">
      <w:start w:val="1"/>
      <w:numFmt w:val="bullet"/>
      <w:lvlText w:val=""/>
      <w:lvlJc w:val="left"/>
      <w:pPr>
        <w:tabs>
          <w:tab w:val="num" w:pos="3240"/>
        </w:tabs>
        <w:ind w:left="3240" w:hanging="360"/>
      </w:pPr>
      <w:rPr>
        <w:rFonts w:ascii="Symbol" w:hAnsi="Symbol" w:hint="default"/>
      </w:rPr>
    </w:lvl>
    <w:lvl w:ilvl="4" w:tplc="89365EF0" w:tentative="1">
      <w:start w:val="1"/>
      <w:numFmt w:val="bullet"/>
      <w:lvlText w:val="o"/>
      <w:lvlJc w:val="left"/>
      <w:pPr>
        <w:tabs>
          <w:tab w:val="num" w:pos="3960"/>
        </w:tabs>
        <w:ind w:left="3960" w:hanging="360"/>
      </w:pPr>
      <w:rPr>
        <w:rFonts w:ascii="Courier New" w:hAnsi="Courier New" w:cs="Courier New" w:hint="default"/>
      </w:rPr>
    </w:lvl>
    <w:lvl w:ilvl="5" w:tplc="7BA63064" w:tentative="1">
      <w:start w:val="1"/>
      <w:numFmt w:val="bullet"/>
      <w:lvlText w:val=""/>
      <w:lvlJc w:val="left"/>
      <w:pPr>
        <w:tabs>
          <w:tab w:val="num" w:pos="4680"/>
        </w:tabs>
        <w:ind w:left="4680" w:hanging="360"/>
      </w:pPr>
      <w:rPr>
        <w:rFonts w:ascii="Wingdings" w:hAnsi="Wingdings" w:hint="default"/>
      </w:rPr>
    </w:lvl>
    <w:lvl w:ilvl="6" w:tplc="E2D0F90E" w:tentative="1">
      <w:start w:val="1"/>
      <w:numFmt w:val="bullet"/>
      <w:lvlText w:val=""/>
      <w:lvlJc w:val="left"/>
      <w:pPr>
        <w:tabs>
          <w:tab w:val="num" w:pos="5400"/>
        </w:tabs>
        <w:ind w:left="5400" w:hanging="360"/>
      </w:pPr>
      <w:rPr>
        <w:rFonts w:ascii="Symbol" w:hAnsi="Symbol" w:hint="default"/>
      </w:rPr>
    </w:lvl>
    <w:lvl w:ilvl="7" w:tplc="49A6B904" w:tentative="1">
      <w:start w:val="1"/>
      <w:numFmt w:val="bullet"/>
      <w:lvlText w:val="o"/>
      <w:lvlJc w:val="left"/>
      <w:pPr>
        <w:tabs>
          <w:tab w:val="num" w:pos="6120"/>
        </w:tabs>
        <w:ind w:left="6120" w:hanging="360"/>
      </w:pPr>
      <w:rPr>
        <w:rFonts w:ascii="Courier New" w:hAnsi="Courier New" w:cs="Courier New" w:hint="default"/>
      </w:rPr>
    </w:lvl>
    <w:lvl w:ilvl="8" w:tplc="65E8F078" w:tentative="1">
      <w:start w:val="1"/>
      <w:numFmt w:val="bullet"/>
      <w:lvlText w:val=""/>
      <w:lvlJc w:val="left"/>
      <w:pPr>
        <w:tabs>
          <w:tab w:val="num" w:pos="6840"/>
        </w:tabs>
        <w:ind w:left="6840" w:hanging="360"/>
      </w:pPr>
      <w:rPr>
        <w:rFonts w:ascii="Wingdings" w:hAnsi="Wingdings" w:hint="default"/>
      </w:rPr>
    </w:lvl>
  </w:abstractNum>
  <w:abstractNum w:abstractNumId="19">
    <w:nsid w:val="72D10CC2"/>
    <w:multiLevelType w:val="multilevel"/>
    <w:tmpl w:val="2B0487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87A2815"/>
    <w:multiLevelType w:val="multilevel"/>
    <w:tmpl w:val="2AF450C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A8D58C2"/>
    <w:multiLevelType w:val="hybridMultilevel"/>
    <w:tmpl w:val="0F8C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4"/>
  </w:num>
  <w:num w:numId="4">
    <w:abstractNumId w:val="12"/>
  </w:num>
  <w:num w:numId="5">
    <w:abstractNumId w:val="16"/>
  </w:num>
  <w:num w:numId="6">
    <w:abstractNumId w:val="3"/>
  </w:num>
  <w:num w:numId="7">
    <w:abstractNumId w:val="18"/>
  </w:num>
  <w:num w:numId="8">
    <w:abstractNumId w:val="1"/>
  </w:num>
  <w:num w:numId="9">
    <w:abstractNumId w:val="10"/>
  </w:num>
  <w:num w:numId="10">
    <w:abstractNumId w:val="21"/>
  </w:num>
  <w:num w:numId="11">
    <w:abstractNumId w:val="11"/>
  </w:num>
  <w:num w:numId="12">
    <w:abstractNumId w:val="13"/>
  </w:num>
  <w:num w:numId="13">
    <w:abstractNumId w:val="15"/>
  </w:num>
  <w:num w:numId="14">
    <w:abstractNumId w:val="7"/>
  </w:num>
  <w:num w:numId="15">
    <w:abstractNumId w:val="8"/>
  </w:num>
  <w:num w:numId="16">
    <w:abstractNumId w:val="17"/>
  </w:num>
  <w:num w:numId="17">
    <w:abstractNumId w:val="5"/>
  </w:num>
  <w:num w:numId="18">
    <w:abstractNumId w:val="2"/>
  </w:num>
  <w:num w:numId="19">
    <w:abstractNumId w:val="14"/>
  </w:num>
  <w:num w:numId="20">
    <w:abstractNumId w:val="0"/>
  </w:num>
  <w:num w:numId="21">
    <w:abstractNumId w:val="1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9698">
      <v:stroke endarrow="block"/>
    </o:shapedefaults>
  </w:hdrShapeDefaults>
  <w:footnotePr>
    <w:footnote w:id="-1"/>
    <w:footnote w:id="0"/>
  </w:footnotePr>
  <w:endnotePr>
    <w:pos w:val="sectEnd"/>
    <w:numFmt w:val="decimal"/>
    <w:endnote w:id="-1"/>
    <w:endnote w:id="0"/>
  </w:endnotePr>
  <w:compat/>
  <w:rsids>
    <w:rsidRoot w:val="00433169"/>
    <w:rsid w:val="00000D71"/>
    <w:rsid w:val="00000E3A"/>
    <w:rsid w:val="00010994"/>
    <w:rsid w:val="00014F59"/>
    <w:rsid w:val="00016989"/>
    <w:rsid w:val="00017274"/>
    <w:rsid w:val="00017483"/>
    <w:rsid w:val="000212D4"/>
    <w:rsid w:val="0002240B"/>
    <w:rsid w:val="0002240F"/>
    <w:rsid w:val="00025117"/>
    <w:rsid w:val="00032331"/>
    <w:rsid w:val="00032608"/>
    <w:rsid w:val="000349E2"/>
    <w:rsid w:val="00037224"/>
    <w:rsid w:val="00041F43"/>
    <w:rsid w:val="00050422"/>
    <w:rsid w:val="000525FE"/>
    <w:rsid w:val="00055B24"/>
    <w:rsid w:val="000566B1"/>
    <w:rsid w:val="000602FE"/>
    <w:rsid w:val="00061A1E"/>
    <w:rsid w:val="00063396"/>
    <w:rsid w:val="00066341"/>
    <w:rsid w:val="00066405"/>
    <w:rsid w:val="00066E98"/>
    <w:rsid w:val="00072B18"/>
    <w:rsid w:val="00087DCE"/>
    <w:rsid w:val="000A16BE"/>
    <w:rsid w:val="000B095C"/>
    <w:rsid w:val="000B4846"/>
    <w:rsid w:val="000B5265"/>
    <w:rsid w:val="000B52B3"/>
    <w:rsid w:val="000B6568"/>
    <w:rsid w:val="000C2742"/>
    <w:rsid w:val="000C5C71"/>
    <w:rsid w:val="000C5D7A"/>
    <w:rsid w:val="000C65B8"/>
    <w:rsid w:val="000D05E2"/>
    <w:rsid w:val="000D2BC6"/>
    <w:rsid w:val="000D2F93"/>
    <w:rsid w:val="000E53E5"/>
    <w:rsid w:val="000E74E0"/>
    <w:rsid w:val="000F1C2F"/>
    <w:rsid w:val="000F3CBF"/>
    <w:rsid w:val="001016CB"/>
    <w:rsid w:val="00103B6D"/>
    <w:rsid w:val="001057F5"/>
    <w:rsid w:val="00106B23"/>
    <w:rsid w:val="0010722E"/>
    <w:rsid w:val="00112CCE"/>
    <w:rsid w:val="00121F94"/>
    <w:rsid w:val="0012719E"/>
    <w:rsid w:val="00127496"/>
    <w:rsid w:val="00130713"/>
    <w:rsid w:val="00134885"/>
    <w:rsid w:val="00134C6E"/>
    <w:rsid w:val="001359B5"/>
    <w:rsid w:val="001365FD"/>
    <w:rsid w:val="0013746E"/>
    <w:rsid w:val="001447C9"/>
    <w:rsid w:val="00145B0F"/>
    <w:rsid w:val="001524A1"/>
    <w:rsid w:val="0015401D"/>
    <w:rsid w:val="00154560"/>
    <w:rsid w:val="00156229"/>
    <w:rsid w:val="00165DB3"/>
    <w:rsid w:val="001664E2"/>
    <w:rsid w:val="00167512"/>
    <w:rsid w:val="001742DD"/>
    <w:rsid w:val="0017727A"/>
    <w:rsid w:val="00181C90"/>
    <w:rsid w:val="00192BC6"/>
    <w:rsid w:val="001B1E5E"/>
    <w:rsid w:val="001B410B"/>
    <w:rsid w:val="001B4C07"/>
    <w:rsid w:val="001C123A"/>
    <w:rsid w:val="001C2C30"/>
    <w:rsid w:val="001C3B99"/>
    <w:rsid w:val="001D174D"/>
    <w:rsid w:val="001D2A1B"/>
    <w:rsid w:val="001E50D2"/>
    <w:rsid w:val="001F17BA"/>
    <w:rsid w:val="001F41C5"/>
    <w:rsid w:val="001F4D34"/>
    <w:rsid w:val="00204EE0"/>
    <w:rsid w:val="00205AEB"/>
    <w:rsid w:val="002061BA"/>
    <w:rsid w:val="00206AE2"/>
    <w:rsid w:val="002103BC"/>
    <w:rsid w:val="00220A8C"/>
    <w:rsid w:val="00223E75"/>
    <w:rsid w:val="00225AA9"/>
    <w:rsid w:val="00231790"/>
    <w:rsid w:val="00236622"/>
    <w:rsid w:val="00237959"/>
    <w:rsid w:val="00241757"/>
    <w:rsid w:val="00241FDA"/>
    <w:rsid w:val="0026291C"/>
    <w:rsid w:val="00262C8F"/>
    <w:rsid w:val="00263964"/>
    <w:rsid w:val="0027399F"/>
    <w:rsid w:val="002770BB"/>
    <w:rsid w:val="00277728"/>
    <w:rsid w:val="002848C9"/>
    <w:rsid w:val="002861C0"/>
    <w:rsid w:val="0029078E"/>
    <w:rsid w:val="00291896"/>
    <w:rsid w:val="00294C0A"/>
    <w:rsid w:val="002A514E"/>
    <w:rsid w:val="002B0A2F"/>
    <w:rsid w:val="002B0A9A"/>
    <w:rsid w:val="002C0B60"/>
    <w:rsid w:val="002C3BCD"/>
    <w:rsid w:val="002D12D1"/>
    <w:rsid w:val="002D3BD5"/>
    <w:rsid w:val="002E0309"/>
    <w:rsid w:val="002E3E06"/>
    <w:rsid w:val="002E40F4"/>
    <w:rsid w:val="002E44FA"/>
    <w:rsid w:val="002F349F"/>
    <w:rsid w:val="002F3DD0"/>
    <w:rsid w:val="00307D9F"/>
    <w:rsid w:val="003128C0"/>
    <w:rsid w:val="00314FC3"/>
    <w:rsid w:val="00316ED4"/>
    <w:rsid w:val="00321DA9"/>
    <w:rsid w:val="00326CBF"/>
    <w:rsid w:val="00331456"/>
    <w:rsid w:val="00332654"/>
    <w:rsid w:val="0033348F"/>
    <w:rsid w:val="00340867"/>
    <w:rsid w:val="00347DA1"/>
    <w:rsid w:val="00351EC5"/>
    <w:rsid w:val="00352744"/>
    <w:rsid w:val="00366D8A"/>
    <w:rsid w:val="00370DD9"/>
    <w:rsid w:val="0037667A"/>
    <w:rsid w:val="0038376B"/>
    <w:rsid w:val="00385274"/>
    <w:rsid w:val="003931CE"/>
    <w:rsid w:val="003A6B6D"/>
    <w:rsid w:val="003B08D7"/>
    <w:rsid w:val="003B0AD0"/>
    <w:rsid w:val="003B10B7"/>
    <w:rsid w:val="003B2589"/>
    <w:rsid w:val="003B2F14"/>
    <w:rsid w:val="003C172C"/>
    <w:rsid w:val="003C205B"/>
    <w:rsid w:val="003C2EC4"/>
    <w:rsid w:val="003C2F32"/>
    <w:rsid w:val="003D1485"/>
    <w:rsid w:val="003D161B"/>
    <w:rsid w:val="003E4E42"/>
    <w:rsid w:val="003F437E"/>
    <w:rsid w:val="003F72D1"/>
    <w:rsid w:val="0040073E"/>
    <w:rsid w:val="00406085"/>
    <w:rsid w:val="00406C56"/>
    <w:rsid w:val="00407B49"/>
    <w:rsid w:val="00410B18"/>
    <w:rsid w:val="00411A67"/>
    <w:rsid w:val="00422FC9"/>
    <w:rsid w:val="00433169"/>
    <w:rsid w:val="004408DB"/>
    <w:rsid w:val="00440AB9"/>
    <w:rsid w:val="00443255"/>
    <w:rsid w:val="00446A4C"/>
    <w:rsid w:val="0045384E"/>
    <w:rsid w:val="00456466"/>
    <w:rsid w:val="0046012F"/>
    <w:rsid w:val="00462929"/>
    <w:rsid w:val="0047046D"/>
    <w:rsid w:val="00474CA3"/>
    <w:rsid w:val="00480058"/>
    <w:rsid w:val="0048274C"/>
    <w:rsid w:val="004872E2"/>
    <w:rsid w:val="00490632"/>
    <w:rsid w:val="00490A31"/>
    <w:rsid w:val="00492A25"/>
    <w:rsid w:val="0049313B"/>
    <w:rsid w:val="00493EC6"/>
    <w:rsid w:val="004958D1"/>
    <w:rsid w:val="004A17FD"/>
    <w:rsid w:val="004A1DE0"/>
    <w:rsid w:val="004A34F0"/>
    <w:rsid w:val="004A5B6D"/>
    <w:rsid w:val="004C2F22"/>
    <w:rsid w:val="004C5873"/>
    <w:rsid w:val="004C5FD7"/>
    <w:rsid w:val="004D0E08"/>
    <w:rsid w:val="004D16C5"/>
    <w:rsid w:val="004D337E"/>
    <w:rsid w:val="004D4C59"/>
    <w:rsid w:val="004D677A"/>
    <w:rsid w:val="004D7A09"/>
    <w:rsid w:val="004D7CD5"/>
    <w:rsid w:val="004D7D3D"/>
    <w:rsid w:val="004E46A9"/>
    <w:rsid w:val="004F130A"/>
    <w:rsid w:val="004F20DB"/>
    <w:rsid w:val="004F4F49"/>
    <w:rsid w:val="004F7775"/>
    <w:rsid w:val="005135B2"/>
    <w:rsid w:val="005135EE"/>
    <w:rsid w:val="005159D2"/>
    <w:rsid w:val="0051757D"/>
    <w:rsid w:val="00526005"/>
    <w:rsid w:val="005269B8"/>
    <w:rsid w:val="00534F4B"/>
    <w:rsid w:val="00540A83"/>
    <w:rsid w:val="00545661"/>
    <w:rsid w:val="00550BA0"/>
    <w:rsid w:val="00550D89"/>
    <w:rsid w:val="00556C25"/>
    <w:rsid w:val="005579BA"/>
    <w:rsid w:val="00563454"/>
    <w:rsid w:val="005713A2"/>
    <w:rsid w:val="00571905"/>
    <w:rsid w:val="00572C93"/>
    <w:rsid w:val="00572F0D"/>
    <w:rsid w:val="00576213"/>
    <w:rsid w:val="00576D32"/>
    <w:rsid w:val="005801D3"/>
    <w:rsid w:val="00585E05"/>
    <w:rsid w:val="0059133E"/>
    <w:rsid w:val="00592F9A"/>
    <w:rsid w:val="005A2791"/>
    <w:rsid w:val="005A3469"/>
    <w:rsid w:val="005A3579"/>
    <w:rsid w:val="005A47C6"/>
    <w:rsid w:val="005A657F"/>
    <w:rsid w:val="005B70D4"/>
    <w:rsid w:val="005C36EF"/>
    <w:rsid w:val="005C5A2A"/>
    <w:rsid w:val="005D221D"/>
    <w:rsid w:val="005E37C1"/>
    <w:rsid w:val="005E4F05"/>
    <w:rsid w:val="005E78D8"/>
    <w:rsid w:val="005F0E39"/>
    <w:rsid w:val="005F22C4"/>
    <w:rsid w:val="005F34D2"/>
    <w:rsid w:val="005F4435"/>
    <w:rsid w:val="0060037C"/>
    <w:rsid w:val="00601327"/>
    <w:rsid w:val="00606038"/>
    <w:rsid w:val="0061160B"/>
    <w:rsid w:val="00615756"/>
    <w:rsid w:val="00621554"/>
    <w:rsid w:val="00623FF1"/>
    <w:rsid w:val="0063484F"/>
    <w:rsid w:val="0063517D"/>
    <w:rsid w:val="00646D70"/>
    <w:rsid w:val="00655B00"/>
    <w:rsid w:val="00660E2D"/>
    <w:rsid w:val="0066132B"/>
    <w:rsid w:val="00665DAD"/>
    <w:rsid w:val="00666B4E"/>
    <w:rsid w:val="00681387"/>
    <w:rsid w:val="00681C37"/>
    <w:rsid w:val="0068395C"/>
    <w:rsid w:val="00684A4F"/>
    <w:rsid w:val="00685C6C"/>
    <w:rsid w:val="00690DA4"/>
    <w:rsid w:val="0069681F"/>
    <w:rsid w:val="00696841"/>
    <w:rsid w:val="006A476B"/>
    <w:rsid w:val="006A77BA"/>
    <w:rsid w:val="006B30B6"/>
    <w:rsid w:val="006C412A"/>
    <w:rsid w:val="006C4D00"/>
    <w:rsid w:val="006C6635"/>
    <w:rsid w:val="006D34D3"/>
    <w:rsid w:val="006D5E54"/>
    <w:rsid w:val="006D7FA7"/>
    <w:rsid w:val="006E4D90"/>
    <w:rsid w:val="006F008D"/>
    <w:rsid w:val="00704B59"/>
    <w:rsid w:val="00705AA0"/>
    <w:rsid w:val="00707BDF"/>
    <w:rsid w:val="0071742A"/>
    <w:rsid w:val="0072020C"/>
    <w:rsid w:val="007259A8"/>
    <w:rsid w:val="00726D4C"/>
    <w:rsid w:val="00731564"/>
    <w:rsid w:val="00733657"/>
    <w:rsid w:val="00734A73"/>
    <w:rsid w:val="00735D48"/>
    <w:rsid w:val="00744E3B"/>
    <w:rsid w:val="00746153"/>
    <w:rsid w:val="007465AA"/>
    <w:rsid w:val="00746777"/>
    <w:rsid w:val="007804EA"/>
    <w:rsid w:val="007809FF"/>
    <w:rsid w:val="007915BE"/>
    <w:rsid w:val="007B232C"/>
    <w:rsid w:val="007B4598"/>
    <w:rsid w:val="007B72FC"/>
    <w:rsid w:val="007C0986"/>
    <w:rsid w:val="007C4AC0"/>
    <w:rsid w:val="007C5DDC"/>
    <w:rsid w:val="007D34DD"/>
    <w:rsid w:val="007D3537"/>
    <w:rsid w:val="007D45F4"/>
    <w:rsid w:val="007E20E2"/>
    <w:rsid w:val="007E2CA2"/>
    <w:rsid w:val="007E5C58"/>
    <w:rsid w:val="007F2542"/>
    <w:rsid w:val="007F26BC"/>
    <w:rsid w:val="007F73C2"/>
    <w:rsid w:val="00805579"/>
    <w:rsid w:val="0080619C"/>
    <w:rsid w:val="00820CDE"/>
    <w:rsid w:val="00825192"/>
    <w:rsid w:val="0082575C"/>
    <w:rsid w:val="008308CE"/>
    <w:rsid w:val="00835AC3"/>
    <w:rsid w:val="0083713B"/>
    <w:rsid w:val="008532E4"/>
    <w:rsid w:val="008538E0"/>
    <w:rsid w:val="008568CD"/>
    <w:rsid w:val="00857EDA"/>
    <w:rsid w:val="0086038D"/>
    <w:rsid w:val="00860BA2"/>
    <w:rsid w:val="00864F70"/>
    <w:rsid w:val="008653A2"/>
    <w:rsid w:val="00866232"/>
    <w:rsid w:val="008725A9"/>
    <w:rsid w:val="00875139"/>
    <w:rsid w:val="00875636"/>
    <w:rsid w:val="00882E81"/>
    <w:rsid w:val="0088508C"/>
    <w:rsid w:val="00885682"/>
    <w:rsid w:val="008911B4"/>
    <w:rsid w:val="0089203F"/>
    <w:rsid w:val="00894A71"/>
    <w:rsid w:val="008A5BFB"/>
    <w:rsid w:val="008B179C"/>
    <w:rsid w:val="008B69D7"/>
    <w:rsid w:val="008C64CD"/>
    <w:rsid w:val="008D00B7"/>
    <w:rsid w:val="008D0DE7"/>
    <w:rsid w:val="008D4498"/>
    <w:rsid w:val="008F048C"/>
    <w:rsid w:val="008F0764"/>
    <w:rsid w:val="008F4C8C"/>
    <w:rsid w:val="008F7E3F"/>
    <w:rsid w:val="00900016"/>
    <w:rsid w:val="00903D89"/>
    <w:rsid w:val="0090424A"/>
    <w:rsid w:val="00904458"/>
    <w:rsid w:val="00910714"/>
    <w:rsid w:val="00912D2B"/>
    <w:rsid w:val="00915317"/>
    <w:rsid w:val="00925869"/>
    <w:rsid w:val="00932445"/>
    <w:rsid w:val="00932655"/>
    <w:rsid w:val="009364E2"/>
    <w:rsid w:val="009549EB"/>
    <w:rsid w:val="0096145B"/>
    <w:rsid w:val="0096372B"/>
    <w:rsid w:val="009642BD"/>
    <w:rsid w:val="009732FD"/>
    <w:rsid w:val="00974149"/>
    <w:rsid w:val="00982C1C"/>
    <w:rsid w:val="00986228"/>
    <w:rsid w:val="009935F7"/>
    <w:rsid w:val="009A38D7"/>
    <w:rsid w:val="009B2E42"/>
    <w:rsid w:val="009C075F"/>
    <w:rsid w:val="009C1CC0"/>
    <w:rsid w:val="009C4B12"/>
    <w:rsid w:val="009C58F1"/>
    <w:rsid w:val="009C5B6A"/>
    <w:rsid w:val="009C73AC"/>
    <w:rsid w:val="009D2DE7"/>
    <w:rsid w:val="009D4DFA"/>
    <w:rsid w:val="009D63FB"/>
    <w:rsid w:val="009E4633"/>
    <w:rsid w:val="009E62E9"/>
    <w:rsid w:val="009E7167"/>
    <w:rsid w:val="00A00666"/>
    <w:rsid w:val="00A13325"/>
    <w:rsid w:val="00A13735"/>
    <w:rsid w:val="00A14997"/>
    <w:rsid w:val="00A15D89"/>
    <w:rsid w:val="00A17720"/>
    <w:rsid w:val="00A17D30"/>
    <w:rsid w:val="00A25E13"/>
    <w:rsid w:val="00A3203D"/>
    <w:rsid w:val="00A32568"/>
    <w:rsid w:val="00A33095"/>
    <w:rsid w:val="00A337E8"/>
    <w:rsid w:val="00A3582C"/>
    <w:rsid w:val="00A370EF"/>
    <w:rsid w:val="00A37D92"/>
    <w:rsid w:val="00A47312"/>
    <w:rsid w:val="00A51736"/>
    <w:rsid w:val="00A5451F"/>
    <w:rsid w:val="00A56CBE"/>
    <w:rsid w:val="00A57003"/>
    <w:rsid w:val="00A6183C"/>
    <w:rsid w:val="00A65A87"/>
    <w:rsid w:val="00A7280E"/>
    <w:rsid w:val="00A75251"/>
    <w:rsid w:val="00A9495E"/>
    <w:rsid w:val="00A9610A"/>
    <w:rsid w:val="00AA733E"/>
    <w:rsid w:val="00AB2C2F"/>
    <w:rsid w:val="00AB6E4C"/>
    <w:rsid w:val="00AB6E97"/>
    <w:rsid w:val="00AC0FF3"/>
    <w:rsid w:val="00AC1369"/>
    <w:rsid w:val="00AC1CAC"/>
    <w:rsid w:val="00AC2E34"/>
    <w:rsid w:val="00AD0039"/>
    <w:rsid w:val="00AD006A"/>
    <w:rsid w:val="00AD49FA"/>
    <w:rsid w:val="00AE2A4E"/>
    <w:rsid w:val="00AF1F2B"/>
    <w:rsid w:val="00AF353C"/>
    <w:rsid w:val="00B03590"/>
    <w:rsid w:val="00B047FE"/>
    <w:rsid w:val="00B0503D"/>
    <w:rsid w:val="00B07B5D"/>
    <w:rsid w:val="00B15074"/>
    <w:rsid w:val="00B229F0"/>
    <w:rsid w:val="00B22D41"/>
    <w:rsid w:val="00B24669"/>
    <w:rsid w:val="00B27B38"/>
    <w:rsid w:val="00B32966"/>
    <w:rsid w:val="00B339CB"/>
    <w:rsid w:val="00B408AF"/>
    <w:rsid w:val="00B40B6A"/>
    <w:rsid w:val="00B441ED"/>
    <w:rsid w:val="00B45D83"/>
    <w:rsid w:val="00B50318"/>
    <w:rsid w:val="00B6133E"/>
    <w:rsid w:val="00B629D9"/>
    <w:rsid w:val="00B63A34"/>
    <w:rsid w:val="00B64195"/>
    <w:rsid w:val="00B6535C"/>
    <w:rsid w:val="00B66238"/>
    <w:rsid w:val="00B667AD"/>
    <w:rsid w:val="00B66EE4"/>
    <w:rsid w:val="00B73B3C"/>
    <w:rsid w:val="00B75881"/>
    <w:rsid w:val="00B83C07"/>
    <w:rsid w:val="00B84625"/>
    <w:rsid w:val="00B87938"/>
    <w:rsid w:val="00B91458"/>
    <w:rsid w:val="00B915D6"/>
    <w:rsid w:val="00B96BDB"/>
    <w:rsid w:val="00BA3793"/>
    <w:rsid w:val="00BA46CE"/>
    <w:rsid w:val="00BA4F6E"/>
    <w:rsid w:val="00BA5B95"/>
    <w:rsid w:val="00BB3D1D"/>
    <w:rsid w:val="00BC039A"/>
    <w:rsid w:val="00BC2284"/>
    <w:rsid w:val="00BC42A5"/>
    <w:rsid w:val="00BC6AC2"/>
    <w:rsid w:val="00BD04E4"/>
    <w:rsid w:val="00BD0A77"/>
    <w:rsid w:val="00BD562F"/>
    <w:rsid w:val="00BE68D7"/>
    <w:rsid w:val="00BE77BA"/>
    <w:rsid w:val="00BF11E9"/>
    <w:rsid w:val="00BF5F7E"/>
    <w:rsid w:val="00C11CB1"/>
    <w:rsid w:val="00C132D1"/>
    <w:rsid w:val="00C17680"/>
    <w:rsid w:val="00C2141E"/>
    <w:rsid w:val="00C25037"/>
    <w:rsid w:val="00C32349"/>
    <w:rsid w:val="00C439F1"/>
    <w:rsid w:val="00C46080"/>
    <w:rsid w:val="00C4773B"/>
    <w:rsid w:val="00C517B9"/>
    <w:rsid w:val="00C52B64"/>
    <w:rsid w:val="00C52EFD"/>
    <w:rsid w:val="00C53BE1"/>
    <w:rsid w:val="00C549B4"/>
    <w:rsid w:val="00C54B86"/>
    <w:rsid w:val="00C5757D"/>
    <w:rsid w:val="00C659E1"/>
    <w:rsid w:val="00C70CB5"/>
    <w:rsid w:val="00C70FB3"/>
    <w:rsid w:val="00C731E1"/>
    <w:rsid w:val="00C7626D"/>
    <w:rsid w:val="00C76401"/>
    <w:rsid w:val="00C9065B"/>
    <w:rsid w:val="00C92941"/>
    <w:rsid w:val="00CA0F32"/>
    <w:rsid w:val="00CA404B"/>
    <w:rsid w:val="00CA541E"/>
    <w:rsid w:val="00CC3BAB"/>
    <w:rsid w:val="00CC4E4F"/>
    <w:rsid w:val="00CC76DF"/>
    <w:rsid w:val="00CD281D"/>
    <w:rsid w:val="00CD307D"/>
    <w:rsid w:val="00CD5880"/>
    <w:rsid w:val="00CD5DDB"/>
    <w:rsid w:val="00CE7199"/>
    <w:rsid w:val="00CF0B85"/>
    <w:rsid w:val="00CF3D84"/>
    <w:rsid w:val="00CF55C9"/>
    <w:rsid w:val="00D058BD"/>
    <w:rsid w:val="00D21B52"/>
    <w:rsid w:val="00D21FFA"/>
    <w:rsid w:val="00D24ABB"/>
    <w:rsid w:val="00D27426"/>
    <w:rsid w:val="00D31A9B"/>
    <w:rsid w:val="00D44B70"/>
    <w:rsid w:val="00D4519C"/>
    <w:rsid w:val="00D4567C"/>
    <w:rsid w:val="00D465FB"/>
    <w:rsid w:val="00D51012"/>
    <w:rsid w:val="00D52935"/>
    <w:rsid w:val="00D532FB"/>
    <w:rsid w:val="00D53736"/>
    <w:rsid w:val="00D63AD6"/>
    <w:rsid w:val="00D65897"/>
    <w:rsid w:val="00D67D60"/>
    <w:rsid w:val="00D67F80"/>
    <w:rsid w:val="00D70EC8"/>
    <w:rsid w:val="00D74352"/>
    <w:rsid w:val="00D748B5"/>
    <w:rsid w:val="00D75438"/>
    <w:rsid w:val="00D770C7"/>
    <w:rsid w:val="00D83BF0"/>
    <w:rsid w:val="00D871C5"/>
    <w:rsid w:val="00D96D00"/>
    <w:rsid w:val="00D96FE5"/>
    <w:rsid w:val="00DB2956"/>
    <w:rsid w:val="00DB2F79"/>
    <w:rsid w:val="00DB381E"/>
    <w:rsid w:val="00DC1672"/>
    <w:rsid w:val="00DC2D12"/>
    <w:rsid w:val="00DC5528"/>
    <w:rsid w:val="00DC5F5B"/>
    <w:rsid w:val="00DD0C3B"/>
    <w:rsid w:val="00DD0E29"/>
    <w:rsid w:val="00DD61FC"/>
    <w:rsid w:val="00DE0048"/>
    <w:rsid w:val="00DE122E"/>
    <w:rsid w:val="00DE3F5D"/>
    <w:rsid w:val="00DF2B3A"/>
    <w:rsid w:val="00DF30BC"/>
    <w:rsid w:val="00DF51D2"/>
    <w:rsid w:val="00DF5624"/>
    <w:rsid w:val="00DF70D8"/>
    <w:rsid w:val="00E01451"/>
    <w:rsid w:val="00E02D26"/>
    <w:rsid w:val="00E03B37"/>
    <w:rsid w:val="00E06258"/>
    <w:rsid w:val="00E10546"/>
    <w:rsid w:val="00E177E3"/>
    <w:rsid w:val="00E31D05"/>
    <w:rsid w:val="00E33DEC"/>
    <w:rsid w:val="00E33F50"/>
    <w:rsid w:val="00E357DA"/>
    <w:rsid w:val="00E40AA7"/>
    <w:rsid w:val="00E42C4A"/>
    <w:rsid w:val="00E43AA2"/>
    <w:rsid w:val="00E4627F"/>
    <w:rsid w:val="00E47399"/>
    <w:rsid w:val="00E5192C"/>
    <w:rsid w:val="00E65333"/>
    <w:rsid w:val="00E65C9B"/>
    <w:rsid w:val="00E70E87"/>
    <w:rsid w:val="00E817C9"/>
    <w:rsid w:val="00E86CE2"/>
    <w:rsid w:val="00E879EC"/>
    <w:rsid w:val="00E91B0B"/>
    <w:rsid w:val="00E92A4C"/>
    <w:rsid w:val="00E93252"/>
    <w:rsid w:val="00E946AA"/>
    <w:rsid w:val="00E966CE"/>
    <w:rsid w:val="00EA0836"/>
    <w:rsid w:val="00EB5A7B"/>
    <w:rsid w:val="00EC5045"/>
    <w:rsid w:val="00ED1A34"/>
    <w:rsid w:val="00ED2CB6"/>
    <w:rsid w:val="00EE34D9"/>
    <w:rsid w:val="00EE7785"/>
    <w:rsid w:val="00EF19DE"/>
    <w:rsid w:val="00EF6B93"/>
    <w:rsid w:val="00F00571"/>
    <w:rsid w:val="00F0064B"/>
    <w:rsid w:val="00F017B1"/>
    <w:rsid w:val="00F0288F"/>
    <w:rsid w:val="00F14BBD"/>
    <w:rsid w:val="00F177F5"/>
    <w:rsid w:val="00F272E8"/>
    <w:rsid w:val="00F34D71"/>
    <w:rsid w:val="00F372E7"/>
    <w:rsid w:val="00F37C15"/>
    <w:rsid w:val="00F46A11"/>
    <w:rsid w:val="00F56DBA"/>
    <w:rsid w:val="00F64F5E"/>
    <w:rsid w:val="00F66820"/>
    <w:rsid w:val="00F755B6"/>
    <w:rsid w:val="00F77AE5"/>
    <w:rsid w:val="00F803AA"/>
    <w:rsid w:val="00F80C5A"/>
    <w:rsid w:val="00F81484"/>
    <w:rsid w:val="00F8245B"/>
    <w:rsid w:val="00F84EF2"/>
    <w:rsid w:val="00F945DB"/>
    <w:rsid w:val="00F958D2"/>
    <w:rsid w:val="00F95FE8"/>
    <w:rsid w:val="00F970CC"/>
    <w:rsid w:val="00FA0471"/>
    <w:rsid w:val="00FA09A8"/>
    <w:rsid w:val="00FC0F0A"/>
    <w:rsid w:val="00FC55B3"/>
    <w:rsid w:val="00FD2B8E"/>
    <w:rsid w:val="00FD4CC9"/>
    <w:rsid w:val="00FD78BE"/>
    <w:rsid w:val="00FF3931"/>
    <w:rsid w:val="00FF7A22"/>
    <w:rsid w:val="00FF7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9698">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1E1"/>
    <w:rPr>
      <w:sz w:val="24"/>
      <w:szCs w:val="24"/>
    </w:rPr>
  </w:style>
  <w:style w:type="paragraph" w:styleId="Heading1">
    <w:name w:val="heading 1"/>
    <w:basedOn w:val="Normal"/>
    <w:next w:val="Normal"/>
    <w:qFormat/>
    <w:rsid w:val="00C17680"/>
    <w:pPr>
      <w:keepNext/>
      <w:jc w:val="center"/>
      <w:outlineLvl w:val="0"/>
    </w:pPr>
    <w:rPr>
      <w:b/>
      <w:bCs/>
    </w:rPr>
  </w:style>
  <w:style w:type="paragraph" w:styleId="Heading2">
    <w:name w:val="heading 2"/>
    <w:basedOn w:val="Normal"/>
    <w:next w:val="Normal"/>
    <w:qFormat/>
    <w:rsid w:val="00C17680"/>
    <w:pPr>
      <w:keepNext/>
      <w:outlineLvl w:val="1"/>
    </w:pPr>
    <w:rPr>
      <w:b/>
    </w:rPr>
  </w:style>
  <w:style w:type="paragraph" w:styleId="Heading3">
    <w:name w:val="heading 3"/>
    <w:basedOn w:val="Normal"/>
    <w:next w:val="Normal"/>
    <w:qFormat/>
    <w:rsid w:val="00C17680"/>
    <w:pPr>
      <w:keepNext/>
      <w:spacing w:line="480" w:lineRule="auto"/>
      <w:outlineLvl w:val="2"/>
    </w:pPr>
    <w:rPr>
      <w:i/>
    </w:rPr>
  </w:style>
  <w:style w:type="paragraph" w:styleId="Heading4">
    <w:name w:val="heading 4"/>
    <w:basedOn w:val="Normal"/>
    <w:next w:val="Normal"/>
    <w:qFormat/>
    <w:rsid w:val="00C17680"/>
    <w:pPr>
      <w:keepNext/>
      <w:spacing w:line="480" w:lineRule="auto"/>
      <w:ind w:firstLine="360"/>
      <w:outlineLvl w:val="3"/>
    </w:pPr>
    <w:rPr>
      <w:b/>
      <w:bCs/>
    </w:rPr>
  </w:style>
  <w:style w:type="paragraph" w:styleId="Heading5">
    <w:name w:val="heading 5"/>
    <w:basedOn w:val="Normal"/>
    <w:next w:val="Normal"/>
    <w:qFormat/>
    <w:rsid w:val="00C17680"/>
    <w:pPr>
      <w:keepNext/>
      <w:jc w:val="center"/>
      <w:outlineLvl w:val="4"/>
    </w:pPr>
    <w:rPr>
      <w:b/>
      <w:bCs/>
      <w:sz w:val="20"/>
    </w:rPr>
  </w:style>
  <w:style w:type="paragraph" w:styleId="Heading6">
    <w:name w:val="heading 6"/>
    <w:basedOn w:val="Normal"/>
    <w:next w:val="Normal"/>
    <w:qFormat/>
    <w:rsid w:val="00C17680"/>
    <w:pPr>
      <w:keepNext/>
      <w:outlineLvl w:val="5"/>
    </w:pPr>
    <w:rPr>
      <w:b/>
      <w:sz w:val="20"/>
    </w:rPr>
  </w:style>
  <w:style w:type="paragraph" w:styleId="Heading7">
    <w:name w:val="heading 7"/>
    <w:basedOn w:val="Normal"/>
    <w:next w:val="Normal"/>
    <w:qFormat/>
    <w:rsid w:val="00C17680"/>
    <w:pPr>
      <w:keepNext/>
      <w:outlineLvl w:val="6"/>
    </w:pPr>
    <w:rPr>
      <w:b/>
      <w:sz w:val="28"/>
    </w:rPr>
  </w:style>
  <w:style w:type="paragraph" w:styleId="Heading8">
    <w:name w:val="heading 8"/>
    <w:basedOn w:val="Normal"/>
    <w:next w:val="Normal"/>
    <w:qFormat/>
    <w:rsid w:val="00C17680"/>
    <w:pPr>
      <w:keepNext/>
      <w:spacing w:line="48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17680"/>
    <w:rPr>
      <w:sz w:val="20"/>
      <w:szCs w:val="20"/>
    </w:rPr>
  </w:style>
  <w:style w:type="character" w:styleId="FootnoteReference">
    <w:name w:val="footnote reference"/>
    <w:basedOn w:val="DefaultParagraphFont"/>
    <w:semiHidden/>
    <w:rsid w:val="00C17680"/>
    <w:rPr>
      <w:vertAlign w:val="superscript"/>
    </w:rPr>
  </w:style>
  <w:style w:type="paragraph" w:styleId="BodyTextIndent">
    <w:name w:val="Body Text Indent"/>
    <w:basedOn w:val="Normal"/>
    <w:rsid w:val="00C17680"/>
    <w:pPr>
      <w:spacing w:line="480" w:lineRule="auto"/>
      <w:ind w:firstLine="360"/>
    </w:pPr>
  </w:style>
  <w:style w:type="paragraph" w:styleId="Footer">
    <w:name w:val="footer"/>
    <w:basedOn w:val="Normal"/>
    <w:rsid w:val="00C17680"/>
    <w:pPr>
      <w:tabs>
        <w:tab w:val="center" w:pos="4320"/>
        <w:tab w:val="right" w:pos="8640"/>
      </w:tabs>
    </w:pPr>
  </w:style>
  <w:style w:type="character" w:styleId="PageNumber">
    <w:name w:val="page number"/>
    <w:basedOn w:val="DefaultParagraphFont"/>
    <w:rsid w:val="00C17680"/>
  </w:style>
  <w:style w:type="paragraph" w:styleId="Header">
    <w:name w:val="header"/>
    <w:basedOn w:val="Normal"/>
    <w:rsid w:val="00C17680"/>
    <w:pPr>
      <w:tabs>
        <w:tab w:val="center" w:pos="4320"/>
        <w:tab w:val="right" w:pos="8640"/>
      </w:tabs>
    </w:pPr>
  </w:style>
  <w:style w:type="paragraph" w:styleId="BlockText">
    <w:name w:val="Block Text"/>
    <w:basedOn w:val="Normal"/>
    <w:rsid w:val="00C17680"/>
    <w:pPr>
      <w:ind w:left="720" w:right="2160"/>
    </w:pPr>
    <w:rPr>
      <w:i/>
    </w:rPr>
  </w:style>
  <w:style w:type="character" w:styleId="Hyperlink">
    <w:name w:val="Hyperlink"/>
    <w:basedOn w:val="DefaultParagraphFont"/>
    <w:rsid w:val="00C17680"/>
    <w:rPr>
      <w:color w:val="0000FF"/>
      <w:u w:val="single"/>
    </w:rPr>
  </w:style>
  <w:style w:type="paragraph" w:styleId="DocumentMap">
    <w:name w:val="Document Map"/>
    <w:basedOn w:val="Normal"/>
    <w:semiHidden/>
    <w:rsid w:val="00C17680"/>
    <w:pPr>
      <w:shd w:val="clear" w:color="auto" w:fill="000080"/>
    </w:pPr>
    <w:rPr>
      <w:rFonts w:ascii="Tahoma" w:hAnsi="Tahoma" w:cs="Tahoma"/>
    </w:rPr>
  </w:style>
  <w:style w:type="paragraph" w:styleId="BodyText">
    <w:name w:val="Body Text"/>
    <w:basedOn w:val="Normal"/>
    <w:rsid w:val="00C17680"/>
    <w:rPr>
      <w:sz w:val="28"/>
    </w:rPr>
  </w:style>
  <w:style w:type="paragraph" w:styleId="BalloonText">
    <w:name w:val="Balloon Text"/>
    <w:basedOn w:val="Normal"/>
    <w:semiHidden/>
    <w:rsid w:val="00C17680"/>
    <w:rPr>
      <w:rFonts w:ascii="Tahoma" w:hAnsi="Tahoma" w:cs="Tahoma"/>
      <w:sz w:val="16"/>
      <w:szCs w:val="16"/>
    </w:rPr>
  </w:style>
  <w:style w:type="paragraph" w:styleId="EndnoteText">
    <w:name w:val="endnote text"/>
    <w:basedOn w:val="Normal"/>
    <w:semiHidden/>
    <w:rsid w:val="00C17680"/>
    <w:rPr>
      <w:sz w:val="20"/>
      <w:szCs w:val="20"/>
    </w:rPr>
  </w:style>
  <w:style w:type="character" w:styleId="EndnoteReference">
    <w:name w:val="endnote reference"/>
    <w:basedOn w:val="DefaultParagraphFont"/>
    <w:semiHidden/>
    <w:rsid w:val="00C17680"/>
    <w:rPr>
      <w:vertAlign w:val="superscript"/>
    </w:rPr>
  </w:style>
  <w:style w:type="paragraph" w:styleId="BodyText2">
    <w:name w:val="Body Text 2"/>
    <w:basedOn w:val="Normal"/>
    <w:link w:val="BodyText2Char"/>
    <w:rsid w:val="00C17680"/>
    <w:pPr>
      <w:jc w:val="center"/>
    </w:pPr>
    <w:rPr>
      <w:b/>
      <w:sz w:val="28"/>
    </w:rPr>
  </w:style>
  <w:style w:type="paragraph" w:styleId="BodyTextIndent2">
    <w:name w:val="Body Text Indent 2"/>
    <w:basedOn w:val="Normal"/>
    <w:rsid w:val="00C17680"/>
    <w:pPr>
      <w:spacing w:line="480" w:lineRule="auto"/>
      <w:ind w:firstLine="360"/>
    </w:pPr>
    <w:rPr>
      <w:i/>
      <w:sz w:val="28"/>
    </w:rPr>
  </w:style>
  <w:style w:type="character" w:customStyle="1" w:styleId="medium-normal1">
    <w:name w:val="medium-normal1"/>
    <w:basedOn w:val="DefaultParagraphFont"/>
    <w:rsid w:val="007D45F4"/>
    <w:rPr>
      <w:rFonts w:ascii="Arial" w:hAnsi="Arial" w:cs="Arial" w:hint="default"/>
      <w:b w:val="0"/>
      <w:bCs w:val="0"/>
      <w:i w:val="0"/>
      <w:iCs w:val="0"/>
      <w:sz w:val="20"/>
      <w:szCs w:val="20"/>
    </w:rPr>
  </w:style>
  <w:style w:type="paragraph" w:customStyle="1" w:styleId="Default">
    <w:name w:val="Default"/>
    <w:rsid w:val="00BA46CE"/>
    <w:pPr>
      <w:autoSpaceDE w:val="0"/>
      <w:autoSpaceDN w:val="0"/>
      <w:adjustRightInd w:val="0"/>
    </w:pPr>
    <w:rPr>
      <w:color w:val="000000"/>
      <w:sz w:val="24"/>
      <w:szCs w:val="24"/>
    </w:rPr>
  </w:style>
  <w:style w:type="paragraph" w:styleId="Title">
    <w:name w:val="Title"/>
    <w:basedOn w:val="Default"/>
    <w:next w:val="Default"/>
    <w:qFormat/>
    <w:rsid w:val="00BA46CE"/>
    <w:rPr>
      <w:color w:val="auto"/>
    </w:rPr>
  </w:style>
  <w:style w:type="character" w:customStyle="1" w:styleId="BodyText2Char">
    <w:name w:val="Body Text 2 Char"/>
    <w:basedOn w:val="DefaultParagraphFont"/>
    <w:link w:val="BodyText2"/>
    <w:rsid w:val="00DC2D12"/>
    <w:rPr>
      <w:b/>
      <w:sz w:val="28"/>
      <w:szCs w:val="24"/>
    </w:rPr>
  </w:style>
</w:styles>
</file>

<file path=word/webSettings.xml><?xml version="1.0" encoding="utf-8"?>
<w:webSettings xmlns:r="http://schemas.openxmlformats.org/officeDocument/2006/relationships" xmlns:w="http://schemas.openxmlformats.org/wordprocessingml/2006/main">
  <w:divs>
    <w:div w:id="19898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str@purdue.edu" TargetMode="Externa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F006-A76E-4778-BA37-8E77A810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14313</Words>
  <Characters>81588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Preliminary Research Sketch</vt:lpstr>
    </vt:vector>
  </TitlesOfParts>
  <Company>Purdue University</Company>
  <LinksUpToDate>false</LinksUpToDate>
  <CharactersWithSpaces>95710</CharactersWithSpaces>
  <SharedDoc>false</SharedDoc>
  <HLinks>
    <vt:vector size="6" baseType="variant">
      <vt:variant>
        <vt:i4>2949161</vt:i4>
      </vt:variant>
      <vt:variant>
        <vt:i4>0</vt:i4>
      </vt:variant>
      <vt:variant>
        <vt:i4>0</vt:i4>
      </vt:variant>
      <vt:variant>
        <vt:i4>5</vt:i4>
      </vt:variant>
      <vt:variant>
        <vt:lpwstr>mailto:johnston_365@cob.osu.edu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Research Sketch</dc:title>
  <dc:creator>Johnston</dc:creator>
  <cp:lastModifiedBy>johnstr</cp:lastModifiedBy>
  <cp:revision>3</cp:revision>
  <cp:lastPrinted>2009-01-27T13:20:00Z</cp:lastPrinted>
  <dcterms:created xsi:type="dcterms:W3CDTF">2012-03-20T14:28:00Z</dcterms:created>
  <dcterms:modified xsi:type="dcterms:W3CDTF">2012-03-20T14:30:00Z</dcterms:modified>
</cp:coreProperties>
</file>