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EC" w:rsidRDefault="00F41AEC" w:rsidP="00F41AEC">
      <w:pPr>
        <w:widowControl/>
        <w:autoSpaceDE w:val="0"/>
        <w:autoSpaceDN w:val="0"/>
        <w:adjustRightInd w:val="0"/>
        <w:spacing w:line="240" w:lineRule="auto"/>
        <w:jc w:val="center"/>
        <w:rPr>
          <w:rFonts w:ascii="Times New Roman" w:hAnsi="Times New Roman" w:cs="Times New Roman"/>
          <w:b/>
          <w:kern w:val="0"/>
          <w:szCs w:val="24"/>
        </w:rPr>
      </w:pPr>
      <w:r>
        <w:rPr>
          <w:rFonts w:ascii="Times New Roman" w:hAnsi="Times New Roman" w:cs="Times New Roman"/>
          <w:b/>
          <w:kern w:val="0"/>
          <w:szCs w:val="24"/>
        </w:rPr>
        <w:t>Banking Efficiency in</w:t>
      </w:r>
      <w:r w:rsidR="00F17769" w:rsidRPr="00F17769">
        <w:rPr>
          <w:rFonts w:ascii="Times New Roman" w:hAnsi="Times New Roman" w:cs="Times New Roman"/>
          <w:b/>
          <w:kern w:val="0"/>
          <w:szCs w:val="24"/>
        </w:rPr>
        <w:t xml:space="preserve"> Gulf </w:t>
      </w:r>
      <w:r w:rsidR="00A64E52">
        <w:rPr>
          <w:rFonts w:ascii="Times New Roman" w:hAnsi="Times New Roman" w:cs="Times New Roman"/>
          <w:b/>
          <w:kern w:val="0"/>
          <w:szCs w:val="24"/>
        </w:rPr>
        <w:t>Cooperation Council (GCC)</w:t>
      </w:r>
      <w:r>
        <w:rPr>
          <w:rFonts w:ascii="Times New Roman" w:hAnsi="Times New Roman" w:cs="Times New Roman"/>
          <w:b/>
          <w:kern w:val="0"/>
          <w:szCs w:val="24"/>
        </w:rPr>
        <w:t xml:space="preserve"> Countries: </w:t>
      </w:r>
    </w:p>
    <w:p w:rsidR="00F17769" w:rsidRDefault="00F41AEC" w:rsidP="00F41AEC">
      <w:pPr>
        <w:widowControl/>
        <w:autoSpaceDE w:val="0"/>
        <w:autoSpaceDN w:val="0"/>
        <w:adjustRightInd w:val="0"/>
        <w:spacing w:line="240" w:lineRule="auto"/>
        <w:jc w:val="center"/>
        <w:rPr>
          <w:rFonts w:ascii="Times New Roman" w:hAnsi="Times New Roman" w:cs="Times New Roman"/>
          <w:b/>
          <w:kern w:val="0"/>
          <w:szCs w:val="24"/>
        </w:rPr>
      </w:pPr>
      <w:r>
        <w:rPr>
          <w:rFonts w:ascii="Times New Roman" w:hAnsi="Times New Roman" w:cs="Times New Roman"/>
          <w:b/>
          <w:kern w:val="0"/>
          <w:szCs w:val="24"/>
        </w:rPr>
        <w:t xml:space="preserve">    A Comparative Study</w:t>
      </w:r>
    </w:p>
    <w:p w:rsidR="0076280D" w:rsidRDefault="0076280D" w:rsidP="00F41AEC">
      <w:pPr>
        <w:widowControl/>
        <w:autoSpaceDE w:val="0"/>
        <w:autoSpaceDN w:val="0"/>
        <w:adjustRightInd w:val="0"/>
        <w:spacing w:line="240" w:lineRule="auto"/>
        <w:jc w:val="center"/>
        <w:rPr>
          <w:rFonts w:ascii="Times New Roman" w:hAnsi="Times New Roman" w:cs="Times New Roman"/>
          <w:b/>
          <w:kern w:val="0"/>
          <w:szCs w:val="24"/>
        </w:rPr>
      </w:pPr>
    </w:p>
    <w:p w:rsidR="00F17769" w:rsidRPr="00F17769" w:rsidRDefault="00D0285C" w:rsidP="00F17769">
      <w:pPr>
        <w:spacing w:line="240" w:lineRule="auto"/>
        <w:jc w:val="center"/>
        <w:rPr>
          <w:rFonts w:ascii="Times New Roman" w:hAnsi="Times New Roman" w:cs="Times New Roman"/>
          <w:bCs/>
        </w:rPr>
      </w:pPr>
      <w:r>
        <w:rPr>
          <w:rFonts w:ascii="Times New Roman" w:hAnsi="Times New Roman" w:cs="Times New Roman"/>
          <w:bCs/>
        </w:rPr>
        <w:t>Sunil</w:t>
      </w:r>
      <w:r w:rsidR="00355FCA">
        <w:rPr>
          <w:rFonts w:ascii="Times New Roman" w:hAnsi="Times New Roman" w:cs="Times New Roman"/>
          <w:bCs/>
        </w:rPr>
        <w:t xml:space="preserve"> K.</w:t>
      </w:r>
      <w:r w:rsidR="00F17769" w:rsidRPr="00F17769">
        <w:rPr>
          <w:rFonts w:ascii="Times New Roman" w:hAnsi="Times New Roman" w:cs="Times New Roman"/>
          <w:bCs/>
        </w:rPr>
        <w:t xml:space="preserve"> Mohanty*</w:t>
      </w:r>
    </w:p>
    <w:p w:rsidR="00F17769" w:rsidRPr="00F17769" w:rsidRDefault="00F17769" w:rsidP="00F17769">
      <w:pPr>
        <w:spacing w:line="240" w:lineRule="auto"/>
        <w:jc w:val="center"/>
        <w:rPr>
          <w:rFonts w:ascii="Times New Roman" w:hAnsi="Times New Roman" w:cs="Times New Roman"/>
          <w:bCs/>
        </w:rPr>
      </w:pPr>
      <w:r w:rsidRPr="00F17769">
        <w:rPr>
          <w:rFonts w:ascii="Times New Roman" w:hAnsi="Times New Roman" w:cs="Times New Roman"/>
          <w:bCs/>
        </w:rPr>
        <w:t>Opus College of Business</w:t>
      </w:r>
    </w:p>
    <w:p w:rsidR="00F17769" w:rsidRPr="00F17769" w:rsidRDefault="00F17769" w:rsidP="00F17769">
      <w:pPr>
        <w:spacing w:line="240" w:lineRule="auto"/>
        <w:jc w:val="center"/>
        <w:rPr>
          <w:rFonts w:ascii="Times New Roman" w:hAnsi="Times New Roman" w:cs="Times New Roman"/>
          <w:bCs/>
        </w:rPr>
      </w:pPr>
      <w:smartTag w:uri="urn:schemas-microsoft-com:office:smarttags" w:element="PlaceType">
        <w:smartTag w:uri="urn:schemas-microsoft-com:office:smarttags" w:element="place">
          <w:r w:rsidRPr="00F17769">
            <w:rPr>
              <w:rFonts w:ascii="Times New Roman" w:hAnsi="Times New Roman" w:cs="Times New Roman"/>
              <w:bCs/>
            </w:rPr>
            <w:t>University</w:t>
          </w:r>
        </w:smartTag>
        <w:r w:rsidRPr="00F17769">
          <w:rPr>
            <w:rFonts w:ascii="Times New Roman" w:hAnsi="Times New Roman" w:cs="Times New Roman"/>
            <w:bCs/>
          </w:rPr>
          <w:t xml:space="preserve"> of </w:t>
        </w:r>
        <w:smartTag w:uri="urn:schemas-microsoft-com:office:smarttags" w:element="PlaceName">
          <w:r w:rsidRPr="00F17769">
            <w:rPr>
              <w:rFonts w:ascii="Times New Roman" w:hAnsi="Times New Roman" w:cs="Times New Roman"/>
              <w:bCs/>
            </w:rPr>
            <w:t>St. Thomas</w:t>
          </w:r>
        </w:smartTag>
      </w:smartTag>
    </w:p>
    <w:p w:rsidR="00F17769" w:rsidRPr="00F17769" w:rsidRDefault="00F17769" w:rsidP="00F17769">
      <w:pPr>
        <w:spacing w:line="240" w:lineRule="auto"/>
        <w:jc w:val="center"/>
        <w:rPr>
          <w:rFonts w:ascii="Times New Roman" w:hAnsi="Times New Roman" w:cs="Times New Roman"/>
          <w:bCs/>
          <w:lang w:val="sv-SE"/>
        </w:rPr>
      </w:pPr>
      <w:r w:rsidRPr="00F17769">
        <w:rPr>
          <w:rFonts w:ascii="Times New Roman" w:hAnsi="Times New Roman" w:cs="Times New Roman"/>
          <w:bCs/>
          <w:lang w:val="sv-SE"/>
        </w:rPr>
        <w:t>Minneapolis, MN 55403,USA</w:t>
      </w:r>
    </w:p>
    <w:p w:rsidR="00F17769" w:rsidRPr="00F17769" w:rsidRDefault="00F17769" w:rsidP="00F17769">
      <w:pPr>
        <w:spacing w:line="240" w:lineRule="auto"/>
        <w:jc w:val="center"/>
        <w:rPr>
          <w:rFonts w:ascii="Times New Roman" w:hAnsi="Times New Roman" w:cs="Times New Roman"/>
          <w:bCs/>
          <w:lang w:val="sv-SE"/>
        </w:rPr>
      </w:pPr>
      <w:r w:rsidRPr="00F17769">
        <w:rPr>
          <w:rFonts w:ascii="Times New Roman" w:hAnsi="Times New Roman" w:cs="Times New Roman"/>
          <w:bCs/>
          <w:lang w:val="sv-SE"/>
        </w:rPr>
        <w:t xml:space="preserve">Phone: </w:t>
      </w:r>
      <w:r>
        <w:rPr>
          <w:rFonts w:ascii="Times New Roman" w:hAnsi="Times New Roman" w:cs="Times New Roman"/>
          <w:bCs/>
          <w:lang w:val="sv-SE"/>
        </w:rPr>
        <w:t>(</w:t>
      </w:r>
      <w:r w:rsidRPr="00F17769">
        <w:rPr>
          <w:rFonts w:ascii="Times New Roman" w:hAnsi="Times New Roman" w:cs="Times New Roman"/>
          <w:bCs/>
          <w:lang w:val="sv-SE"/>
        </w:rPr>
        <w:t>651</w:t>
      </w:r>
      <w:r>
        <w:rPr>
          <w:rFonts w:ascii="Times New Roman" w:hAnsi="Times New Roman" w:cs="Times New Roman"/>
          <w:bCs/>
          <w:lang w:val="sv-SE"/>
        </w:rPr>
        <w:t>)</w:t>
      </w:r>
      <w:r w:rsidRPr="00F17769">
        <w:rPr>
          <w:rFonts w:ascii="Times New Roman" w:hAnsi="Times New Roman" w:cs="Times New Roman"/>
          <w:bCs/>
          <w:lang w:val="sv-SE"/>
        </w:rPr>
        <w:t>-962-4416</w:t>
      </w:r>
    </w:p>
    <w:p w:rsidR="00F17769" w:rsidRPr="00F17769" w:rsidRDefault="00EF4D44" w:rsidP="00F17769">
      <w:pPr>
        <w:spacing w:line="240" w:lineRule="auto"/>
        <w:jc w:val="center"/>
        <w:rPr>
          <w:rFonts w:ascii="Times New Roman" w:hAnsi="Times New Roman" w:cs="Times New Roman"/>
          <w:bCs/>
          <w:lang w:val="sv-SE"/>
        </w:rPr>
      </w:pPr>
      <w:hyperlink r:id="rId8" w:history="1">
        <w:r w:rsidR="00F17769" w:rsidRPr="00F17769">
          <w:rPr>
            <w:rStyle w:val="Hyperlink"/>
            <w:bCs/>
            <w:lang w:val="sv-SE"/>
          </w:rPr>
          <w:t>skmohanty@stthomas.edu</w:t>
        </w:r>
      </w:hyperlink>
    </w:p>
    <w:p w:rsidR="00F17769" w:rsidRPr="00F17769" w:rsidRDefault="00F17769" w:rsidP="00F17769">
      <w:pPr>
        <w:spacing w:line="240" w:lineRule="auto"/>
        <w:jc w:val="center"/>
        <w:rPr>
          <w:rFonts w:ascii="Times New Roman" w:hAnsi="Times New Roman" w:cs="Times New Roman"/>
          <w:bCs/>
          <w:lang w:val="sv-SE"/>
        </w:rPr>
      </w:pPr>
    </w:p>
    <w:p w:rsidR="00F17769" w:rsidRPr="00F17769" w:rsidRDefault="00F17769" w:rsidP="00F17769">
      <w:pPr>
        <w:spacing w:line="240" w:lineRule="auto"/>
        <w:jc w:val="center"/>
        <w:rPr>
          <w:rFonts w:ascii="Times New Roman" w:hAnsi="Times New Roman" w:cs="Times New Roman"/>
          <w:bCs/>
        </w:rPr>
      </w:pPr>
      <w:r w:rsidRPr="00F17769">
        <w:rPr>
          <w:rFonts w:ascii="Times New Roman" w:hAnsi="Times New Roman" w:cs="Times New Roman"/>
          <w:bCs/>
        </w:rPr>
        <w:t>Hong-Jen Lin</w:t>
      </w:r>
    </w:p>
    <w:p w:rsidR="00F17769" w:rsidRPr="00F17769" w:rsidRDefault="00F17769" w:rsidP="00F17769">
      <w:pPr>
        <w:spacing w:line="240" w:lineRule="auto"/>
        <w:jc w:val="center"/>
        <w:rPr>
          <w:rFonts w:ascii="Times New Roman" w:hAnsi="Times New Roman" w:cs="Times New Roman"/>
          <w:bCs/>
        </w:rPr>
      </w:pPr>
      <w:smartTag w:uri="urn:schemas-microsoft-com:office:smarttags" w:element="place">
        <w:smartTag w:uri="urn:schemas-microsoft-com:office:smarttags" w:element="PlaceName">
          <w:r w:rsidRPr="00F17769">
            <w:rPr>
              <w:rFonts w:ascii="Times New Roman" w:hAnsi="Times New Roman" w:cs="Times New Roman"/>
              <w:bCs/>
            </w:rPr>
            <w:t>Brooklyn</w:t>
          </w:r>
        </w:smartTag>
        <w:r w:rsidRPr="00F17769">
          <w:rPr>
            <w:rFonts w:ascii="Times New Roman" w:hAnsi="Times New Roman" w:cs="Times New Roman"/>
            <w:bCs/>
          </w:rPr>
          <w:t xml:space="preserve"> </w:t>
        </w:r>
        <w:smartTag w:uri="urn:schemas-microsoft-com:office:smarttags" w:element="PlaceType">
          <w:r w:rsidRPr="00F17769">
            <w:rPr>
              <w:rFonts w:ascii="Times New Roman" w:hAnsi="Times New Roman" w:cs="Times New Roman"/>
              <w:bCs/>
            </w:rPr>
            <w:t>College</w:t>
          </w:r>
        </w:smartTag>
      </w:smartTag>
    </w:p>
    <w:p w:rsidR="00F17769" w:rsidRPr="00F17769" w:rsidRDefault="00F17769" w:rsidP="00F17769">
      <w:pPr>
        <w:spacing w:line="240" w:lineRule="auto"/>
        <w:jc w:val="center"/>
        <w:rPr>
          <w:rFonts w:ascii="Times New Roman" w:hAnsi="Times New Roman" w:cs="Times New Roman"/>
          <w:bCs/>
        </w:rPr>
      </w:pPr>
      <w:r w:rsidRPr="00F17769">
        <w:rPr>
          <w:rFonts w:ascii="Times New Roman" w:hAnsi="Times New Roman" w:cs="Times New Roman"/>
          <w:bCs/>
        </w:rPr>
        <w:t xml:space="preserve"> The </w:t>
      </w:r>
      <w:smartTag w:uri="urn:schemas-microsoft-com:office:smarttags" w:element="PlaceType">
        <w:r w:rsidRPr="00F17769">
          <w:rPr>
            <w:rFonts w:ascii="Times New Roman" w:hAnsi="Times New Roman" w:cs="Times New Roman"/>
            <w:bCs/>
          </w:rPr>
          <w:t>City</w:t>
        </w:r>
      </w:smartTag>
      <w:r w:rsidRPr="00F17769">
        <w:rPr>
          <w:rFonts w:ascii="Times New Roman" w:hAnsi="Times New Roman" w:cs="Times New Roman"/>
          <w:bCs/>
        </w:rPr>
        <w:t xml:space="preserve"> </w:t>
      </w:r>
      <w:smartTag w:uri="urn:schemas-microsoft-com:office:smarttags" w:element="PlaceType">
        <w:r w:rsidRPr="00F17769">
          <w:rPr>
            <w:rFonts w:ascii="Times New Roman" w:hAnsi="Times New Roman" w:cs="Times New Roman"/>
            <w:bCs/>
          </w:rPr>
          <w:t>University</w:t>
        </w:r>
      </w:smartTag>
      <w:r w:rsidRPr="00F17769">
        <w:rPr>
          <w:rFonts w:ascii="Times New Roman" w:hAnsi="Times New Roman" w:cs="Times New Roman"/>
          <w:bCs/>
        </w:rPr>
        <w:t xml:space="preserve"> of </w:t>
      </w:r>
      <w:smartTag w:uri="urn:schemas-microsoft-com:office:smarttags" w:element="place">
        <w:smartTag w:uri="urn:schemas-microsoft-com:office:smarttags" w:element="State">
          <w:r w:rsidRPr="00F17769">
            <w:rPr>
              <w:rFonts w:ascii="Times New Roman" w:hAnsi="Times New Roman" w:cs="Times New Roman"/>
              <w:bCs/>
            </w:rPr>
            <w:t>New York</w:t>
          </w:r>
        </w:smartTag>
      </w:smartTag>
    </w:p>
    <w:p w:rsidR="00F17769" w:rsidRPr="00F17769" w:rsidRDefault="00F17769" w:rsidP="00F17769">
      <w:pPr>
        <w:spacing w:line="240" w:lineRule="auto"/>
        <w:jc w:val="center"/>
        <w:rPr>
          <w:rFonts w:ascii="Times New Roman" w:hAnsi="Times New Roman" w:cs="Times New Roman"/>
          <w:bCs/>
        </w:rPr>
      </w:pPr>
      <w:smartTag w:uri="urn:schemas-microsoft-com:office:smarttags" w:element="place">
        <w:smartTag w:uri="urn:schemas-microsoft-com:office:smarttags" w:element="City">
          <w:r w:rsidRPr="00F17769">
            <w:rPr>
              <w:rFonts w:ascii="Times New Roman" w:hAnsi="Times New Roman" w:cs="Times New Roman"/>
              <w:bCs/>
            </w:rPr>
            <w:t>Brooklyn</w:t>
          </w:r>
        </w:smartTag>
        <w:r w:rsidRPr="00F17769">
          <w:rPr>
            <w:rFonts w:ascii="Times New Roman" w:hAnsi="Times New Roman" w:cs="Times New Roman"/>
            <w:bCs/>
          </w:rPr>
          <w:t xml:space="preserve">, </w:t>
        </w:r>
        <w:smartTag w:uri="urn:schemas-microsoft-com:office:smarttags" w:element="State">
          <w:r w:rsidRPr="00F17769">
            <w:rPr>
              <w:rFonts w:ascii="Times New Roman" w:hAnsi="Times New Roman" w:cs="Times New Roman"/>
              <w:bCs/>
            </w:rPr>
            <w:t>NY</w:t>
          </w:r>
        </w:smartTag>
        <w:r w:rsidRPr="00F17769">
          <w:rPr>
            <w:rFonts w:ascii="Times New Roman" w:hAnsi="Times New Roman" w:cs="Times New Roman"/>
            <w:bCs/>
          </w:rPr>
          <w:t xml:space="preserve"> </w:t>
        </w:r>
        <w:smartTag w:uri="urn:schemas-microsoft-com:office:smarttags" w:element="PostalCode">
          <w:r w:rsidRPr="00F17769">
            <w:rPr>
              <w:rFonts w:ascii="Times New Roman" w:hAnsi="Times New Roman" w:cs="Times New Roman"/>
              <w:bCs/>
            </w:rPr>
            <w:t>11210</w:t>
          </w:r>
        </w:smartTag>
      </w:smartTag>
    </w:p>
    <w:p w:rsidR="00F17769" w:rsidRPr="007669A3" w:rsidRDefault="00F17769" w:rsidP="00F17769">
      <w:pPr>
        <w:spacing w:line="240" w:lineRule="auto"/>
        <w:jc w:val="center"/>
        <w:rPr>
          <w:rFonts w:ascii="Times New Roman" w:hAnsi="Times New Roman" w:cs="Times New Roman"/>
          <w:bCs/>
        </w:rPr>
      </w:pPr>
      <w:r w:rsidRPr="00F17769">
        <w:rPr>
          <w:rFonts w:ascii="Times New Roman" w:hAnsi="Times New Roman" w:cs="Times New Roman"/>
          <w:bCs/>
        </w:rPr>
        <w:t>Phone: (718</w:t>
      </w:r>
      <w:r w:rsidRPr="007669A3">
        <w:rPr>
          <w:rFonts w:ascii="Times New Roman" w:hAnsi="Times New Roman" w:cs="Times New Roman"/>
          <w:bCs/>
        </w:rPr>
        <w:t>)</w:t>
      </w:r>
      <w:r w:rsidR="007669A3" w:rsidRPr="007669A3">
        <w:rPr>
          <w:rFonts w:ascii="Times New Roman" w:hAnsi="Times New Roman" w:cs="Times New Roman"/>
          <w:bCs/>
        </w:rPr>
        <w:t xml:space="preserve"> 351-5000 ext. 1537</w:t>
      </w:r>
    </w:p>
    <w:p w:rsidR="00F17769" w:rsidRPr="00F17769" w:rsidRDefault="00EF4D44" w:rsidP="00F17769">
      <w:pPr>
        <w:spacing w:line="240" w:lineRule="auto"/>
        <w:jc w:val="center"/>
        <w:rPr>
          <w:rFonts w:ascii="Times New Roman" w:hAnsi="Times New Roman" w:cs="Times New Roman"/>
          <w:bCs/>
        </w:rPr>
      </w:pPr>
      <w:hyperlink r:id="rId9" w:history="1">
        <w:r w:rsidR="00F17769" w:rsidRPr="00F17769">
          <w:rPr>
            <w:rStyle w:val="Hyperlink"/>
            <w:bCs/>
          </w:rPr>
          <w:t>HJLin@brooklyn.cuny.edu</w:t>
        </w:r>
      </w:hyperlink>
    </w:p>
    <w:p w:rsidR="00F17769" w:rsidRPr="00F17769" w:rsidRDefault="00F17769" w:rsidP="00F17769">
      <w:pPr>
        <w:spacing w:line="240" w:lineRule="auto"/>
        <w:jc w:val="center"/>
        <w:rPr>
          <w:rFonts w:ascii="Times New Roman" w:hAnsi="Times New Roman" w:cs="Times New Roman"/>
          <w:bCs/>
          <w:lang w:val="sv-SE"/>
        </w:rPr>
      </w:pPr>
    </w:p>
    <w:p w:rsidR="00F17769" w:rsidRPr="00F17769" w:rsidRDefault="00F17769" w:rsidP="00F17769">
      <w:pPr>
        <w:spacing w:line="240" w:lineRule="auto"/>
        <w:jc w:val="center"/>
        <w:rPr>
          <w:rFonts w:ascii="Times New Roman" w:hAnsi="Times New Roman" w:cs="Times New Roman"/>
        </w:rPr>
      </w:pPr>
      <w:proofErr w:type="spellStart"/>
      <w:r>
        <w:rPr>
          <w:rFonts w:ascii="Times New Roman" w:hAnsi="Times New Roman" w:cs="Times New Roman"/>
          <w:iCs/>
        </w:rPr>
        <w:t>Eid</w:t>
      </w:r>
      <w:proofErr w:type="spellEnd"/>
      <w:r>
        <w:rPr>
          <w:rFonts w:ascii="Times New Roman" w:hAnsi="Times New Roman" w:cs="Times New Roman"/>
          <w:iCs/>
        </w:rPr>
        <w:t xml:space="preserve"> A. </w:t>
      </w:r>
      <w:proofErr w:type="spellStart"/>
      <w:r>
        <w:rPr>
          <w:rFonts w:ascii="Times New Roman" w:hAnsi="Times New Roman" w:cs="Times New Roman"/>
          <w:iCs/>
        </w:rPr>
        <w:t>Aljuhani</w:t>
      </w:r>
      <w:proofErr w:type="spellEnd"/>
    </w:p>
    <w:p w:rsidR="00F17769" w:rsidRPr="00F17769" w:rsidRDefault="00F17769" w:rsidP="00F17769">
      <w:pPr>
        <w:spacing w:line="240" w:lineRule="auto"/>
        <w:jc w:val="center"/>
        <w:rPr>
          <w:rFonts w:ascii="Times New Roman" w:hAnsi="Times New Roman" w:cs="Times New Roman"/>
        </w:rPr>
      </w:pPr>
      <w:r>
        <w:rPr>
          <w:rFonts w:ascii="Times New Roman" w:hAnsi="Times New Roman" w:cs="Times New Roman"/>
        </w:rPr>
        <w:t>Department of Economics</w:t>
      </w:r>
    </w:p>
    <w:p w:rsidR="00F17769" w:rsidRPr="00F17769" w:rsidRDefault="00F17769" w:rsidP="00F17769">
      <w:pPr>
        <w:spacing w:line="240" w:lineRule="auto"/>
        <w:jc w:val="center"/>
        <w:rPr>
          <w:rFonts w:ascii="Times New Roman" w:hAnsi="Times New Roman" w:cs="Times New Roman"/>
        </w:rPr>
      </w:pPr>
      <w:r w:rsidRPr="00F17769">
        <w:rPr>
          <w:rFonts w:ascii="Times New Roman" w:hAnsi="Times New Roman" w:cs="Times New Roman"/>
          <w:iCs/>
        </w:rPr>
        <w:t>King Abdulaziz University</w:t>
      </w:r>
    </w:p>
    <w:p w:rsidR="00F17769" w:rsidRDefault="00F17769" w:rsidP="00F17769">
      <w:pPr>
        <w:spacing w:line="240" w:lineRule="auto"/>
        <w:jc w:val="center"/>
        <w:rPr>
          <w:rFonts w:ascii="Times New Roman" w:hAnsi="Times New Roman" w:cs="Times New Roman"/>
          <w:iCs/>
        </w:rPr>
      </w:pPr>
      <w:r w:rsidRPr="00F17769">
        <w:rPr>
          <w:rFonts w:ascii="Times New Roman" w:hAnsi="Times New Roman" w:cs="Times New Roman"/>
          <w:iCs/>
        </w:rPr>
        <w:t>Jeddah, Saudi Arabia</w:t>
      </w:r>
    </w:p>
    <w:p w:rsidR="007C4B99" w:rsidRDefault="00EF4D44" w:rsidP="00F17769">
      <w:pPr>
        <w:spacing w:line="240" w:lineRule="auto"/>
        <w:jc w:val="center"/>
        <w:rPr>
          <w:rFonts w:ascii="Times New Roman" w:hAnsi="Times New Roman" w:cs="Times New Roman"/>
          <w:iCs/>
        </w:rPr>
      </w:pPr>
      <w:hyperlink r:id="rId10" w:history="1">
        <w:r w:rsidR="007C4B99" w:rsidRPr="00C11735">
          <w:rPr>
            <w:rStyle w:val="Hyperlink"/>
            <w:iCs/>
          </w:rPr>
          <w:t>juhanie@hotmail.com</w:t>
        </w:r>
      </w:hyperlink>
    </w:p>
    <w:p w:rsidR="007C4B99" w:rsidRDefault="007C4B99" w:rsidP="00F17769">
      <w:pPr>
        <w:spacing w:line="240" w:lineRule="auto"/>
        <w:jc w:val="center"/>
        <w:rPr>
          <w:rFonts w:ascii="Times New Roman" w:hAnsi="Times New Roman" w:cs="Times New Roman"/>
          <w:iCs/>
        </w:rPr>
      </w:pPr>
    </w:p>
    <w:p w:rsidR="00F17769" w:rsidRDefault="00F17769" w:rsidP="00F17769">
      <w:pPr>
        <w:spacing w:line="240" w:lineRule="auto"/>
        <w:jc w:val="center"/>
        <w:rPr>
          <w:rFonts w:ascii="Times New Roman" w:hAnsi="Times New Roman" w:cs="Times New Roman"/>
          <w:lang w:val="sv-SE"/>
        </w:rPr>
      </w:pPr>
      <w:r>
        <w:rPr>
          <w:rFonts w:ascii="Times New Roman" w:hAnsi="Times New Roman" w:cs="Times New Roman"/>
          <w:lang w:val="sv-SE"/>
        </w:rPr>
        <w:t>a</w:t>
      </w:r>
      <w:r w:rsidRPr="00F17769">
        <w:rPr>
          <w:rFonts w:ascii="Times New Roman" w:hAnsi="Times New Roman" w:cs="Times New Roman"/>
          <w:lang w:val="sv-SE"/>
        </w:rPr>
        <w:t>nd</w:t>
      </w:r>
    </w:p>
    <w:p w:rsidR="00F17769" w:rsidRDefault="00F17769" w:rsidP="00F17769">
      <w:pPr>
        <w:spacing w:line="240" w:lineRule="auto"/>
        <w:jc w:val="center"/>
        <w:rPr>
          <w:rFonts w:ascii="Times New Roman" w:hAnsi="Times New Roman" w:cs="Times New Roman"/>
          <w:lang w:val="sv-SE"/>
        </w:rPr>
      </w:pPr>
    </w:p>
    <w:p w:rsidR="00F17769" w:rsidRPr="00F17769" w:rsidRDefault="00F17769" w:rsidP="00F17769">
      <w:pPr>
        <w:spacing w:line="240" w:lineRule="auto"/>
        <w:jc w:val="center"/>
        <w:rPr>
          <w:rFonts w:ascii="Times New Roman" w:hAnsi="Times New Roman" w:cs="Times New Roman"/>
        </w:rPr>
      </w:pPr>
      <w:r>
        <w:rPr>
          <w:rFonts w:ascii="Times New Roman" w:hAnsi="Times New Roman" w:cs="Times New Roman"/>
          <w:lang w:val="sv-SE"/>
        </w:rPr>
        <w:t>Hisham J. Bardesi</w:t>
      </w:r>
    </w:p>
    <w:p w:rsidR="00F17769" w:rsidRPr="00F17769" w:rsidRDefault="00355FCA" w:rsidP="00F17769">
      <w:pPr>
        <w:spacing w:line="240" w:lineRule="auto"/>
        <w:jc w:val="center"/>
        <w:rPr>
          <w:rFonts w:ascii="Times New Roman" w:hAnsi="Times New Roman" w:cs="Times New Roman"/>
        </w:rPr>
      </w:pPr>
      <w:r>
        <w:rPr>
          <w:rFonts w:ascii="Times New Roman" w:hAnsi="Times New Roman" w:cs="Times New Roman"/>
        </w:rPr>
        <w:t>Department of Economics</w:t>
      </w:r>
    </w:p>
    <w:p w:rsidR="00F17769" w:rsidRPr="00F17769" w:rsidRDefault="00F17769" w:rsidP="00F17769">
      <w:pPr>
        <w:spacing w:line="240" w:lineRule="auto"/>
        <w:jc w:val="center"/>
        <w:rPr>
          <w:rFonts w:ascii="Times New Roman" w:hAnsi="Times New Roman" w:cs="Times New Roman"/>
        </w:rPr>
      </w:pPr>
      <w:r w:rsidRPr="00F17769">
        <w:rPr>
          <w:rFonts w:ascii="Times New Roman" w:hAnsi="Times New Roman" w:cs="Times New Roman"/>
          <w:iCs/>
        </w:rPr>
        <w:t>King Abdulaziz University</w:t>
      </w:r>
    </w:p>
    <w:p w:rsidR="00F17769" w:rsidRDefault="00F17769" w:rsidP="00F17769">
      <w:pPr>
        <w:spacing w:line="240" w:lineRule="auto"/>
        <w:jc w:val="center"/>
        <w:rPr>
          <w:rFonts w:ascii="Times New Roman" w:hAnsi="Times New Roman" w:cs="Times New Roman"/>
          <w:iCs/>
        </w:rPr>
      </w:pPr>
      <w:r w:rsidRPr="00F17769">
        <w:rPr>
          <w:rFonts w:ascii="Times New Roman" w:hAnsi="Times New Roman" w:cs="Times New Roman"/>
          <w:iCs/>
        </w:rPr>
        <w:t>Jeddah, Saudi Arabia</w:t>
      </w:r>
    </w:p>
    <w:p w:rsidR="007C4B99" w:rsidRDefault="00EF4D44" w:rsidP="00F17769">
      <w:pPr>
        <w:spacing w:line="240" w:lineRule="auto"/>
        <w:jc w:val="center"/>
        <w:rPr>
          <w:rStyle w:val="Hyperlink"/>
          <w:iCs/>
        </w:rPr>
      </w:pPr>
      <w:hyperlink r:id="rId11" w:history="1">
        <w:r w:rsidR="007C4B99" w:rsidRPr="00C11735">
          <w:rPr>
            <w:rStyle w:val="Hyperlink"/>
            <w:iCs/>
          </w:rPr>
          <w:t>hbardesi@kau.edu.sa</w:t>
        </w:r>
      </w:hyperlink>
    </w:p>
    <w:p w:rsidR="00B505E1" w:rsidRDefault="00B505E1" w:rsidP="00F17769">
      <w:pPr>
        <w:spacing w:line="240" w:lineRule="auto"/>
        <w:jc w:val="center"/>
        <w:rPr>
          <w:rStyle w:val="Hyperlink"/>
          <w:iCs/>
        </w:rPr>
      </w:pPr>
    </w:p>
    <w:p w:rsidR="00B505E1" w:rsidRPr="00B505E1" w:rsidRDefault="00B505E1" w:rsidP="00F17769">
      <w:pPr>
        <w:spacing w:line="240" w:lineRule="auto"/>
        <w:jc w:val="center"/>
        <w:rPr>
          <w:rStyle w:val="Hyperlink"/>
          <w:iCs/>
          <w:color w:val="auto"/>
          <w:u w:val="none"/>
        </w:rPr>
      </w:pPr>
      <w:r>
        <w:rPr>
          <w:rStyle w:val="Hyperlink"/>
          <w:iCs/>
          <w:color w:val="auto"/>
          <w:u w:val="none"/>
        </w:rPr>
        <w:t>Revised Draft March 26, 2012</w:t>
      </w:r>
    </w:p>
    <w:p w:rsidR="00F17769" w:rsidRPr="00F17769" w:rsidRDefault="00B505E1" w:rsidP="00F17769">
      <w:pPr>
        <w:spacing w:line="240" w:lineRule="auto"/>
        <w:rPr>
          <w:rFonts w:ascii="Times New Roman" w:hAnsi="Times New Roman" w:cs="Times New Roman"/>
          <w:lang w:val="sv-SE"/>
        </w:rPr>
      </w:pPr>
      <w:r>
        <w:rPr>
          <w:rFonts w:ascii="Times New Roman" w:hAnsi="Times New Roman" w:cs="Times New Roman"/>
          <w:lang w:val="sv-SE"/>
        </w:rPr>
        <w:t>______________________________________________________________________________* Corresponding author</w:t>
      </w:r>
    </w:p>
    <w:p w:rsidR="00C2056D" w:rsidRDefault="00C2056D" w:rsidP="00C2056D">
      <w:pPr>
        <w:widowControl/>
        <w:autoSpaceDE w:val="0"/>
        <w:autoSpaceDN w:val="0"/>
        <w:adjustRightInd w:val="0"/>
        <w:spacing w:line="240" w:lineRule="auto"/>
        <w:jc w:val="center"/>
        <w:rPr>
          <w:rFonts w:ascii="Times New Roman" w:hAnsi="Times New Roman" w:cs="Times New Roman"/>
          <w:b/>
          <w:kern w:val="0"/>
          <w:szCs w:val="24"/>
        </w:rPr>
      </w:pPr>
    </w:p>
    <w:p w:rsidR="00B505E1" w:rsidRDefault="00B505E1" w:rsidP="00B505E1">
      <w:pPr>
        <w:widowControl/>
        <w:autoSpaceDE w:val="0"/>
        <w:autoSpaceDN w:val="0"/>
        <w:adjustRightInd w:val="0"/>
        <w:spacing w:line="240" w:lineRule="auto"/>
        <w:jc w:val="center"/>
        <w:rPr>
          <w:rFonts w:ascii="Times New Roman" w:hAnsi="Times New Roman" w:cs="Times New Roman"/>
          <w:b/>
          <w:kern w:val="0"/>
          <w:szCs w:val="24"/>
        </w:rPr>
      </w:pPr>
      <w:r>
        <w:rPr>
          <w:rFonts w:ascii="Times New Roman" w:hAnsi="Times New Roman" w:cs="Times New Roman"/>
          <w:b/>
          <w:kern w:val="0"/>
          <w:szCs w:val="24"/>
        </w:rPr>
        <w:lastRenderedPageBreak/>
        <w:t>Banking Efficiency in</w:t>
      </w:r>
      <w:r w:rsidRPr="00F17769">
        <w:rPr>
          <w:rFonts w:ascii="Times New Roman" w:hAnsi="Times New Roman" w:cs="Times New Roman"/>
          <w:b/>
          <w:kern w:val="0"/>
          <w:szCs w:val="24"/>
        </w:rPr>
        <w:t xml:space="preserve"> Gulf </w:t>
      </w:r>
      <w:r>
        <w:rPr>
          <w:rFonts w:ascii="Times New Roman" w:hAnsi="Times New Roman" w:cs="Times New Roman"/>
          <w:b/>
          <w:kern w:val="0"/>
          <w:szCs w:val="24"/>
        </w:rPr>
        <w:t xml:space="preserve">Cooperation Council (GCC) Countries: </w:t>
      </w:r>
    </w:p>
    <w:p w:rsidR="00B505E1" w:rsidRDefault="00B505E1" w:rsidP="00B505E1">
      <w:pPr>
        <w:widowControl/>
        <w:autoSpaceDE w:val="0"/>
        <w:autoSpaceDN w:val="0"/>
        <w:adjustRightInd w:val="0"/>
        <w:spacing w:line="240" w:lineRule="auto"/>
        <w:jc w:val="center"/>
        <w:rPr>
          <w:rFonts w:ascii="Times New Roman" w:hAnsi="Times New Roman" w:cs="Times New Roman"/>
          <w:b/>
          <w:kern w:val="0"/>
          <w:szCs w:val="24"/>
        </w:rPr>
      </w:pPr>
      <w:r>
        <w:rPr>
          <w:rFonts w:ascii="Times New Roman" w:hAnsi="Times New Roman" w:cs="Times New Roman"/>
          <w:b/>
          <w:kern w:val="0"/>
          <w:szCs w:val="24"/>
        </w:rPr>
        <w:t xml:space="preserve">    A Comparative Study</w:t>
      </w:r>
    </w:p>
    <w:p w:rsidR="00B505E1" w:rsidRDefault="00B505E1" w:rsidP="00B505E1">
      <w:pPr>
        <w:widowControl/>
        <w:autoSpaceDE w:val="0"/>
        <w:autoSpaceDN w:val="0"/>
        <w:adjustRightInd w:val="0"/>
        <w:spacing w:line="240" w:lineRule="auto"/>
        <w:jc w:val="center"/>
        <w:rPr>
          <w:rFonts w:ascii="Times New Roman" w:hAnsi="Times New Roman" w:cs="Times New Roman"/>
          <w:b/>
          <w:kern w:val="0"/>
          <w:szCs w:val="24"/>
        </w:rPr>
      </w:pPr>
    </w:p>
    <w:p w:rsidR="00B505E1" w:rsidRDefault="00B505E1" w:rsidP="00C2056D">
      <w:pPr>
        <w:widowControl/>
        <w:autoSpaceDE w:val="0"/>
        <w:autoSpaceDN w:val="0"/>
        <w:adjustRightInd w:val="0"/>
        <w:spacing w:line="240" w:lineRule="auto"/>
        <w:jc w:val="center"/>
        <w:rPr>
          <w:rFonts w:ascii="Times New Roman" w:hAnsi="Times New Roman" w:cs="Times New Roman"/>
          <w:b/>
          <w:kern w:val="0"/>
          <w:szCs w:val="24"/>
        </w:rPr>
      </w:pPr>
      <w:bookmarkStart w:id="0" w:name="_GoBack"/>
      <w:bookmarkEnd w:id="0"/>
    </w:p>
    <w:p w:rsidR="00A64E52" w:rsidRDefault="00A64E52" w:rsidP="00A64E52">
      <w:pPr>
        <w:widowControl/>
        <w:autoSpaceDE w:val="0"/>
        <w:autoSpaceDN w:val="0"/>
        <w:adjustRightInd w:val="0"/>
        <w:spacing w:line="480" w:lineRule="auto"/>
        <w:jc w:val="center"/>
        <w:rPr>
          <w:rFonts w:ascii="Times New Roman" w:hAnsi="Times New Roman" w:cs="Times New Roman"/>
          <w:b/>
          <w:kern w:val="0"/>
          <w:szCs w:val="24"/>
        </w:rPr>
      </w:pPr>
      <w:r>
        <w:rPr>
          <w:rFonts w:ascii="Times New Roman" w:hAnsi="Times New Roman" w:cs="Times New Roman"/>
          <w:b/>
          <w:kern w:val="0"/>
          <w:szCs w:val="24"/>
        </w:rPr>
        <w:t>Abstract</w:t>
      </w:r>
    </w:p>
    <w:p w:rsidR="00A64E52" w:rsidRDefault="00C17F0B" w:rsidP="00CD17FC">
      <w:pPr>
        <w:pStyle w:val="BodyTextIndent"/>
        <w:spacing w:line="240" w:lineRule="auto"/>
        <w:ind w:left="0" w:firstLine="480"/>
        <w:rPr>
          <w:b/>
        </w:rPr>
      </w:pPr>
      <w:r>
        <w:t xml:space="preserve">We measure cost and profit efficiency of banks operating in </w:t>
      </w:r>
      <w:r w:rsidR="007061B1">
        <w:t xml:space="preserve">six </w:t>
      </w:r>
      <w:r>
        <w:t>GCC countries</w:t>
      </w:r>
      <w:r w:rsidR="007061B1">
        <w:t xml:space="preserve"> (</w:t>
      </w:r>
      <w:r w:rsidR="007061B1" w:rsidRPr="001615A8">
        <w:rPr>
          <w:lang w:eastAsia="zh-CN"/>
        </w:rPr>
        <w:t>Bahrain, Kuwait, Oman, Qatar, Saudi Arabia, and the United Arab Emirates</w:t>
      </w:r>
      <w:r w:rsidR="007061B1">
        <w:rPr>
          <w:lang w:eastAsia="zh-CN"/>
        </w:rPr>
        <w:t>)</w:t>
      </w:r>
      <w:r w:rsidR="007061B1">
        <w:t xml:space="preserve"> for the period 1999-2010 using </w:t>
      </w:r>
      <w:r>
        <w:t>heteroskedastic stochastic frontier (HSF) models</w:t>
      </w:r>
      <w:r w:rsidR="007061B1">
        <w:t xml:space="preserve">. </w:t>
      </w:r>
      <w:r w:rsidR="007C4B99">
        <w:t xml:space="preserve">We </w:t>
      </w:r>
      <w:r w:rsidR="007061B1">
        <w:t>obtain measures of cost and profit efficiency and compare them across six GCC countries after allowing for heterogeneity in the inefficient component of error ter</w:t>
      </w:r>
      <w:r w:rsidR="004B483D">
        <w:t>m as well as in the random noise</w:t>
      </w:r>
      <w:r w:rsidR="007061B1">
        <w:t xml:space="preserve"> term. We investigate the effects of bank size, </w:t>
      </w:r>
      <w:r w:rsidR="00A77181">
        <w:t xml:space="preserve">equity capital-to-asset ratio, </w:t>
      </w:r>
      <w:r w:rsidR="007061B1">
        <w:t>types of banks (Is</w:t>
      </w:r>
      <w:r w:rsidR="00A77181">
        <w:t>lamic versus non-Islamic banks)</w:t>
      </w:r>
      <w:r w:rsidR="003A51A4">
        <w:t xml:space="preserve"> and ownership structure</w:t>
      </w:r>
      <w:r w:rsidR="00A77181">
        <w:t xml:space="preserve"> after allowing for differences in the inefficiency due to host countries’ regulatory and macro-environmental variables by using country dummies. </w:t>
      </w:r>
      <w:r w:rsidR="00C26C20">
        <w:t xml:space="preserve">Despite </w:t>
      </w:r>
      <w:r w:rsidR="00CD17FC">
        <w:t>ongoing</w:t>
      </w:r>
      <w:r w:rsidR="00A64FEA">
        <w:t xml:space="preserve"> </w:t>
      </w:r>
      <w:r w:rsidR="00A77181">
        <w:t xml:space="preserve">banking </w:t>
      </w:r>
      <w:r w:rsidR="007C4B99">
        <w:t xml:space="preserve">deregulations </w:t>
      </w:r>
      <w:r w:rsidR="00CD17FC">
        <w:t>and reforms in GCC countries</w:t>
      </w:r>
      <w:r w:rsidR="00A77181">
        <w:t xml:space="preserve"> </w:t>
      </w:r>
      <w:r w:rsidR="00871B24">
        <w:t xml:space="preserve">over the past </w:t>
      </w:r>
      <w:r w:rsidR="003A51A4">
        <w:t xml:space="preserve">two </w:t>
      </w:r>
      <w:r w:rsidR="00871B24">
        <w:t>decade</w:t>
      </w:r>
      <w:r w:rsidR="003A51A4">
        <w:t>s</w:t>
      </w:r>
      <w:r w:rsidR="00A64FEA">
        <w:t>, the</w:t>
      </w:r>
      <w:r w:rsidR="00C26C20">
        <w:t xml:space="preserve"> results </w:t>
      </w:r>
      <w:r w:rsidR="00A64FEA">
        <w:t xml:space="preserve">of our study </w:t>
      </w:r>
      <w:r w:rsidR="00C26C20">
        <w:t xml:space="preserve">show that there is no </w:t>
      </w:r>
      <w:r w:rsidR="00A77181">
        <w:t>discernible</w:t>
      </w:r>
      <w:r w:rsidR="00A64FEA">
        <w:t xml:space="preserve"> </w:t>
      </w:r>
      <w:r w:rsidR="00CD17FC">
        <w:t xml:space="preserve">upward </w:t>
      </w:r>
      <w:r w:rsidR="00A64FEA">
        <w:t xml:space="preserve">trend </w:t>
      </w:r>
      <w:r w:rsidR="00CD17FC">
        <w:t>on</w:t>
      </w:r>
      <w:r w:rsidR="00C26C20">
        <w:t xml:space="preserve"> cost </w:t>
      </w:r>
      <w:r w:rsidR="00A64FEA">
        <w:t xml:space="preserve">or profit </w:t>
      </w:r>
      <w:r w:rsidR="00C26C20">
        <w:t>efficiency</w:t>
      </w:r>
      <w:r w:rsidR="00CD17FC">
        <w:t xml:space="preserve"> of banks during</w:t>
      </w:r>
      <w:r w:rsidR="00A77181">
        <w:t xml:space="preserve"> </w:t>
      </w:r>
      <w:r w:rsidR="00A64FEA">
        <w:t xml:space="preserve">the </w:t>
      </w:r>
      <w:r w:rsidR="00C26C20">
        <w:t>1999</w:t>
      </w:r>
      <w:r w:rsidR="00871B24">
        <w:t xml:space="preserve">-2010 period. We find that </w:t>
      </w:r>
      <w:r w:rsidR="00F9395C">
        <w:t>Islamic</w:t>
      </w:r>
      <w:r w:rsidR="00A64FEA">
        <w:t xml:space="preserve"> banks are </w:t>
      </w:r>
      <w:r w:rsidR="00A77181">
        <w:t xml:space="preserve">more </w:t>
      </w:r>
      <w:r w:rsidR="00A64FEA">
        <w:t xml:space="preserve">likely to be </w:t>
      </w:r>
      <w:r w:rsidR="00F9395C">
        <w:t>less</w:t>
      </w:r>
      <w:r w:rsidR="00A64FEA">
        <w:t xml:space="preserve"> cost efficient </w:t>
      </w:r>
      <w:r w:rsidR="00F9395C">
        <w:t>but more</w:t>
      </w:r>
      <w:r w:rsidR="00A64FEA">
        <w:t xml:space="preserve"> profit efficient </w:t>
      </w:r>
      <w:r w:rsidR="00F9395C">
        <w:t xml:space="preserve">than </w:t>
      </w:r>
      <w:r w:rsidR="00CD17FC">
        <w:t>non-Islamic banks</w:t>
      </w:r>
      <w:r w:rsidR="00A77181">
        <w:t xml:space="preserve">. Banks operating in Saudi Arabia and Bahrain are more cost efficient than those that operate </w:t>
      </w:r>
      <w:r w:rsidR="00CD17FC">
        <w:t>in Kuwait, Oman, Qatar, and the United Arab Emirates.</w:t>
      </w:r>
    </w:p>
    <w:p w:rsidR="00A64E52" w:rsidRDefault="00A64E52" w:rsidP="00A64E52">
      <w:pPr>
        <w:widowControl/>
        <w:autoSpaceDE w:val="0"/>
        <w:autoSpaceDN w:val="0"/>
        <w:adjustRightInd w:val="0"/>
        <w:spacing w:line="480" w:lineRule="auto"/>
        <w:jc w:val="center"/>
        <w:rPr>
          <w:rFonts w:ascii="Times New Roman" w:hAnsi="Times New Roman" w:cs="Times New Roman"/>
          <w:b/>
          <w:kern w:val="0"/>
          <w:szCs w:val="24"/>
        </w:rPr>
      </w:pPr>
    </w:p>
    <w:p w:rsidR="00AB2C6B" w:rsidRPr="005A0A33" w:rsidRDefault="00AB2C6B" w:rsidP="00AB2C6B">
      <w:pPr>
        <w:pStyle w:val="BodyText"/>
        <w:rPr>
          <w:rFonts w:ascii="Times New Roman" w:hAnsi="Times New Roman" w:cs="Times New Roman"/>
        </w:rPr>
      </w:pPr>
      <w:r w:rsidRPr="005A0A33">
        <w:rPr>
          <w:rFonts w:ascii="Times New Roman" w:hAnsi="Times New Roman" w:cs="Times New Roman"/>
          <w:i/>
        </w:rPr>
        <w:t>JEL Classification</w:t>
      </w:r>
      <w:r w:rsidRPr="005A0A33">
        <w:rPr>
          <w:rFonts w:ascii="Times New Roman" w:hAnsi="Times New Roman" w:cs="Times New Roman"/>
        </w:rPr>
        <w:t>: G21, G28, G34, F23, F33</w:t>
      </w:r>
    </w:p>
    <w:p w:rsidR="00AB2C6B" w:rsidRPr="005A0A33" w:rsidRDefault="00AB2C6B" w:rsidP="00AB2C6B">
      <w:pPr>
        <w:pStyle w:val="BodyText"/>
        <w:rPr>
          <w:rFonts w:ascii="Times New Roman" w:hAnsi="Times New Roman" w:cs="Times New Roman"/>
        </w:rPr>
      </w:pPr>
      <w:r w:rsidRPr="005A0A33">
        <w:rPr>
          <w:rFonts w:ascii="Times New Roman" w:hAnsi="Times New Roman" w:cs="Times New Roman"/>
          <w:i/>
        </w:rPr>
        <w:t xml:space="preserve">Key Words: </w:t>
      </w:r>
      <w:r w:rsidRPr="00B505E1">
        <w:rPr>
          <w:rFonts w:ascii="Times New Roman" w:hAnsi="Times New Roman" w:cs="Times New Roman"/>
          <w:i/>
        </w:rPr>
        <w:t>Stochastic Frontier, Cost Efficiency, Profit Efficiency</w:t>
      </w:r>
    </w:p>
    <w:p w:rsidR="00AB2C6B" w:rsidRPr="005A0A33" w:rsidRDefault="00AB2C6B" w:rsidP="00AB2C6B">
      <w:pPr>
        <w:pStyle w:val="BodyText"/>
        <w:rPr>
          <w:rFonts w:ascii="Times New Roman" w:hAnsi="Times New Roman" w:cs="Times New Roman"/>
        </w:rPr>
      </w:pPr>
    </w:p>
    <w:p w:rsidR="00A64E52" w:rsidRDefault="00A64E52" w:rsidP="00A64E52">
      <w:pPr>
        <w:widowControl/>
        <w:autoSpaceDE w:val="0"/>
        <w:autoSpaceDN w:val="0"/>
        <w:adjustRightInd w:val="0"/>
        <w:spacing w:line="480" w:lineRule="auto"/>
        <w:jc w:val="center"/>
        <w:rPr>
          <w:rFonts w:ascii="Times New Roman" w:hAnsi="Times New Roman" w:cs="Times New Roman"/>
          <w:b/>
          <w:kern w:val="0"/>
          <w:szCs w:val="24"/>
        </w:rPr>
      </w:pPr>
    </w:p>
    <w:p w:rsidR="00A64E52" w:rsidRDefault="00A64E52" w:rsidP="00A64E52">
      <w:pPr>
        <w:widowControl/>
        <w:autoSpaceDE w:val="0"/>
        <w:autoSpaceDN w:val="0"/>
        <w:adjustRightInd w:val="0"/>
        <w:spacing w:line="480" w:lineRule="auto"/>
        <w:jc w:val="center"/>
        <w:rPr>
          <w:rFonts w:ascii="Times New Roman" w:hAnsi="Times New Roman" w:cs="Times New Roman"/>
          <w:b/>
          <w:kern w:val="0"/>
          <w:szCs w:val="24"/>
        </w:rPr>
      </w:pPr>
    </w:p>
    <w:p w:rsidR="00B505E1" w:rsidRDefault="00B505E1" w:rsidP="00A64E52">
      <w:pPr>
        <w:widowControl/>
        <w:autoSpaceDE w:val="0"/>
        <w:autoSpaceDN w:val="0"/>
        <w:adjustRightInd w:val="0"/>
        <w:spacing w:line="480" w:lineRule="auto"/>
        <w:jc w:val="center"/>
        <w:rPr>
          <w:rFonts w:ascii="Times New Roman" w:hAnsi="Times New Roman" w:cs="Times New Roman"/>
          <w:b/>
          <w:kern w:val="0"/>
          <w:szCs w:val="24"/>
        </w:rPr>
      </w:pPr>
    </w:p>
    <w:p w:rsidR="007C0B55" w:rsidRDefault="007C0B55" w:rsidP="005A0A33">
      <w:pPr>
        <w:widowControl/>
        <w:autoSpaceDE w:val="0"/>
        <w:autoSpaceDN w:val="0"/>
        <w:adjustRightInd w:val="0"/>
        <w:spacing w:line="240" w:lineRule="auto"/>
        <w:jc w:val="center"/>
        <w:rPr>
          <w:rFonts w:ascii="Times New Roman" w:hAnsi="Times New Roman" w:cs="Times New Roman"/>
          <w:b/>
          <w:kern w:val="0"/>
          <w:szCs w:val="24"/>
        </w:rPr>
      </w:pPr>
    </w:p>
    <w:p w:rsidR="00C2056D" w:rsidRDefault="00C2056D" w:rsidP="007C0B55">
      <w:pPr>
        <w:widowControl/>
        <w:autoSpaceDE w:val="0"/>
        <w:autoSpaceDN w:val="0"/>
        <w:adjustRightInd w:val="0"/>
        <w:spacing w:line="240" w:lineRule="auto"/>
        <w:jc w:val="center"/>
        <w:rPr>
          <w:rFonts w:ascii="Times New Roman" w:hAnsi="Times New Roman" w:cs="Times New Roman"/>
          <w:b/>
          <w:kern w:val="0"/>
          <w:szCs w:val="24"/>
        </w:rPr>
      </w:pPr>
      <w:r>
        <w:rPr>
          <w:rFonts w:ascii="Times New Roman" w:hAnsi="Times New Roman" w:cs="Times New Roman"/>
          <w:b/>
          <w:kern w:val="0"/>
          <w:szCs w:val="24"/>
        </w:rPr>
        <w:lastRenderedPageBreak/>
        <w:t>Banking Efficiency in</w:t>
      </w:r>
      <w:r w:rsidRPr="00F17769">
        <w:rPr>
          <w:rFonts w:ascii="Times New Roman" w:hAnsi="Times New Roman" w:cs="Times New Roman"/>
          <w:b/>
          <w:kern w:val="0"/>
          <w:szCs w:val="24"/>
        </w:rPr>
        <w:t xml:space="preserve"> Gulf </w:t>
      </w:r>
      <w:r>
        <w:rPr>
          <w:rFonts w:ascii="Times New Roman" w:hAnsi="Times New Roman" w:cs="Times New Roman"/>
          <w:b/>
          <w:kern w:val="0"/>
          <w:szCs w:val="24"/>
        </w:rPr>
        <w:t xml:space="preserve">Cooperation Council (GCC) Countries: </w:t>
      </w:r>
    </w:p>
    <w:p w:rsidR="00C2056D" w:rsidRDefault="00C2056D" w:rsidP="00C2056D">
      <w:pPr>
        <w:widowControl/>
        <w:autoSpaceDE w:val="0"/>
        <w:autoSpaceDN w:val="0"/>
        <w:adjustRightInd w:val="0"/>
        <w:spacing w:line="240" w:lineRule="auto"/>
        <w:jc w:val="center"/>
        <w:rPr>
          <w:rFonts w:ascii="Times New Roman" w:hAnsi="Times New Roman" w:cs="Times New Roman"/>
          <w:b/>
          <w:kern w:val="0"/>
          <w:szCs w:val="24"/>
        </w:rPr>
      </w:pPr>
      <w:r>
        <w:rPr>
          <w:rFonts w:ascii="Times New Roman" w:hAnsi="Times New Roman" w:cs="Times New Roman"/>
          <w:b/>
          <w:kern w:val="0"/>
          <w:szCs w:val="24"/>
        </w:rPr>
        <w:t xml:space="preserve"> A Comparative Study</w:t>
      </w:r>
    </w:p>
    <w:p w:rsidR="00A64E52" w:rsidRPr="00F17769" w:rsidRDefault="00A64E52" w:rsidP="00020C95">
      <w:pPr>
        <w:widowControl/>
        <w:autoSpaceDE w:val="0"/>
        <w:autoSpaceDN w:val="0"/>
        <w:adjustRightInd w:val="0"/>
        <w:spacing w:line="480" w:lineRule="auto"/>
        <w:jc w:val="center"/>
        <w:rPr>
          <w:rFonts w:ascii="Times New Roman" w:hAnsi="Times New Roman" w:cs="Times New Roman"/>
          <w:kern w:val="0"/>
          <w:szCs w:val="24"/>
        </w:rPr>
      </w:pPr>
    </w:p>
    <w:p w:rsidR="007E4C41" w:rsidRPr="0076280D" w:rsidRDefault="00A64E52" w:rsidP="001A7E6E">
      <w:pPr>
        <w:widowControl/>
        <w:autoSpaceDE w:val="0"/>
        <w:autoSpaceDN w:val="0"/>
        <w:adjustRightInd w:val="0"/>
        <w:spacing w:line="480" w:lineRule="auto"/>
        <w:rPr>
          <w:rFonts w:ascii="Times New Roman" w:hAnsi="Times New Roman" w:cs="Times New Roman"/>
          <w:b/>
          <w:kern w:val="0"/>
          <w:szCs w:val="24"/>
        </w:rPr>
      </w:pPr>
      <w:r>
        <w:rPr>
          <w:rFonts w:ascii="Times New Roman" w:hAnsi="Times New Roman" w:cs="Times New Roman"/>
          <w:b/>
          <w:kern w:val="0"/>
          <w:szCs w:val="24"/>
        </w:rPr>
        <w:t>I</w:t>
      </w:r>
      <w:r w:rsidR="007E4C41" w:rsidRPr="0076280D">
        <w:rPr>
          <w:rFonts w:ascii="Times New Roman" w:hAnsi="Times New Roman" w:cs="Times New Roman"/>
          <w:b/>
          <w:kern w:val="0"/>
          <w:szCs w:val="24"/>
        </w:rPr>
        <w:t>. Introduction</w:t>
      </w:r>
    </w:p>
    <w:p w:rsidR="00A64E52" w:rsidRDefault="00A64E52" w:rsidP="00D45BE4">
      <w:pPr>
        <w:widowControl/>
        <w:autoSpaceDE w:val="0"/>
        <w:autoSpaceDN w:val="0"/>
        <w:adjustRightInd w:val="0"/>
        <w:spacing w:line="480" w:lineRule="auto"/>
        <w:ind w:firstLine="480"/>
        <w:rPr>
          <w:rFonts w:ascii="Times New Roman" w:hAnsi="Times New Roman" w:cs="Times New Roman"/>
        </w:rPr>
      </w:pPr>
      <w:r>
        <w:rPr>
          <w:rFonts w:ascii="Times New Roman" w:hAnsi="Times New Roman" w:cs="Times New Roman"/>
          <w:kern w:val="0"/>
          <w:szCs w:val="24"/>
        </w:rPr>
        <w:t xml:space="preserve"> </w:t>
      </w:r>
      <w:r w:rsidR="008354D6">
        <w:rPr>
          <w:rFonts w:ascii="Times New Roman" w:hAnsi="Times New Roman" w:cs="Times New Roman"/>
          <w:szCs w:val="24"/>
        </w:rPr>
        <w:t xml:space="preserve">Over the past two decades, the </w:t>
      </w:r>
      <w:r w:rsidR="008354D6" w:rsidRPr="008354D6">
        <w:rPr>
          <w:rFonts w:ascii="Times New Roman" w:hAnsi="Times New Roman" w:cs="Times New Roman"/>
          <w:kern w:val="0"/>
          <w:szCs w:val="24"/>
        </w:rPr>
        <w:t>Gulf Cooperation Council</w:t>
      </w:r>
      <w:r w:rsidR="008354D6">
        <w:rPr>
          <w:rFonts w:ascii="Times New Roman" w:hAnsi="Times New Roman" w:cs="Times New Roman"/>
          <w:b/>
          <w:kern w:val="0"/>
          <w:szCs w:val="24"/>
        </w:rPr>
        <w:t xml:space="preserve"> </w:t>
      </w:r>
      <w:r w:rsidR="008354D6">
        <w:rPr>
          <w:rFonts w:ascii="Times New Roman" w:hAnsi="Times New Roman" w:cs="Times New Roman"/>
          <w:szCs w:val="24"/>
        </w:rPr>
        <w:t>(GCC) region</w:t>
      </w:r>
      <w:r w:rsidR="008354D6">
        <w:rPr>
          <w:rStyle w:val="FootnoteReference"/>
          <w:rFonts w:ascii="Times New Roman" w:hAnsi="Times New Roman" w:cs="Times New Roman"/>
          <w:kern w:val="0"/>
          <w:szCs w:val="24"/>
        </w:rPr>
        <w:footnoteReference w:id="1"/>
      </w:r>
      <w:r w:rsidR="008354D6">
        <w:rPr>
          <w:rFonts w:ascii="Times New Roman" w:hAnsi="Times New Roman" w:cs="Times New Roman"/>
          <w:szCs w:val="24"/>
        </w:rPr>
        <w:t xml:space="preserve"> has undergone rapid economic, demographic and social changes. </w:t>
      </w:r>
      <w:r w:rsidR="00844053">
        <w:rPr>
          <w:rFonts w:ascii="Times New Roman" w:hAnsi="Times New Roman" w:cs="Times New Roman"/>
          <w:szCs w:val="24"/>
        </w:rPr>
        <w:t xml:space="preserve"> During the last decade, the </w:t>
      </w:r>
      <w:r w:rsidR="008354D6">
        <w:rPr>
          <w:rFonts w:ascii="Times New Roman" w:hAnsi="Times New Roman" w:cs="Times New Roman"/>
          <w:szCs w:val="24"/>
        </w:rPr>
        <w:t>world attention has focused on</w:t>
      </w:r>
      <w:r w:rsidR="008354D6" w:rsidRPr="0076280D">
        <w:rPr>
          <w:rFonts w:ascii="Times New Roman" w:hAnsi="Times New Roman" w:cs="Times New Roman"/>
          <w:szCs w:val="24"/>
        </w:rPr>
        <w:t xml:space="preserve"> </w:t>
      </w:r>
      <w:r w:rsidR="008354D6">
        <w:rPr>
          <w:rFonts w:ascii="Times New Roman" w:hAnsi="Times New Roman" w:cs="Times New Roman"/>
          <w:szCs w:val="24"/>
        </w:rPr>
        <w:t>GCC economies</w:t>
      </w:r>
      <w:r w:rsidR="00844053">
        <w:rPr>
          <w:rFonts w:ascii="Times New Roman" w:hAnsi="Times New Roman" w:cs="Times New Roman"/>
          <w:szCs w:val="24"/>
        </w:rPr>
        <w:t xml:space="preserve"> </w:t>
      </w:r>
      <w:r w:rsidR="008354D6">
        <w:rPr>
          <w:rFonts w:ascii="Times New Roman" w:hAnsi="Times New Roman" w:cs="Times New Roman"/>
          <w:szCs w:val="24"/>
        </w:rPr>
        <w:t>not only as exporters of oil and gas, but as investment destinations with major infrastructure projects</w:t>
      </w:r>
      <w:r w:rsidR="00844053">
        <w:rPr>
          <w:rFonts w:ascii="Times New Roman" w:hAnsi="Times New Roman" w:cs="Times New Roman"/>
          <w:szCs w:val="24"/>
        </w:rPr>
        <w:t>, booming tourism, and financial services sectors.</w:t>
      </w:r>
      <w:r w:rsidR="008354D6">
        <w:rPr>
          <w:rFonts w:ascii="Times New Roman" w:hAnsi="Times New Roman" w:cs="Times New Roman"/>
          <w:szCs w:val="24"/>
        </w:rPr>
        <w:t xml:space="preserve"> </w:t>
      </w:r>
      <w:r w:rsidR="00844053">
        <w:rPr>
          <w:rFonts w:ascii="Times New Roman" w:hAnsi="Times New Roman" w:cs="Times New Roman"/>
          <w:kern w:val="0"/>
          <w:szCs w:val="24"/>
        </w:rPr>
        <w:t>The financial</w:t>
      </w:r>
      <w:r w:rsidR="004F059A">
        <w:rPr>
          <w:rFonts w:ascii="Times New Roman" w:hAnsi="Times New Roman" w:cs="Times New Roman"/>
          <w:kern w:val="0"/>
          <w:szCs w:val="24"/>
        </w:rPr>
        <w:t xml:space="preserve"> systems </w:t>
      </w:r>
      <w:r w:rsidR="00844053">
        <w:rPr>
          <w:rFonts w:ascii="Times New Roman" w:hAnsi="Times New Roman" w:cs="Times New Roman"/>
          <w:kern w:val="0"/>
          <w:szCs w:val="24"/>
        </w:rPr>
        <w:t xml:space="preserve">in the Gulf region </w:t>
      </w:r>
      <w:r w:rsidR="004F059A">
        <w:rPr>
          <w:rFonts w:ascii="Times New Roman" w:hAnsi="Times New Roman" w:cs="Times New Roman"/>
          <w:kern w:val="0"/>
          <w:szCs w:val="24"/>
        </w:rPr>
        <w:t xml:space="preserve">are primarily bank-based and capital markets are relatively underdeveloped. </w:t>
      </w:r>
      <w:r w:rsidR="00844053">
        <w:rPr>
          <w:rFonts w:ascii="Times New Roman" w:hAnsi="Times New Roman" w:cs="Times New Roman"/>
          <w:kern w:val="0"/>
          <w:szCs w:val="24"/>
        </w:rPr>
        <w:t xml:space="preserve">Since 1990s, </w:t>
      </w:r>
      <w:r w:rsidR="00F90670">
        <w:rPr>
          <w:rFonts w:ascii="Times New Roman" w:hAnsi="Times New Roman" w:cs="Times New Roman"/>
        </w:rPr>
        <w:t xml:space="preserve">several </w:t>
      </w:r>
      <w:r w:rsidR="0042659D">
        <w:rPr>
          <w:rFonts w:ascii="Times New Roman" w:hAnsi="Times New Roman" w:cs="Times New Roman"/>
        </w:rPr>
        <w:t xml:space="preserve">reform policies </w:t>
      </w:r>
      <w:r w:rsidR="00D526FF">
        <w:rPr>
          <w:rFonts w:ascii="Times New Roman" w:hAnsi="Times New Roman" w:cs="Times New Roman"/>
        </w:rPr>
        <w:t xml:space="preserve">have been undertaken to </w:t>
      </w:r>
      <w:r w:rsidR="00B16098">
        <w:rPr>
          <w:rFonts w:ascii="Times New Roman" w:hAnsi="Times New Roman" w:cs="Times New Roman"/>
        </w:rPr>
        <w:t>liberaliz</w:t>
      </w:r>
      <w:r w:rsidR="00D526FF">
        <w:rPr>
          <w:rFonts w:ascii="Times New Roman" w:hAnsi="Times New Roman" w:cs="Times New Roman"/>
        </w:rPr>
        <w:t>e</w:t>
      </w:r>
      <w:r w:rsidR="00B16098">
        <w:rPr>
          <w:rFonts w:ascii="Times New Roman" w:hAnsi="Times New Roman" w:cs="Times New Roman"/>
        </w:rPr>
        <w:t xml:space="preserve"> financi</w:t>
      </w:r>
      <w:r w:rsidR="00D526FF">
        <w:rPr>
          <w:rFonts w:ascii="Times New Roman" w:hAnsi="Times New Roman" w:cs="Times New Roman"/>
        </w:rPr>
        <w:t xml:space="preserve">al markets, deregulate the banking sector, </w:t>
      </w:r>
      <w:r w:rsidR="0042659D">
        <w:rPr>
          <w:rFonts w:ascii="Times New Roman" w:hAnsi="Times New Roman" w:cs="Times New Roman"/>
        </w:rPr>
        <w:t>promote efficiency in</w:t>
      </w:r>
      <w:r w:rsidR="00844053">
        <w:rPr>
          <w:rFonts w:ascii="Times New Roman" w:hAnsi="Times New Roman" w:cs="Times New Roman"/>
        </w:rPr>
        <w:t xml:space="preserve"> the</w:t>
      </w:r>
      <w:r w:rsidR="0042659D">
        <w:rPr>
          <w:rFonts w:ascii="Times New Roman" w:hAnsi="Times New Roman" w:cs="Times New Roman"/>
        </w:rPr>
        <w:t xml:space="preserve"> GCC financial systems</w:t>
      </w:r>
      <w:r w:rsidR="00D526FF">
        <w:rPr>
          <w:rFonts w:ascii="Times New Roman" w:hAnsi="Times New Roman" w:cs="Times New Roman"/>
        </w:rPr>
        <w:t>, and achieve regional economic integration.</w:t>
      </w:r>
      <w:r w:rsidR="00921664">
        <w:rPr>
          <w:rStyle w:val="FootnoteReference"/>
          <w:rFonts w:ascii="Times New Roman" w:hAnsi="Times New Roman" w:cs="Times New Roman"/>
        </w:rPr>
        <w:footnoteReference w:id="2"/>
      </w:r>
      <w:r w:rsidR="00D526FF">
        <w:rPr>
          <w:rFonts w:ascii="Times New Roman" w:hAnsi="Times New Roman" w:cs="Times New Roman"/>
        </w:rPr>
        <w:t xml:space="preserve"> </w:t>
      </w:r>
      <w:r w:rsidR="00F944D6">
        <w:rPr>
          <w:rFonts w:ascii="Times New Roman" w:hAnsi="Times New Roman" w:cs="Times New Roman"/>
        </w:rPr>
        <w:t>In addition, policymakers</w:t>
      </w:r>
      <w:r w:rsidR="00AB35A3">
        <w:rPr>
          <w:rFonts w:ascii="Times New Roman" w:hAnsi="Times New Roman" w:cs="Times New Roman"/>
        </w:rPr>
        <w:t xml:space="preserve"> in </w:t>
      </w:r>
      <w:r w:rsidR="00D526FF">
        <w:rPr>
          <w:rFonts w:ascii="Times New Roman" w:hAnsi="Times New Roman" w:cs="Times New Roman"/>
        </w:rPr>
        <w:t>GCC countries have been working</w:t>
      </w:r>
      <w:r w:rsidR="00F944D6">
        <w:rPr>
          <w:rFonts w:ascii="Times New Roman" w:hAnsi="Times New Roman" w:cs="Times New Roman"/>
        </w:rPr>
        <w:t xml:space="preserve"> together</w:t>
      </w:r>
      <w:r w:rsidR="00D526FF">
        <w:rPr>
          <w:rFonts w:ascii="Times New Roman" w:hAnsi="Times New Roman" w:cs="Times New Roman"/>
        </w:rPr>
        <w:t xml:space="preserve"> toward the goal </w:t>
      </w:r>
      <w:r w:rsidR="00CE5DB8">
        <w:rPr>
          <w:rFonts w:ascii="Times New Roman" w:hAnsi="Times New Roman" w:cs="Times New Roman"/>
        </w:rPr>
        <w:t xml:space="preserve">of establishing a single market and </w:t>
      </w:r>
      <w:r w:rsidR="00AB35A3">
        <w:rPr>
          <w:rFonts w:ascii="Times New Roman" w:hAnsi="Times New Roman" w:cs="Times New Roman"/>
        </w:rPr>
        <w:t xml:space="preserve">a </w:t>
      </w:r>
      <w:r w:rsidR="00CE5DB8">
        <w:rPr>
          <w:rFonts w:ascii="Times New Roman" w:hAnsi="Times New Roman" w:cs="Times New Roman"/>
        </w:rPr>
        <w:t>single currency</w:t>
      </w:r>
      <w:r w:rsidR="00AB35A3">
        <w:rPr>
          <w:rFonts w:ascii="Times New Roman" w:hAnsi="Times New Roman" w:cs="Times New Roman"/>
        </w:rPr>
        <w:t xml:space="preserve"> by implementing monetary union among member states</w:t>
      </w:r>
      <w:r w:rsidR="00CE5DB8">
        <w:rPr>
          <w:rFonts w:ascii="Times New Roman" w:hAnsi="Times New Roman" w:cs="Times New Roman"/>
        </w:rPr>
        <w:t>.</w:t>
      </w:r>
      <w:r w:rsidR="00D526FF">
        <w:rPr>
          <w:rFonts w:ascii="Times New Roman" w:hAnsi="Times New Roman" w:cs="Times New Roman"/>
        </w:rPr>
        <w:t xml:space="preserve"> </w:t>
      </w:r>
      <w:r w:rsidR="00CB6ACC">
        <w:rPr>
          <w:rFonts w:ascii="Times New Roman" w:hAnsi="Times New Roman" w:cs="Times New Roman"/>
        </w:rPr>
        <w:t xml:space="preserve"> </w:t>
      </w:r>
      <w:r w:rsidR="0042659D">
        <w:rPr>
          <w:rFonts w:ascii="Times New Roman" w:hAnsi="Times New Roman" w:cs="Times New Roman"/>
        </w:rPr>
        <w:t>The</w:t>
      </w:r>
      <w:r w:rsidR="00F90670">
        <w:rPr>
          <w:rFonts w:ascii="Times New Roman" w:hAnsi="Times New Roman" w:cs="Times New Roman"/>
        </w:rPr>
        <w:t xml:space="preserve"> f</w:t>
      </w:r>
      <w:r w:rsidR="00CE5DB8">
        <w:rPr>
          <w:rFonts w:ascii="Times New Roman" w:hAnsi="Times New Roman" w:cs="Times New Roman"/>
        </w:rPr>
        <w:t>inancial sector reforms were</w:t>
      </w:r>
      <w:r w:rsidR="0042659D">
        <w:rPr>
          <w:rFonts w:ascii="Times New Roman" w:hAnsi="Times New Roman" w:cs="Times New Roman"/>
        </w:rPr>
        <w:t xml:space="preserve"> aimed</w:t>
      </w:r>
      <w:r w:rsidR="00D45BE4">
        <w:rPr>
          <w:rFonts w:ascii="Times New Roman" w:hAnsi="Times New Roman" w:cs="Times New Roman"/>
        </w:rPr>
        <w:t xml:space="preserve"> </w:t>
      </w:r>
      <w:r w:rsidR="0042659D">
        <w:rPr>
          <w:rFonts w:ascii="Times New Roman" w:hAnsi="Times New Roman" w:cs="Times New Roman"/>
        </w:rPr>
        <w:t>at promoting</w:t>
      </w:r>
      <w:r w:rsidR="00045080">
        <w:rPr>
          <w:rFonts w:ascii="Times New Roman" w:hAnsi="Times New Roman" w:cs="Times New Roman"/>
        </w:rPr>
        <w:t xml:space="preserve"> competitive, stable, and better-</w:t>
      </w:r>
      <w:r w:rsidR="00F944D6">
        <w:rPr>
          <w:rFonts w:ascii="Times New Roman" w:hAnsi="Times New Roman" w:cs="Times New Roman"/>
        </w:rPr>
        <w:t xml:space="preserve"> </w:t>
      </w:r>
      <w:r w:rsidR="00045080">
        <w:rPr>
          <w:rFonts w:ascii="Times New Roman" w:hAnsi="Times New Roman" w:cs="Times New Roman"/>
        </w:rPr>
        <w:t xml:space="preserve">performing </w:t>
      </w:r>
      <w:r w:rsidR="00C26716" w:rsidRPr="00C26716">
        <w:rPr>
          <w:rFonts w:ascii="Times New Roman" w:hAnsi="Times New Roman" w:cs="Times New Roman"/>
        </w:rPr>
        <w:t xml:space="preserve">operating </w:t>
      </w:r>
      <w:r w:rsidR="00045080" w:rsidRPr="00C26716">
        <w:rPr>
          <w:rFonts w:ascii="Times New Roman" w:hAnsi="Times New Roman" w:cs="Times New Roman"/>
        </w:rPr>
        <w:t>env</w:t>
      </w:r>
      <w:r w:rsidR="00045080">
        <w:rPr>
          <w:rFonts w:ascii="Times New Roman" w:hAnsi="Times New Roman" w:cs="Times New Roman"/>
        </w:rPr>
        <w:t>ironment of</w:t>
      </w:r>
      <w:r w:rsidR="00F90670">
        <w:rPr>
          <w:rFonts w:ascii="Times New Roman" w:hAnsi="Times New Roman" w:cs="Times New Roman"/>
        </w:rPr>
        <w:t xml:space="preserve"> </w:t>
      </w:r>
      <w:r w:rsidR="00D45BE4">
        <w:rPr>
          <w:rFonts w:ascii="Times New Roman" w:hAnsi="Times New Roman" w:cs="Times New Roman"/>
        </w:rPr>
        <w:t>commercial bank</w:t>
      </w:r>
      <w:r w:rsidR="0016662D">
        <w:rPr>
          <w:rFonts w:ascii="Times New Roman" w:hAnsi="Times New Roman" w:cs="Times New Roman"/>
        </w:rPr>
        <w:t>s that</w:t>
      </w:r>
      <w:r w:rsidR="00F944D6">
        <w:rPr>
          <w:rFonts w:ascii="Times New Roman" w:hAnsi="Times New Roman" w:cs="Times New Roman"/>
        </w:rPr>
        <w:t xml:space="preserve"> dominate</w:t>
      </w:r>
      <w:r w:rsidR="0016662D">
        <w:rPr>
          <w:rFonts w:ascii="Times New Roman" w:hAnsi="Times New Roman" w:cs="Times New Roman"/>
        </w:rPr>
        <w:t xml:space="preserve"> GCC financial systems</w:t>
      </w:r>
      <w:r w:rsidR="0011025E">
        <w:rPr>
          <w:rFonts w:ascii="Times New Roman" w:hAnsi="Times New Roman" w:cs="Times New Roman"/>
        </w:rPr>
        <w:t>.</w:t>
      </w:r>
      <w:r w:rsidR="0042659D">
        <w:rPr>
          <w:rFonts w:ascii="Times New Roman" w:hAnsi="Times New Roman" w:cs="Times New Roman"/>
        </w:rPr>
        <w:t xml:space="preserve"> </w:t>
      </w:r>
      <w:r w:rsidR="003A4150">
        <w:rPr>
          <w:rFonts w:ascii="Times New Roman" w:hAnsi="Times New Roman" w:cs="Times New Roman"/>
        </w:rPr>
        <w:t xml:space="preserve">In response to the globalization of financial markets and </w:t>
      </w:r>
      <w:r w:rsidR="003A4150">
        <w:rPr>
          <w:rFonts w:ascii="Times New Roman" w:hAnsi="Times New Roman" w:cs="Times New Roman"/>
        </w:rPr>
        <w:lastRenderedPageBreak/>
        <w:t>institutions, c</w:t>
      </w:r>
      <w:r w:rsidR="0042659D">
        <w:rPr>
          <w:rFonts w:ascii="Times New Roman" w:hAnsi="Times New Roman" w:cs="Times New Roman"/>
        </w:rPr>
        <w:t xml:space="preserve">ommercial </w:t>
      </w:r>
      <w:r w:rsidR="00D45BE4">
        <w:rPr>
          <w:rFonts w:ascii="Times New Roman" w:hAnsi="Times New Roman" w:cs="Times New Roman"/>
        </w:rPr>
        <w:t>b</w:t>
      </w:r>
      <w:r w:rsidR="00045080">
        <w:rPr>
          <w:rFonts w:ascii="Times New Roman" w:hAnsi="Times New Roman" w:cs="Times New Roman"/>
        </w:rPr>
        <w:t>anks</w:t>
      </w:r>
      <w:r w:rsidR="00D45BE4">
        <w:rPr>
          <w:rFonts w:ascii="Times New Roman" w:hAnsi="Times New Roman" w:cs="Times New Roman"/>
        </w:rPr>
        <w:t xml:space="preserve"> operating in GCC countries</w:t>
      </w:r>
      <w:r w:rsidR="00045080">
        <w:rPr>
          <w:rFonts w:ascii="Times New Roman" w:hAnsi="Times New Roman" w:cs="Times New Roman"/>
        </w:rPr>
        <w:t xml:space="preserve"> have been emulating strategies of their Western counterparts by adopting new technology</w:t>
      </w:r>
      <w:r w:rsidR="00131638">
        <w:rPr>
          <w:rFonts w:ascii="Times New Roman" w:hAnsi="Times New Roman" w:cs="Times New Roman"/>
        </w:rPr>
        <w:t>, implementing advanced risk management systems, diversifying their product mix, and adhering to international risk-based capital standards (Basel</w:t>
      </w:r>
      <w:r w:rsidR="00CE5DB8">
        <w:rPr>
          <w:rFonts w:ascii="Times New Roman" w:hAnsi="Times New Roman" w:cs="Times New Roman"/>
        </w:rPr>
        <w:t xml:space="preserve"> I,</w:t>
      </w:r>
      <w:r w:rsidR="00131638">
        <w:rPr>
          <w:rFonts w:ascii="Times New Roman" w:hAnsi="Times New Roman" w:cs="Times New Roman"/>
        </w:rPr>
        <w:t xml:space="preserve"> II and III</w:t>
      </w:r>
      <w:r w:rsidR="00CE5DB8">
        <w:rPr>
          <w:rFonts w:ascii="Times New Roman" w:hAnsi="Times New Roman" w:cs="Times New Roman"/>
        </w:rPr>
        <w:t xml:space="preserve"> </w:t>
      </w:r>
      <w:r w:rsidR="00131638">
        <w:rPr>
          <w:rFonts w:ascii="Times New Roman" w:hAnsi="Times New Roman" w:cs="Times New Roman"/>
        </w:rPr>
        <w:t>).</w:t>
      </w:r>
      <w:r w:rsidR="00B16098">
        <w:rPr>
          <w:rFonts w:ascii="Times New Roman" w:hAnsi="Times New Roman" w:cs="Times New Roman"/>
        </w:rPr>
        <w:t xml:space="preserve"> </w:t>
      </w:r>
      <w:r w:rsidR="003C072E">
        <w:rPr>
          <w:rFonts w:ascii="Times New Roman" w:hAnsi="Times New Roman" w:cs="Times New Roman"/>
        </w:rPr>
        <w:t xml:space="preserve"> As </w:t>
      </w:r>
      <w:r w:rsidR="000A6F12">
        <w:rPr>
          <w:rFonts w:ascii="Times New Roman" w:hAnsi="Times New Roman" w:cs="Times New Roman"/>
        </w:rPr>
        <w:t xml:space="preserve">noted earlier, </w:t>
      </w:r>
      <w:r w:rsidR="003C072E">
        <w:rPr>
          <w:rFonts w:ascii="Times New Roman" w:hAnsi="Times New Roman" w:cs="Times New Roman"/>
        </w:rPr>
        <w:t xml:space="preserve">a </w:t>
      </w:r>
      <w:r w:rsidR="000A6F12">
        <w:rPr>
          <w:rFonts w:ascii="Times New Roman" w:hAnsi="Times New Roman" w:cs="Times New Roman"/>
        </w:rPr>
        <w:t>major policy objective of</w:t>
      </w:r>
      <w:r w:rsidR="003C072E">
        <w:rPr>
          <w:rFonts w:ascii="Times New Roman" w:hAnsi="Times New Roman" w:cs="Times New Roman"/>
        </w:rPr>
        <w:t xml:space="preserve"> financial sector reforms</w:t>
      </w:r>
      <w:r w:rsidR="003A4150">
        <w:rPr>
          <w:rFonts w:ascii="Times New Roman" w:hAnsi="Times New Roman" w:cs="Times New Roman"/>
        </w:rPr>
        <w:t xml:space="preserve"> in GCC countries</w:t>
      </w:r>
      <w:r w:rsidR="000A6F12">
        <w:rPr>
          <w:rFonts w:ascii="Times New Roman" w:hAnsi="Times New Roman" w:cs="Times New Roman"/>
        </w:rPr>
        <w:t xml:space="preserve"> is to enhance economic integration among member states and promote an efficient</w:t>
      </w:r>
      <w:r w:rsidR="00002BBA">
        <w:rPr>
          <w:rFonts w:ascii="Times New Roman" w:hAnsi="Times New Roman" w:cs="Times New Roman"/>
        </w:rPr>
        <w:t xml:space="preserve"> banking</w:t>
      </w:r>
      <w:r w:rsidR="00921664">
        <w:rPr>
          <w:rFonts w:ascii="Times New Roman" w:hAnsi="Times New Roman" w:cs="Times New Roman"/>
        </w:rPr>
        <w:t xml:space="preserve"> system</w:t>
      </w:r>
      <w:r w:rsidR="000A6F12">
        <w:rPr>
          <w:rFonts w:ascii="Times New Roman" w:hAnsi="Times New Roman" w:cs="Times New Roman"/>
        </w:rPr>
        <w:t>.</w:t>
      </w:r>
      <w:r w:rsidR="000A6F12">
        <w:rPr>
          <w:rStyle w:val="FootnoteReference"/>
          <w:rFonts w:ascii="Times New Roman" w:hAnsi="Times New Roman" w:cs="Times New Roman"/>
        </w:rPr>
        <w:footnoteReference w:id="3"/>
      </w:r>
      <w:r w:rsidR="00921664">
        <w:rPr>
          <w:rFonts w:ascii="Times New Roman" w:hAnsi="Times New Roman" w:cs="Times New Roman"/>
        </w:rPr>
        <w:t xml:space="preserve"> </w:t>
      </w:r>
      <w:r w:rsidR="00F944D6">
        <w:rPr>
          <w:rFonts w:ascii="Times New Roman" w:hAnsi="Times New Roman" w:cs="Times New Roman"/>
        </w:rPr>
        <w:t>I</w:t>
      </w:r>
      <w:r w:rsidR="00002BBA">
        <w:rPr>
          <w:rFonts w:ascii="Times New Roman" w:hAnsi="Times New Roman" w:cs="Times New Roman"/>
        </w:rPr>
        <w:t>n</w:t>
      </w:r>
      <w:r w:rsidR="00AB50EB">
        <w:rPr>
          <w:rFonts w:ascii="Times New Roman" w:hAnsi="Times New Roman" w:cs="Times New Roman"/>
        </w:rPr>
        <w:t>extricably linked to this</w:t>
      </w:r>
      <w:r w:rsidR="00002BBA">
        <w:rPr>
          <w:rFonts w:ascii="Times New Roman" w:hAnsi="Times New Roman" w:cs="Times New Roman"/>
        </w:rPr>
        <w:t xml:space="preserve"> policy objective is the improvement of the bank</w:t>
      </w:r>
      <w:r w:rsidR="00AB50EB">
        <w:rPr>
          <w:rFonts w:ascii="Times New Roman" w:hAnsi="Times New Roman" w:cs="Times New Roman"/>
        </w:rPr>
        <w:t xml:space="preserve">ing </w:t>
      </w:r>
      <w:r w:rsidR="008613C5">
        <w:rPr>
          <w:rFonts w:ascii="Times New Roman" w:hAnsi="Times New Roman" w:cs="Times New Roman"/>
        </w:rPr>
        <w:t>efficiency</w:t>
      </w:r>
      <w:r w:rsidR="00002BBA">
        <w:rPr>
          <w:rFonts w:ascii="Times New Roman" w:hAnsi="Times New Roman" w:cs="Times New Roman"/>
        </w:rPr>
        <w:t xml:space="preserve"> in GCC countries. </w:t>
      </w:r>
    </w:p>
    <w:p w:rsidR="00AB50EB" w:rsidRPr="00B67B64" w:rsidRDefault="003C072E" w:rsidP="00AB50EB">
      <w:pPr>
        <w:pStyle w:val="BodyText"/>
        <w:spacing w:line="480" w:lineRule="auto"/>
        <w:ind w:firstLine="720"/>
        <w:rPr>
          <w:rFonts w:ascii="Times New Roman" w:hAnsi="Times New Roman" w:cs="Times New Roman"/>
        </w:rPr>
      </w:pPr>
      <w:r w:rsidRPr="00AB50EB">
        <w:rPr>
          <w:rFonts w:ascii="Times New Roman" w:hAnsi="Times New Roman" w:cs="Times New Roman"/>
        </w:rPr>
        <w:t>However, ther</w:t>
      </w:r>
      <w:r w:rsidR="0011025E" w:rsidRPr="00AB50EB">
        <w:rPr>
          <w:rFonts w:ascii="Times New Roman" w:hAnsi="Times New Roman" w:cs="Times New Roman"/>
        </w:rPr>
        <w:t>e has been</w:t>
      </w:r>
      <w:r w:rsidR="003A4150" w:rsidRPr="00AB50EB">
        <w:rPr>
          <w:rFonts w:ascii="Times New Roman" w:hAnsi="Times New Roman" w:cs="Times New Roman"/>
        </w:rPr>
        <w:t xml:space="preserve"> relatively little</w:t>
      </w:r>
      <w:r w:rsidR="003527F8" w:rsidRPr="00AB50EB">
        <w:rPr>
          <w:rFonts w:ascii="Times New Roman" w:hAnsi="Times New Roman" w:cs="Times New Roman"/>
        </w:rPr>
        <w:t xml:space="preserve"> research on banking efficiency </w:t>
      </w:r>
      <w:r w:rsidR="003A4150" w:rsidRPr="00AB50EB">
        <w:rPr>
          <w:rFonts w:ascii="Times New Roman" w:hAnsi="Times New Roman" w:cs="Times New Roman"/>
        </w:rPr>
        <w:t>in general and a com</w:t>
      </w:r>
      <w:r w:rsidR="00C2056D">
        <w:rPr>
          <w:rFonts w:ascii="Times New Roman" w:hAnsi="Times New Roman" w:cs="Times New Roman"/>
        </w:rPr>
        <w:t>parative study of banking efficiency</w:t>
      </w:r>
      <w:r w:rsidR="00F944D6" w:rsidRPr="00AB50EB">
        <w:rPr>
          <w:rFonts w:ascii="Times New Roman" w:hAnsi="Times New Roman" w:cs="Times New Roman"/>
        </w:rPr>
        <w:t xml:space="preserve"> in</w:t>
      </w:r>
      <w:r w:rsidR="003A4150" w:rsidRPr="00AB50EB">
        <w:rPr>
          <w:rFonts w:ascii="Times New Roman" w:hAnsi="Times New Roman" w:cs="Times New Roman"/>
        </w:rPr>
        <w:t xml:space="preserve"> GCC countries</w:t>
      </w:r>
      <w:r w:rsidR="00655093">
        <w:rPr>
          <w:rFonts w:ascii="Times New Roman" w:hAnsi="Times New Roman" w:cs="Times New Roman"/>
        </w:rPr>
        <w:t>,</w:t>
      </w:r>
      <w:r w:rsidR="00655093" w:rsidRPr="00655093">
        <w:rPr>
          <w:rFonts w:ascii="Times New Roman" w:hAnsi="Times New Roman" w:cs="Times New Roman"/>
        </w:rPr>
        <w:t xml:space="preserve"> </w:t>
      </w:r>
      <w:r w:rsidR="00655093" w:rsidRPr="00AB50EB">
        <w:rPr>
          <w:rFonts w:ascii="Times New Roman" w:hAnsi="Times New Roman" w:cs="Times New Roman"/>
        </w:rPr>
        <w:t>in particular</w:t>
      </w:r>
      <w:r w:rsidR="003A4150" w:rsidRPr="00AB50EB">
        <w:rPr>
          <w:rFonts w:ascii="Times New Roman" w:hAnsi="Times New Roman" w:cs="Times New Roman"/>
        </w:rPr>
        <w:t>.</w:t>
      </w:r>
      <w:r w:rsidR="00812260" w:rsidRPr="00AB50EB">
        <w:rPr>
          <w:rStyle w:val="FootnoteReference"/>
          <w:rFonts w:ascii="Times New Roman" w:hAnsi="Times New Roman" w:cs="Times New Roman"/>
        </w:rPr>
        <w:footnoteReference w:id="4"/>
      </w:r>
      <w:r w:rsidR="003A4150" w:rsidRPr="00AB50EB">
        <w:rPr>
          <w:rFonts w:ascii="Times New Roman" w:hAnsi="Times New Roman" w:cs="Times New Roman"/>
        </w:rPr>
        <w:t xml:space="preserve"> </w:t>
      </w:r>
      <w:r w:rsidR="00E1438F" w:rsidRPr="00AB50EB">
        <w:rPr>
          <w:rFonts w:ascii="Times New Roman" w:hAnsi="Times New Roman" w:cs="Times New Roman"/>
        </w:rPr>
        <w:t>Therefore, the central aim of this paper is to undertake a systematic and comparative study</w:t>
      </w:r>
      <w:r w:rsidR="00145224" w:rsidRPr="00AB50EB">
        <w:rPr>
          <w:rFonts w:ascii="Times New Roman" w:hAnsi="Times New Roman" w:cs="Times New Roman"/>
        </w:rPr>
        <w:t xml:space="preserve"> </w:t>
      </w:r>
      <w:r w:rsidR="00E1438F" w:rsidRPr="00AB50EB">
        <w:rPr>
          <w:rFonts w:ascii="Times New Roman" w:hAnsi="Times New Roman" w:cs="Times New Roman"/>
        </w:rPr>
        <w:t xml:space="preserve">of </w:t>
      </w:r>
      <w:r w:rsidR="00F944D6" w:rsidRPr="00AB50EB">
        <w:rPr>
          <w:rFonts w:ascii="Times New Roman" w:hAnsi="Times New Roman" w:cs="Times New Roman"/>
        </w:rPr>
        <w:t xml:space="preserve">cost and profit </w:t>
      </w:r>
      <w:r w:rsidR="00E1438F" w:rsidRPr="00AB50EB">
        <w:rPr>
          <w:rFonts w:ascii="Times New Roman" w:hAnsi="Times New Roman" w:cs="Times New Roman"/>
        </w:rPr>
        <w:t>efficiency</w:t>
      </w:r>
      <w:r w:rsidR="00F944D6" w:rsidRPr="00AB50EB">
        <w:rPr>
          <w:rFonts w:ascii="Times New Roman" w:hAnsi="Times New Roman" w:cs="Times New Roman"/>
        </w:rPr>
        <w:t xml:space="preserve"> of banks in GCC countries</w:t>
      </w:r>
      <w:r w:rsidR="00B038AE">
        <w:rPr>
          <w:rFonts w:ascii="Times New Roman" w:hAnsi="Times New Roman" w:cs="Times New Roman"/>
        </w:rPr>
        <w:t>.</w:t>
      </w:r>
      <w:r w:rsidR="00F944D6" w:rsidRPr="00AB50EB">
        <w:rPr>
          <w:rFonts w:ascii="Times New Roman" w:hAnsi="Times New Roman" w:cs="Times New Roman"/>
        </w:rPr>
        <w:t xml:space="preserve"> </w:t>
      </w:r>
      <w:r w:rsidR="00C2056D">
        <w:rPr>
          <w:rFonts w:ascii="Times New Roman" w:hAnsi="Times New Roman" w:cs="Times New Roman"/>
        </w:rPr>
        <w:t xml:space="preserve">We undertake a comparative study of </w:t>
      </w:r>
      <w:r w:rsidR="00AB50EB" w:rsidRPr="00AB50EB">
        <w:rPr>
          <w:rFonts w:ascii="Times New Roman" w:hAnsi="Times New Roman" w:cs="Times New Roman"/>
        </w:rPr>
        <w:t xml:space="preserve">cost and profit efficiency of </w:t>
      </w:r>
      <w:r w:rsidR="00C2056D">
        <w:rPr>
          <w:rFonts w:ascii="Times New Roman" w:hAnsi="Times New Roman" w:cs="Times New Roman"/>
        </w:rPr>
        <w:t>banks across six GCC countries</w:t>
      </w:r>
      <w:r w:rsidR="00B038AE">
        <w:rPr>
          <w:rFonts w:ascii="Times New Roman" w:hAnsi="Times New Roman" w:cs="Times New Roman"/>
        </w:rPr>
        <w:t xml:space="preserve"> </w:t>
      </w:r>
      <w:r w:rsidR="00B038AE" w:rsidRPr="00AB50EB">
        <w:rPr>
          <w:rFonts w:ascii="Times New Roman" w:hAnsi="Times New Roman" w:cs="Times New Roman"/>
        </w:rPr>
        <w:t xml:space="preserve">using bank level </w:t>
      </w:r>
      <w:r w:rsidR="00B038AE">
        <w:rPr>
          <w:rFonts w:ascii="Times New Roman" w:hAnsi="Times New Roman" w:cs="Times New Roman"/>
        </w:rPr>
        <w:t xml:space="preserve">quarterly </w:t>
      </w:r>
      <w:r w:rsidR="00B038AE" w:rsidRPr="00AB50EB">
        <w:rPr>
          <w:rFonts w:ascii="Times New Roman" w:hAnsi="Times New Roman" w:cs="Times New Roman"/>
        </w:rPr>
        <w:t xml:space="preserve">data over </w:t>
      </w:r>
      <w:r w:rsidR="00241BC4">
        <w:rPr>
          <w:rFonts w:ascii="Times New Roman" w:hAnsi="Times New Roman" w:cs="Times New Roman"/>
        </w:rPr>
        <w:t xml:space="preserve">the </w:t>
      </w:r>
      <w:r w:rsidR="00B038AE" w:rsidRPr="00AB50EB">
        <w:rPr>
          <w:rFonts w:ascii="Times New Roman" w:hAnsi="Times New Roman" w:cs="Times New Roman"/>
        </w:rPr>
        <w:t xml:space="preserve">1999-2010 </w:t>
      </w:r>
      <w:proofErr w:type="gramStart"/>
      <w:r w:rsidR="00B038AE">
        <w:rPr>
          <w:rFonts w:ascii="Times New Roman" w:hAnsi="Times New Roman" w:cs="Times New Roman"/>
        </w:rPr>
        <w:t>period</w:t>
      </w:r>
      <w:proofErr w:type="gramEnd"/>
      <w:r w:rsidR="00C2056D">
        <w:rPr>
          <w:rFonts w:ascii="Times New Roman" w:hAnsi="Times New Roman" w:cs="Times New Roman"/>
        </w:rPr>
        <w:t xml:space="preserve"> for several reasons. </w:t>
      </w:r>
      <w:r w:rsidR="00B038AE">
        <w:rPr>
          <w:rFonts w:ascii="Times New Roman" w:hAnsi="Times New Roman" w:cs="Times New Roman"/>
        </w:rPr>
        <w:t xml:space="preserve"> First, as stated earlier, GCC countries </w:t>
      </w:r>
      <w:r w:rsidR="00AB50EB" w:rsidRPr="00AB50EB">
        <w:rPr>
          <w:rFonts w:ascii="Times New Roman" w:hAnsi="Times New Roman" w:cs="Times New Roman"/>
        </w:rPr>
        <w:t>had undergone a series o</w:t>
      </w:r>
      <w:r w:rsidR="00B038AE">
        <w:rPr>
          <w:rFonts w:ascii="Times New Roman" w:hAnsi="Times New Roman" w:cs="Times New Roman"/>
        </w:rPr>
        <w:t xml:space="preserve">f bank reforms since early </w:t>
      </w:r>
      <w:r w:rsidR="00B038AE">
        <w:rPr>
          <w:rFonts w:ascii="Times New Roman" w:hAnsi="Times New Roman" w:cs="Times New Roman"/>
        </w:rPr>
        <w:lastRenderedPageBreak/>
        <w:t xml:space="preserve">1990s which dramatically </w:t>
      </w:r>
      <w:r w:rsidR="00AB50EB" w:rsidRPr="00AB50EB">
        <w:rPr>
          <w:rFonts w:ascii="Times New Roman" w:hAnsi="Times New Roman" w:cs="Times New Roman"/>
        </w:rPr>
        <w:t>changed the competitive structure and operating environment of the banking industry</w:t>
      </w:r>
      <w:r w:rsidR="00B038AE">
        <w:rPr>
          <w:rFonts w:ascii="Times New Roman" w:hAnsi="Times New Roman" w:cs="Times New Roman"/>
        </w:rPr>
        <w:t xml:space="preserve"> in the gulf region</w:t>
      </w:r>
      <w:r w:rsidR="00AB50EB" w:rsidRPr="00AB50EB">
        <w:rPr>
          <w:rFonts w:ascii="Times New Roman" w:hAnsi="Times New Roman" w:cs="Times New Roman"/>
        </w:rPr>
        <w:t xml:space="preserve">. </w:t>
      </w:r>
      <w:r w:rsidR="00CC2A7D">
        <w:rPr>
          <w:rFonts w:ascii="Times New Roman" w:hAnsi="Times New Roman" w:cs="Times New Roman"/>
        </w:rPr>
        <w:t>Second,</w:t>
      </w:r>
      <w:r w:rsidR="00844053" w:rsidRPr="00844053">
        <w:rPr>
          <w:rFonts w:ascii="Times New Roman" w:hAnsi="Times New Roman" w:cs="Times New Roman"/>
          <w:szCs w:val="24"/>
        </w:rPr>
        <w:t xml:space="preserve"> </w:t>
      </w:r>
      <w:r w:rsidR="00844053">
        <w:rPr>
          <w:rFonts w:ascii="Times New Roman" w:hAnsi="Times New Roman" w:cs="Times New Roman"/>
          <w:szCs w:val="24"/>
        </w:rPr>
        <w:t>while GCC</w:t>
      </w:r>
      <w:r w:rsidR="00844053">
        <w:rPr>
          <w:rFonts w:ascii="Times New Roman" w:hAnsi="Times New Roman" w:cs="Times New Roman"/>
          <w:kern w:val="0"/>
          <w:szCs w:val="24"/>
        </w:rPr>
        <w:t xml:space="preserve"> countries achieved significant economic development and integration throughout the 1990s and 2000s, there remain substantial differences across individual economies.</w:t>
      </w:r>
      <w:r w:rsidR="00CC2A7D">
        <w:rPr>
          <w:rFonts w:ascii="Times New Roman" w:hAnsi="Times New Roman" w:cs="Times New Roman"/>
        </w:rPr>
        <w:t xml:space="preserve"> </w:t>
      </w:r>
      <w:r w:rsidR="00844053">
        <w:rPr>
          <w:rFonts w:ascii="Times New Roman" w:hAnsi="Times New Roman" w:cs="Times New Roman"/>
        </w:rPr>
        <w:t>The</w:t>
      </w:r>
      <w:r w:rsidR="00B038AE">
        <w:rPr>
          <w:rFonts w:ascii="Times New Roman" w:hAnsi="Times New Roman" w:cs="Times New Roman"/>
        </w:rPr>
        <w:t xml:space="preserve"> macro</w:t>
      </w:r>
      <w:r w:rsidR="00241BC4">
        <w:rPr>
          <w:rFonts w:ascii="Times New Roman" w:hAnsi="Times New Roman" w:cs="Times New Roman"/>
        </w:rPr>
        <w:t xml:space="preserve">- </w:t>
      </w:r>
      <w:r w:rsidR="00B038AE">
        <w:rPr>
          <w:rFonts w:ascii="Times New Roman" w:hAnsi="Times New Roman" w:cs="Times New Roman"/>
        </w:rPr>
        <w:t>economic environment in which GCC banking systems find the</w:t>
      </w:r>
      <w:r w:rsidR="00CC2A7D">
        <w:rPr>
          <w:rFonts w:ascii="Times New Roman" w:hAnsi="Times New Roman" w:cs="Times New Roman"/>
        </w:rPr>
        <w:t xml:space="preserve">mselves operating over the past </w:t>
      </w:r>
      <w:r w:rsidR="00B038AE">
        <w:rPr>
          <w:rFonts w:ascii="Times New Roman" w:hAnsi="Times New Roman" w:cs="Times New Roman"/>
        </w:rPr>
        <w:t>decade vary greatly not only over time</w:t>
      </w:r>
      <w:r w:rsidR="00655093">
        <w:rPr>
          <w:rFonts w:ascii="Times New Roman" w:hAnsi="Times New Roman" w:cs="Times New Roman"/>
        </w:rPr>
        <w:t>,</w:t>
      </w:r>
      <w:r w:rsidR="00B038AE">
        <w:rPr>
          <w:rFonts w:ascii="Times New Roman" w:hAnsi="Times New Roman" w:cs="Times New Roman"/>
        </w:rPr>
        <w:t xml:space="preserve"> but also across six different member states.</w:t>
      </w:r>
      <w:r w:rsidR="00CC2A7D">
        <w:rPr>
          <w:rFonts w:ascii="Times New Roman" w:hAnsi="Times New Roman" w:cs="Times New Roman"/>
        </w:rPr>
        <w:t xml:space="preserve"> </w:t>
      </w:r>
      <w:r w:rsidR="00241BC4">
        <w:rPr>
          <w:rFonts w:ascii="Times New Roman" w:hAnsi="Times New Roman" w:cs="Times New Roman"/>
        </w:rPr>
        <w:t>Third</w:t>
      </w:r>
      <w:r w:rsidR="00AB50EB" w:rsidRPr="00B67B64">
        <w:rPr>
          <w:rFonts w:ascii="Times New Roman" w:hAnsi="Times New Roman" w:cs="Times New Roman"/>
        </w:rPr>
        <w:t>, Berger et al. (2000) emphasize the importance of estimating both cost and profit efficiencies of banks in evaluating bank performances.</w:t>
      </w:r>
      <w:r w:rsidR="00B67B64" w:rsidRPr="00B67B64">
        <w:rPr>
          <w:rStyle w:val="FootnoteReference"/>
          <w:rFonts w:ascii="Times New Roman" w:hAnsi="Times New Roman" w:cs="Times New Roman"/>
        </w:rPr>
        <w:footnoteReference w:id="5"/>
      </w:r>
      <w:r w:rsidR="00241BC4" w:rsidRPr="00241BC4">
        <w:rPr>
          <w:rFonts w:ascii="Times New Roman" w:hAnsi="Times New Roman" w:cs="Times New Roman"/>
        </w:rPr>
        <w:t xml:space="preserve"> </w:t>
      </w:r>
      <w:r w:rsidR="00241BC4">
        <w:rPr>
          <w:rFonts w:ascii="Times New Roman" w:hAnsi="Times New Roman" w:cs="Times New Roman"/>
        </w:rPr>
        <w:t>The evolution of banking sector reforms</w:t>
      </w:r>
      <w:r w:rsidR="00241BC4" w:rsidRPr="00B67B64">
        <w:rPr>
          <w:rFonts w:ascii="Times New Roman" w:hAnsi="Times New Roman" w:cs="Times New Roman"/>
        </w:rPr>
        <w:t xml:space="preserve"> provides a unique opportunity</w:t>
      </w:r>
      <w:r w:rsidR="00CA24E2">
        <w:rPr>
          <w:rFonts w:ascii="Times New Roman" w:hAnsi="Times New Roman" w:cs="Times New Roman"/>
        </w:rPr>
        <w:t xml:space="preserve"> for the measurement</w:t>
      </w:r>
      <w:r w:rsidR="00241BC4">
        <w:rPr>
          <w:rFonts w:ascii="Times New Roman" w:hAnsi="Times New Roman" w:cs="Times New Roman"/>
        </w:rPr>
        <w:t xml:space="preserve"> </w:t>
      </w:r>
      <w:r w:rsidR="00CA24E2">
        <w:rPr>
          <w:rFonts w:ascii="Times New Roman" w:hAnsi="Times New Roman" w:cs="Times New Roman"/>
        </w:rPr>
        <w:t>of</w:t>
      </w:r>
      <w:r w:rsidR="00241BC4" w:rsidRPr="00B67B64">
        <w:rPr>
          <w:rFonts w:ascii="Times New Roman" w:hAnsi="Times New Roman" w:cs="Times New Roman"/>
        </w:rPr>
        <w:t xml:space="preserve"> cost and profit efficiencies of individual banks</w:t>
      </w:r>
      <w:r w:rsidR="00241BC4">
        <w:rPr>
          <w:rFonts w:ascii="Times New Roman" w:hAnsi="Times New Roman" w:cs="Times New Roman"/>
        </w:rPr>
        <w:t xml:space="preserve"> operating in</w:t>
      </w:r>
      <w:r w:rsidR="00241BC4" w:rsidRPr="00B67B64">
        <w:rPr>
          <w:rFonts w:ascii="Times New Roman" w:hAnsi="Times New Roman" w:cs="Times New Roman"/>
        </w:rPr>
        <w:t xml:space="preserve"> GCC countries.</w:t>
      </w:r>
      <w:r w:rsidR="00B67B64" w:rsidRPr="00B67B64">
        <w:rPr>
          <w:rFonts w:ascii="Times New Roman" w:hAnsi="Times New Roman" w:cs="Times New Roman"/>
        </w:rPr>
        <w:t xml:space="preserve"> </w:t>
      </w:r>
      <w:r w:rsidR="00AB50EB" w:rsidRPr="00B67B64">
        <w:rPr>
          <w:rFonts w:ascii="Times New Roman" w:hAnsi="Times New Roman" w:cs="Times New Roman"/>
        </w:rPr>
        <w:t xml:space="preserve"> </w:t>
      </w:r>
      <w:r w:rsidR="00CC2A7D" w:rsidRPr="00B67B64">
        <w:rPr>
          <w:rFonts w:ascii="Times New Roman" w:hAnsi="Times New Roman" w:cs="Times New Roman"/>
        </w:rPr>
        <w:t>Finally, t</w:t>
      </w:r>
      <w:r w:rsidR="00AB50EB" w:rsidRPr="00B67B64">
        <w:rPr>
          <w:rFonts w:ascii="Times New Roman" w:hAnsi="Times New Roman" w:cs="Times New Roman"/>
        </w:rPr>
        <w:t xml:space="preserve">o our knowledge, this is the first comprehensive study that examines both cost and profit efficiencies of </w:t>
      </w:r>
      <w:r w:rsidR="00CC2A7D" w:rsidRPr="00B67B64">
        <w:rPr>
          <w:rFonts w:ascii="Times New Roman" w:hAnsi="Times New Roman" w:cs="Times New Roman"/>
        </w:rPr>
        <w:t>individual banks operating in GCC countries</w:t>
      </w:r>
      <w:r w:rsidR="00AB50EB" w:rsidRPr="00B67B64">
        <w:rPr>
          <w:rFonts w:ascii="Times New Roman" w:hAnsi="Times New Roman" w:cs="Times New Roman"/>
        </w:rPr>
        <w:t xml:space="preserve"> using a </w:t>
      </w:r>
      <w:r w:rsidR="00B67B64" w:rsidRPr="00B67B64">
        <w:rPr>
          <w:rFonts w:ascii="Times New Roman" w:hAnsi="Times New Roman" w:cs="Times New Roman"/>
        </w:rPr>
        <w:t>hetroskedastic Stochastic Frontier Analysis (SFA)</w:t>
      </w:r>
      <w:r w:rsidR="00B67B64" w:rsidRPr="00B67B64">
        <w:rPr>
          <w:rStyle w:val="FootnoteReference"/>
          <w:rFonts w:ascii="Times New Roman" w:hAnsi="Times New Roman" w:cs="Times New Roman"/>
        </w:rPr>
        <w:footnoteReference w:id="6"/>
      </w:r>
      <w:r w:rsidR="00B67B64" w:rsidRPr="00B67B64">
        <w:rPr>
          <w:rFonts w:ascii="Times New Roman" w:hAnsi="Times New Roman" w:cs="Times New Roman"/>
        </w:rPr>
        <w:t xml:space="preserve"> based on panel data</w:t>
      </w:r>
      <w:r w:rsidR="00B67B64" w:rsidRPr="00B67B64">
        <w:rPr>
          <w:rStyle w:val="FootnoteReference"/>
          <w:rFonts w:ascii="Times New Roman" w:hAnsi="Times New Roman" w:cs="Times New Roman"/>
        </w:rPr>
        <w:footnoteReference w:id="7"/>
      </w:r>
      <w:r w:rsidR="00B67B64" w:rsidRPr="00B67B64">
        <w:rPr>
          <w:rFonts w:ascii="Times New Roman" w:hAnsi="Times New Roman" w:cs="Times New Roman"/>
        </w:rPr>
        <w:t xml:space="preserve">.  </w:t>
      </w:r>
    </w:p>
    <w:p w:rsidR="00AB50EB" w:rsidRDefault="00CC2A7D" w:rsidP="00AB50EB">
      <w:pPr>
        <w:pStyle w:val="BodyTextIndent"/>
        <w:ind w:left="0" w:firstLine="0"/>
      </w:pPr>
      <w:r>
        <w:lastRenderedPageBreak/>
        <w:t xml:space="preserve">   </w:t>
      </w:r>
      <w:r w:rsidR="00AB50EB">
        <w:t>The remainder of the paper is organiz</w:t>
      </w:r>
      <w:r w:rsidR="00492919">
        <w:t>ed as follows: Section 2 compares</w:t>
      </w:r>
      <w:r w:rsidR="00AB50EB">
        <w:t xml:space="preserve"> the </w:t>
      </w:r>
      <w:r w:rsidR="00492919">
        <w:t xml:space="preserve">Islamic versus conventional banking in GCC countries. Section 3 reviews the literature on banking efficiency. Section 4 </w:t>
      </w:r>
      <w:r w:rsidR="00AB50EB" w:rsidRPr="00292072">
        <w:t xml:space="preserve">develops </w:t>
      </w:r>
      <w:r w:rsidR="00AB50EB">
        <w:t xml:space="preserve">a theoretical foundation for estimations of cost and profit efficiencies of banks using a single-step </w:t>
      </w:r>
      <w:r w:rsidR="0011151A">
        <w:t>hetero</w:t>
      </w:r>
      <w:r w:rsidR="00492919">
        <w:t>skedastic stochastic frontier (</w:t>
      </w:r>
      <w:r w:rsidR="00AB50EB">
        <w:t>HSF</w:t>
      </w:r>
      <w:r w:rsidR="00492919">
        <w:t>)</w:t>
      </w:r>
      <w:r w:rsidR="00AB50EB">
        <w:t xml:space="preserve"> m</w:t>
      </w:r>
      <w:r w:rsidR="00AB50EB" w:rsidRPr="00292072">
        <w:t>odel</w:t>
      </w:r>
      <w:r w:rsidR="00AB50EB">
        <w:t xml:space="preserve">. Section </w:t>
      </w:r>
      <w:r w:rsidR="00492919">
        <w:t>5</w:t>
      </w:r>
      <w:r w:rsidR="009322CF">
        <w:t xml:space="preserve"> describe</w:t>
      </w:r>
      <w:r w:rsidR="0011151A">
        <w:t xml:space="preserve">s data and </w:t>
      </w:r>
      <w:r w:rsidR="00AB50EB">
        <w:t>variabl</w:t>
      </w:r>
      <w:r w:rsidR="00492919">
        <w:t>es used in the study.  Section 6</w:t>
      </w:r>
      <w:r w:rsidR="00AB50EB">
        <w:t xml:space="preserve"> discusses </w:t>
      </w:r>
      <w:r w:rsidR="00492919">
        <w:t>empirical results, and Section 7</w:t>
      </w:r>
      <w:r w:rsidR="00AB50EB">
        <w:t xml:space="preserve"> concludes with a summary</w:t>
      </w:r>
      <w:r w:rsidR="00492919">
        <w:t xml:space="preserve"> of findings of the study</w:t>
      </w:r>
      <w:r w:rsidR="00AB50EB">
        <w:t>.</w:t>
      </w:r>
    </w:p>
    <w:p w:rsidR="00990ADB" w:rsidRDefault="00BF546F" w:rsidP="00990ADB">
      <w:pPr>
        <w:widowControl/>
        <w:autoSpaceDE w:val="0"/>
        <w:autoSpaceDN w:val="0"/>
        <w:adjustRightInd w:val="0"/>
        <w:spacing w:line="480" w:lineRule="auto"/>
        <w:rPr>
          <w:rFonts w:ascii="Times New Roman" w:hAnsi="Times New Roman" w:cs="Times New Roman"/>
          <w:b/>
          <w:kern w:val="0"/>
          <w:szCs w:val="24"/>
        </w:rPr>
      </w:pPr>
      <w:r>
        <w:rPr>
          <w:rFonts w:ascii="Times New Roman" w:hAnsi="Times New Roman" w:cs="Times New Roman"/>
          <w:b/>
          <w:kern w:val="0"/>
          <w:szCs w:val="24"/>
        </w:rPr>
        <w:t>2</w:t>
      </w:r>
      <w:r w:rsidR="00990ADB" w:rsidRPr="00B03271">
        <w:rPr>
          <w:rFonts w:ascii="Times New Roman" w:hAnsi="Times New Roman" w:cs="Times New Roman"/>
          <w:b/>
          <w:kern w:val="0"/>
          <w:szCs w:val="24"/>
        </w:rPr>
        <w:t xml:space="preserve">. Islamic Banking </w:t>
      </w:r>
      <w:r w:rsidR="00D81DB9">
        <w:rPr>
          <w:rFonts w:ascii="Times New Roman" w:hAnsi="Times New Roman" w:cs="Times New Roman"/>
          <w:b/>
          <w:kern w:val="0"/>
          <w:szCs w:val="24"/>
        </w:rPr>
        <w:t>v</w:t>
      </w:r>
      <w:r w:rsidR="00990ADB" w:rsidRPr="00B03271">
        <w:rPr>
          <w:rFonts w:ascii="Times New Roman" w:hAnsi="Times New Roman" w:cs="Times New Roman"/>
          <w:b/>
          <w:kern w:val="0"/>
          <w:szCs w:val="24"/>
        </w:rPr>
        <w:t>ersus Conventional Banking</w:t>
      </w:r>
      <w:r w:rsidR="008613C5">
        <w:rPr>
          <w:rFonts w:ascii="Times New Roman" w:hAnsi="Times New Roman" w:cs="Times New Roman"/>
          <w:b/>
          <w:kern w:val="0"/>
          <w:szCs w:val="24"/>
        </w:rPr>
        <w:t xml:space="preserve"> in GCC Countries</w:t>
      </w:r>
    </w:p>
    <w:p w:rsidR="00990ADB" w:rsidRDefault="008613C5" w:rsidP="00990ADB">
      <w:pPr>
        <w:widowControl/>
        <w:autoSpaceDE w:val="0"/>
        <w:autoSpaceDN w:val="0"/>
        <w:adjustRightInd w:val="0"/>
        <w:spacing w:line="480" w:lineRule="auto"/>
        <w:ind w:firstLine="480"/>
        <w:rPr>
          <w:rFonts w:ascii="Times New Roman" w:hAnsi="Times New Roman" w:cs="Times New Roman"/>
          <w:kern w:val="0"/>
          <w:szCs w:val="24"/>
        </w:rPr>
      </w:pPr>
      <w:r>
        <w:rPr>
          <w:rFonts w:ascii="Times New Roman" w:hAnsi="Times New Roman" w:cs="Times New Roman"/>
          <w:szCs w:val="24"/>
        </w:rPr>
        <w:t>GCC</w:t>
      </w:r>
      <w:r w:rsidRPr="0076280D">
        <w:rPr>
          <w:rFonts w:ascii="Times New Roman" w:hAnsi="Times New Roman" w:cs="Times New Roman"/>
          <w:szCs w:val="24"/>
        </w:rPr>
        <w:t xml:space="preserve"> countries own abundant sources of crude oil so they have accumulated huge </w:t>
      </w:r>
      <w:r>
        <w:rPr>
          <w:rFonts w:ascii="Times New Roman" w:hAnsi="Times New Roman" w:cs="Times New Roman"/>
          <w:szCs w:val="24"/>
        </w:rPr>
        <w:t xml:space="preserve">amount of foreign currencies. </w:t>
      </w:r>
      <w:r w:rsidRPr="0076280D">
        <w:rPr>
          <w:rFonts w:ascii="Times New Roman" w:hAnsi="Times New Roman" w:cs="Times New Roman"/>
          <w:szCs w:val="24"/>
        </w:rPr>
        <w:t>They have been known as major crude oil exporters and wealthy countries worldwide</w:t>
      </w:r>
      <w:r>
        <w:rPr>
          <w:rFonts w:ascii="Times New Roman" w:hAnsi="Times New Roman" w:cs="Times New Roman"/>
          <w:szCs w:val="24"/>
        </w:rPr>
        <w:t xml:space="preserve">. </w:t>
      </w:r>
      <w:r w:rsidRPr="0076280D">
        <w:rPr>
          <w:rFonts w:ascii="Times New Roman" w:hAnsi="Times New Roman" w:cs="Times New Roman"/>
          <w:kern w:val="0"/>
          <w:szCs w:val="24"/>
        </w:rPr>
        <w:t xml:space="preserve"> </w:t>
      </w:r>
      <w:r w:rsidR="00990ADB" w:rsidRPr="0076280D">
        <w:rPr>
          <w:rFonts w:ascii="Times New Roman" w:hAnsi="Times New Roman" w:cs="Times New Roman"/>
          <w:kern w:val="0"/>
          <w:szCs w:val="24"/>
        </w:rPr>
        <w:t>Islamic banking is an important feature</w:t>
      </w:r>
      <w:r w:rsidR="00990ADB">
        <w:rPr>
          <w:rFonts w:ascii="Times New Roman" w:hAnsi="Times New Roman" w:cs="Times New Roman"/>
          <w:kern w:val="0"/>
          <w:szCs w:val="24"/>
        </w:rPr>
        <w:t xml:space="preserve"> of the financial sectors in GCC countries. Indeed </w:t>
      </w:r>
      <w:r w:rsidR="00990ADB" w:rsidRPr="0076280D">
        <w:rPr>
          <w:rFonts w:ascii="Times New Roman" w:hAnsi="Times New Roman" w:cs="Times New Roman"/>
          <w:kern w:val="0"/>
          <w:szCs w:val="24"/>
        </w:rPr>
        <w:t xml:space="preserve">some Muslim countries have considered converting their entire banking sector to Islamic principles. Islamic banking is guided by </w:t>
      </w:r>
      <w:proofErr w:type="spellStart"/>
      <w:r w:rsidR="00990ADB" w:rsidRPr="0011151A">
        <w:rPr>
          <w:rFonts w:ascii="Times New Roman" w:hAnsi="Times New Roman" w:cs="Times New Roman"/>
          <w:i/>
          <w:kern w:val="0"/>
          <w:szCs w:val="24"/>
        </w:rPr>
        <w:t>Shariah</w:t>
      </w:r>
      <w:proofErr w:type="spellEnd"/>
      <w:r w:rsidR="00990ADB" w:rsidRPr="0076280D">
        <w:rPr>
          <w:rStyle w:val="FootnoteReference"/>
          <w:rFonts w:ascii="Times New Roman" w:hAnsi="Times New Roman" w:cs="Times New Roman"/>
          <w:kern w:val="0"/>
          <w:szCs w:val="24"/>
        </w:rPr>
        <w:footnoteReference w:id="8"/>
      </w:r>
      <w:r w:rsidR="00990ADB">
        <w:rPr>
          <w:rFonts w:ascii="Times New Roman" w:hAnsi="Times New Roman" w:cs="Times New Roman"/>
          <w:kern w:val="0"/>
          <w:szCs w:val="24"/>
        </w:rPr>
        <w:t xml:space="preserve"> principles which prohibit</w:t>
      </w:r>
      <w:r w:rsidR="00990ADB" w:rsidRPr="0076280D">
        <w:rPr>
          <w:rFonts w:ascii="Times New Roman" w:hAnsi="Times New Roman" w:cs="Times New Roman"/>
          <w:kern w:val="0"/>
          <w:szCs w:val="24"/>
        </w:rPr>
        <w:t xml:space="preserve"> interest </w:t>
      </w:r>
      <w:r w:rsidR="00990ADB">
        <w:rPr>
          <w:rFonts w:ascii="Times New Roman" w:hAnsi="Times New Roman" w:cs="Times New Roman"/>
          <w:kern w:val="0"/>
          <w:szCs w:val="24"/>
        </w:rPr>
        <w:t xml:space="preserve">payment </w:t>
      </w:r>
      <w:r w:rsidR="00990ADB">
        <w:rPr>
          <w:rFonts w:ascii="Times New Roman" w:hAnsi="Times New Roman" w:cs="Times New Roman"/>
          <w:kern w:val="0"/>
          <w:szCs w:val="24"/>
        </w:rPr>
        <w:lastRenderedPageBreak/>
        <w:t>(</w:t>
      </w:r>
      <w:proofErr w:type="spellStart"/>
      <w:r w:rsidR="00990ADB">
        <w:rPr>
          <w:rFonts w:ascii="Times New Roman" w:hAnsi="Times New Roman" w:cs="Times New Roman"/>
          <w:kern w:val="0"/>
          <w:szCs w:val="24"/>
        </w:rPr>
        <w:t>riba</w:t>
      </w:r>
      <w:proofErr w:type="spellEnd"/>
      <w:r w:rsidR="00990ADB">
        <w:rPr>
          <w:rFonts w:ascii="Times New Roman" w:hAnsi="Times New Roman" w:cs="Times New Roman"/>
          <w:kern w:val="0"/>
          <w:szCs w:val="24"/>
        </w:rPr>
        <w:t>).</w:t>
      </w:r>
      <w:r w:rsidR="00990ADB" w:rsidRPr="0076280D">
        <w:rPr>
          <w:rFonts w:ascii="Times New Roman" w:hAnsi="Times New Roman" w:cs="Times New Roman"/>
          <w:kern w:val="0"/>
          <w:szCs w:val="24"/>
        </w:rPr>
        <w:t xml:space="preserve"> Islamic banks use profit-and-loss sharing (PLS) instruments</w:t>
      </w:r>
      <w:r w:rsidR="00990ADB" w:rsidRPr="0076280D">
        <w:rPr>
          <w:rStyle w:val="FootnoteReference"/>
          <w:rFonts w:ascii="Times New Roman" w:hAnsi="Times New Roman" w:cs="Times New Roman"/>
          <w:kern w:val="0"/>
          <w:szCs w:val="24"/>
        </w:rPr>
        <w:footnoteReference w:id="9"/>
      </w:r>
      <w:r w:rsidR="00990ADB" w:rsidRPr="0076280D">
        <w:rPr>
          <w:rFonts w:ascii="Times New Roman" w:hAnsi="Times New Roman" w:cs="Times New Roman"/>
          <w:kern w:val="0"/>
          <w:szCs w:val="24"/>
        </w:rPr>
        <w:t xml:space="preserve"> which do not guarantee a pre-</w:t>
      </w:r>
      <w:r w:rsidR="00990ADB">
        <w:rPr>
          <w:rFonts w:ascii="Times New Roman" w:hAnsi="Times New Roman" w:cs="Times New Roman"/>
          <w:kern w:val="0"/>
          <w:szCs w:val="24"/>
        </w:rPr>
        <w:t>determined profit to depositors</w:t>
      </w:r>
      <w:r w:rsidR="00655093">
        <w:rPr>
          <w:rFonts w:ascii="Times New Roman" w:hAnsi="Times New Roman" w:cs="Times New Roman"/>
          <w:kern w:val="0"/>
          <w:szCs w:val="24"/>
        </w:rPr>
        <w:t>, and</w:t>
      </w:r>
      <w:r w:rsidR="00990ADB" w:rsidRPr="0076280D">
        <w:rPr>
          <w:rFonts w:ascii="Times New Roman" w:hAnsi="Times New Roman" w:cs="Times New Roman"/>
          <w:kern w:val="0"/>
          <w:szCs w:val="24"/>
        </w:rPr>
        <w:t xml:space="preserve"> Islamic banks offer some fee-based services.</w:t>
      </w:r>
      <w:r w:rsidR="00990ADB" w:rsidRPr="0076280D">
        <w:rPr>
          <w:rStyle w:val="FootnoteReference"/>
          <w:rFonts w:ascii="Times New Roman" w:hAnsi="Times New Roman" w:cs="Times New Roman"/>
          <w:kern w:val="0"/>
          <w:szCs w:val="24"/>
        </w:rPr>
        <w:footnoteReference w:id="10"/>
      </w:r>
      <w:r w:rsidR="00990ADB" w:rsidRPr="0076280D">
        <w:rPr>
          <w:rFonts w:ascii="Times New Roman" w:hAnsi="Times New Roman" w:cs="Times New Roman"/>
          <w:kern w:val="0"/>
          <w:szCs w:val="24"/>
        </w:rPr>
        <w:t xml:space="preserve"> In contrast, conventional banks (both commercial and investment) earn profits through the implementation of interest on deposits where they offer a small interest rate, and loans where they charge a higher interest rate. </w:t>
      </w:r>
    </w:p>
    <w:p w:rsidR="00655093" w:rsidRDefault="00AC369C" w:rsidP="007B158A">
      <w:pPr>
        <w:widowControl/>
        <w:autoSpaceDE w:val="0"/>
        <w:autoSpaceDN w:val="0"/>
        <w:adjustRightInd w:val="0"/>
        <w:spacing w:line="480" w:lineRule="auto"/>
        <w:ind w:firstLine="480"/>
        <w:rPr>
          <w:rFonts w:ascii="Times New Roman" w:hAnsi="Times New Roman" w:cs="Times New Roman"/>
          <w:kern w:val="0"/>
          <w:szCs w:val="24"/>
        </w:rPr>
      </w:pPr>
      <w:r w:rsidRPr="0076280D">
        <w:rPr>
          <w:rFonts w:ascii="Times New Roman" w:hAnsi="Times New Roman" w:cs="Times New Roman"/>
          <w:kern w:val="0"/>
          <w:szCs w:val="24"/>
        </w:rPr>
        <w:t xml:space="preserve">Demand for Islamic </w:t>
      </w:r>
      <w:r>
        <w:rPr>
          <w:rFonts w:ascii="Times New Roman" w:hAnsi="Times New Roman" w:cs="Times New Roman"/>
          <w:kern w:val="0"/>
          <w:szCs w:val="24"/>
        </w:rPr>
        <w:t>fi</w:t>
      </w:r>
      <w:r w:rsidRPr="0076280D">
        <w:rPr>
          <w:rFonts w:ascii="Times New Roman" w:hAnsi="Times New Roman" w:cs="Times New Roman"/>
          <w:kern w:val="0"/>
          <w:szCs w:val="24"/>
        </w:rPr>
        <w:t>nancial products grew as a consequence of the wealth accruing to Muslims during the 1970s oil boom</w:t>
      </w:r>
      <w:r>
        <w:rPr>
          <w:rFonts w:ascii="Times New Roman" w:hAnsi="Times New Roman" w:cs="Times New Roman"/>
          <w:kern w:val="0"/>
          <w:szCs w:val="24"/>
        </w:rPr>
        <w:t xml:space="preserve">. The first Islamic bank </w:t>
      </w:r>
      <w:r w:rsidRPr="0076280D">
        <w:rPr>
          <w:rFonts w:ascii="Times New Roman" w:hAnsi="Times New Roman" w:cs="Times New Roman"/>
          <w:kern w:val="0"/>
          <w:szCs w:val="24"/>
        </w:rPr>
        <w:t>founded (the Dubai Islamic Bank</w:t>
      </w:r>
      <w:r>
        <w:rPr>
          <w:rFonts w:ascii="Times New Roman" w:hAnsi="Times New Roman" w:cs="Times New Roman"/>
          <w:kern w:val="0"/>
          <w:szCs w:val="24"/>
        </w:rPr>
        <w:t xml:space="preserve">) in 1975 offered </w:t>
      </w:r>
      <w:r w:rsidRPr="0076280D">
        <w:rPr>
          <w:rFonts w:ascii="Times New Roman" w:hAnsi="Times New Roman" w:cs="Times New Roman"/>
          <w:kern w:val="0"/>
          <w:szCs w:val="24"/>
        </w:rPr>
        <w:t>only the most fundam</w:t>
      </w:r>
      <w:r>
        <w:rPr>
          <w:rFonts w:ascii="Times New Roman" w:hAnsi="Times New Roman" w:cs="Times New Roman"/>
          <w:kern w:val="0"/>
          <w:szCs w:val="24"/>
        </w:rPr>
        <w:t xml:space="preserve">ental contracts such as </w:t>
      </w:r>
      <w:r w:rsidRPr="0076280D">
        <w:rPr>
          <w:rFonts w:ascii="Times New Roman" w:hAnsi="Times New Roman" w:cs="Times New Roman"/>
          <w:kern w:val="0"/>
          <w:szCs w:val="24"/>
        </w:rPr>
        <w:t xml:space="preserve">safekeeping accounts, sale and PLS contracts. </w:t>
      </w:r>
      <w:r w:rsidR="00655093">
        <w:rPr>
          <w:rFonts w:ascii="Times New Roman" w:hAnsi="Times New Roman" w:cs="Times New Roman"/>
          <w:kern w:val="0"/>
          <w:szCs w:val="24"/>
        </w:rPr>
        <w:t>The</w:t>
      </w:r>
      <w:r w:rsidR="00A902EC">
        <w:rPr>
          <w:rFonts w:ascii="Times New Roman" w:hAnsi="Times New Roman" w:cs="Times New Roman"/>
          <w:kern w:val="0"/>
          <w:szCs w:val="24"/>
        </w:rPr>
        <w:t xml:space="preserve"> first </w:t>
      </w:r>
      <w:r w:rsidR="00A902EC" w:rsidRPr="0076280D">
        <w:rPr>
          <w:rFonts w:ascii="Times New Roman" w:hAnsi="Times New Roman" w:cs="Times New Roman"/>
          <w:kern w:val="0"/>
          <w:szCs w:val="24"/>
        </w:rPr>
        <w:t>Islamic equity funds were launched</w:t>
      </w:r>
      <w:r w:rsidR="00655093" w:rsidRPr="00655093">
        <w:rPr>
          <w:rFonts w:ascii="Times New Roman" w:hAnsi="Times New Roman" w:cs="Times New Roman"/>
          <w:kern w:val="0"/>
          <w:szCs w:val="24"/>
        </w:rPr>
        <w:t xml:space="preserve"> </w:t>
      </w:r>
      <w:r w:rsidR="00655093">
        <w:rPr>
          <w:rFonts w:ascii="Times New Roman" w:hAnsi="Times New Roman" w:cs="Times New Roman"/>
          <w:kern w:val="0"/>
          <w:szCs w:val="24"/>
        </w:rPr>
        <w:t>in the early 1990s</w:t>
      </w:r>
      <w:r w:rsidR="00A902EC" w:rsidRPr="0076280D">
        <w:rPr>
          <w:rFonts w:ascii="Times New Roman" w:hAnsi="Times New Roman" w:cs="Times New Roman"/>
          <w:kern w:val="0"/>
          <w:szCs w:val="24"/>
        </w:rPr>
        <w:t>. These were the Islamic response to the conventional mutual and hedge funds. In the late 1990s</w:t>
      </w:r>
      <w:r w:rsidR="00655093">
        <w:rPr>
          <w:rFonts w:ascii="Times New Roman" w:hAnsi="Times New Roman" w:cs="Times New Roman"/>
          <w:kern w:val="0"/>
          <w:szCs w:val="24"/>
        </w:rPr>
        <w:t>,</w:t>
      </w:r>
      <w:r w:rsidR="00A902EC" w:rsidRPr="0076280D">
        <w:rPr>
          <w:rFonts w:ascii="Times New Roman" w:hAnsi="Times New Roman" w:cs="Times New Roman"/>
          <w:kern w:val="0"/>
          <w:szCs w:val="24"/>
        </w:rPr>
        <w:t xml:space="preserve"> </w:t>
      </w:r>
      <w:r w:rsidR="00A902EC">
        <w:rPr>
          <w:rFonts w:ascii="Times New Roman" w:hAnsi="Times New Roman" w:cs="Times New Roman"/>
          <w:kern w:val="0"/>
          <w:szCs w:val="24"/>
        </w:rPr>
        <w:t>‘</w:t>
      </w:r>
      <w:proofErr w:type="spellStart"/>
      <w:r w:rsidR="00A902EC" w:rsidRPr="0076280D">
        <w:rPr>
          <w:rFonts w:ascii="Times New Roman" w:hAnsi="Times New Roman" w:cs="Times New Roman"/>
          <w:kern w:val="0"/>
          <w:szCs w:val="24"/>
        </w:rPr>
        <w:t>takaful</w:t>
      </w:r>
      <w:proofErr w:type="spellEnd"/>
      <w:r w:rsidR="00A902EC">
        <w:rPr>
          <w:rFonts w:ascii="Times New Roman" w:hAnsi="Times New Roman" w:cs="Times New Roman"/>
          <w:kern w:val="0"/>
          <w:szCs w:val="24"/>
        </w:rPr>
        <w:t>’</w:t>
      </w:r>
      <w:r w:rsidR="00A902EC" w:rsidRPr="0076280D">
        <w:rPr>
          <w:rFonts w:ascii="Times New Roman" w:hAnsi="Times New Roman" w:cs="Times New Roman"/>
          <w:kern w:val="0"/>
          <w:szCs w:val="24"/>
        </w:rPr>
        <w:t xml:space="preserve"> was introduced allowing the privilege of </w:t>
      </w:r>
      <w:proofErr w:type="spellStart"/>
      <w:r w:rsidR="00A902EC" w:rsidRPr="0076280D">
        <w:rPr>
          <w:rFonts w:ascii="Times New Roman" w:hAnsi="Times New Roman" w:cs="Times New Roman"/>
          <w:kern w:val="0"/>
          <w:szCs w:val="24"/>
        </w:rPr>
        <w:t>Shariah</w:t>
      </w:r>
      <w:proofErr w:type="spellEnd"/>
      <w:r w:rsidR="00A902EC" w:rsidRPr="0076280D">
        <w:rPr>
          <w:rFonts w:ascii="Times New Roman" w:hAnsi="Times New Roman" w:cs="Times New Roman"/>
          <w:kern w:val="0"/>
          <w:szCs w:val="24"/>
        </w:rPr>
        <w:t xml:space="preserve"> com</w:t>
      </w:r>
      <w:r w:rsidR="00A902EC">
        <w:rPr>
          <w:rFonts w:ascii="Times New Roman" w:hAnsi="Times New Roman" w:cs="Times New Roman"/>
          <w:kern w:val="0"/>
          <w:szCs w:val="24"/>
        </w:rPr>
        <w:t>pliant life</w:t>
      </w:r>
      <w:r w:rsidR="00A902EC" w:rsidRPr="0076280D">
        <w:rPr>
          <w:rFonts w:ascii="Times New Roman" w:hAnsi="Times New Roman" w:cs="Times New Roman"/>
          <w:kern w:val="0"/>
          <w:szCs w:val="24"/>
        </w:rPr>
        <w:t xml:space="preserve"> insurance to millions of Muslims</w:t>
      </w:r>
      <w:r w:rsidR="00A902EC">
        <w:rPr>
          <w:rFonts w:ascii="Times New Roman" w:hAnsi="Times New Roman" w:cs="Times New Roman"/>
          <w:kern w:val="0"/>
          <w:szCs w:val="24"/>
        </w:rPr>
        <w:t>.</w:t>
      </w:r>
      <w:r w:rsidR="00A902EC" w:rsidRPr="0076280D">
        <w:rPr>
          <w:rFonts w:ascii="Times New Roman" w:hAnsi="Times New Roman" w:cs="Times New Roman"/>
          <w:kern w:val="0"/>
          <w:szCs w:val="24"/>
        </w:rPr>
        <w:t xml:space="preserve"> The dawn of the 21st century witnessed the launch of Islamic indexes from Dow Jones, FTSE and more recently from S&amp;P</w:t>
      </w:r>
      <w:r w:rsidR="00655093">
        <w:rPr>
          <w:rFonts w:ascii="Times New Roman" w:hAnsi="Times New Roman" w:cs="Times New Roman"/>
          <w:kern w:val="0"/>
          <w:szCs w:val="24"/>
        </w:rPr>
        <w:t>,</w:t>
      </w:r>
      <w:r w:rsidR="00A902EC" w:rsidRPr="0076280D">
        <w:rPr>
          <w:rFonts w:ascii="Times New Roman" w:hAnsi="Times New Roman" w:cs="Times New Roman"/>
          <w:kern w:val="0"/>
          <w:szCs w:val="24"/>
        </w:rPr>
        <w:t xml:space="preserve"> so that investors </w:t>
      </w:r>
      <w:r w:rsidR="00A902EC">
        <w:rPr>
          <w:rFonts w:ascii="Times New Roman" w:hAnsi="Times New Roman" w:cs="Times New Roman"/>
          <w:kern w:val="0"/>
          <w:szCs w:val="24"/>
        </w:rPr>
        <w:t xml:space="preserve">could track the performance of firms </w:t>
      </w:r>
      <w:r w:rsidR="00A902EC" w:rsidRPr="0076280D">
        <w:rPr>
          <w:rFonts w:ascii="Times New Roman" w:hAnsi="Times New Roman" w:cs="Times New Roman"/>
          <w:kern w:val="0"/>
          <w:szCs w:val="24"/>
        </w:rPr>
        <w:t>that c</w:t>
      </w:r>
      <w:r w:rsidR="00A902EC">
        <w:rPr>
          <w:rFonts w:ascii="Times New Roman" w:hAnsi="Times New Roman" w:cs="Times New Roman"/>
          <w:kern w:val="0"/>
          <w:szCs w:val="24"/>
        </w:rPr>
        <w:t xml:space="preserve">omply with Islamic law.  </w:t>
      </w:r>
      <w:r w:rsidR="00A902EC">
        <w:rPr>
          <w:rFonts w:ascii="Times New Roman" w:hAnsi="Times New Roman" w:cs="Times New Roman"/>
          <w:kern w:val="0"/>
          <w:szCs w:val="24"/>
        </w:rPr>
        <w:lastRenderedPageBreak/>
        <w:t>These days, many Islamic banks offer</w:t>
      </w:r>
      <w:r w:rsidR="00A902EC" w:rsidRPr="0076280D">
        <w:rPr>
          <w:rFonts w:ascii="Times New Roman" w:hAnsi="Times New Roman" w:cs="Times New Roman"/>
          <w:kern w:val="0"/>
          <w:szCs w:val="24"/>
        </w:rPr>
        <w:t xml:space="preserve"> credit cards </w:t>
      </w:r>
      <w:r w:rsidR="00A902EC">
        <w:rPr>
          <w:rFonts w:ascii="Times New Roman" w:hAnsi="Times New Roman" w:cs="Times New Roman"/>
          <w:kern w:val="0"/>
          <w:szCs w:val="24"/>
        </w:rPr>
        <w:t xml:space="preserve">and allow their customers to have </w:t>
      </w:r>
      <w:r w:rsidR="00A902EC" w:rsidRPr="0076280D">
        <w:rPr>
          <w:rFonts w:ascii="Times New Roman" w:hAnsi="Times New Roman" w:cs="Times New Roman"/>
          <w:kern w:val="0"/>
          <w:szCs w:val="24"/>
        </w:rPr>
        <w:t>overdraft facility despite the fact that it was considered completely unlawful a few years ago. Moreover</w:t>
      </w:r>
      <w:r w:rsidR="00A902EC">
        <w:rPr>
          <w:rFonts w:ascii="Times New Roman" w:hAnsi="Times New Roman" w:cs="Times New Roman"/>
          <w:kern w:val="0"/>
          <w:szCs w:val="24"/>
        </w:rPr>
        <w:t>, Islamic banks have been investing significant resources</w:t>
      </w:r>
      <w:r w:rsidR="00A902EC" w:rsidRPr="0076280D">
        <w:rPr>
          <w:rFonts w:ascii="Times New Roman" w:hAnsi="Times New Roman" w:cs="Times New Roman"/>
          <w:kern w:val="0"/>
          <w:szCs w:val="24"/>
        </w:rPr>
        <w:t xml:space="preserve"> in the implementation of Internet, mobile </w:t>
      </w:r>
      <w:r w:rsidR="00A902EC">
        <w:rPr>
          <w:rFonts w:ascii="Times New Roman" w:hAnsi="Times New Roman" w:cs="Times New Roman"/>
          <w:kern w:val="0"/>
          <w:szCs w:val="24"/>
        </w:rPr>
        <w:t xml:space="preserve">phone and telephone banking. </w:t>
      </w:r>
      <w:r w:rsidR="00655093">
        <w:rPr>
          <w:rFonts w:ascii="Times New Roman" w:hAnsi="Times New Roman" w:cs="Times New Roman"/>
          <w:kern w:val="0"/>
          <w:szCs w:val="24"/>
        </w:rPr>
        <w:t>I</w:t>
      </w:r>
      <w:r w:rsidR="00A902EC" w:rsidRPr="0076280D">
        <w:rPr>
          <w:rFonts w:ascii="Times New Roman" w:hAnsi="Times New Roman" w:cs="Times New Roman"/>
          <w:kern w:val="0"/>
          <w:szCs w:val="24"/>
        </w:rPr>
        <w:t xml:space="preserve">n </w:t>
      </w:r>
      <w:r w:rsidR="00A902EC">
        <w:rPr>
          <w:rFonts w:ascii="Times New Roman" w:hAnsi="Times New Roman" w:cs="Times New Roman"/>
          <w:kern w:val="0"/>
          <w:szCs w:val="24"/>
        </w:rPr>
        <w:t xml:space="preserve">some more liberal countries </w:t>
      </w:r>
      <w:r w:rsidR="00A902EC" w:rsidRPr="0076280D">
        <w:rPr>
          <w:rFonts w:ascii="Times New Roman" w:hAnsi="Times New Roman" w:cs="Times New Roman"/>
          <w:kern w:val="0"/>
          <w:szCs w:val="24"/>
        </w:rPr>
        <w:t>such as the UAE, Islamic banks have gone a step further by introducing special privileges for women clients following conventional practices (Dubai Islamic Bank website).</w:t>
      </w:r>
      <w:r w:rsidR="00A902EC">
        <w:rPr>
          <w:rFonts w:ascii="Times New Roman" w:hAnsi="Times New Roman" w:cs="Times New Roman"/>
          <w:kern w:val="0"/>
          <w:szCs w:val="24"/>
        </w:rPr>
        <w:t xml:space="preserve">  </w:t>
      </w:r>
    </w:p>
    <w:p w:rsidR="00AC369C" w:rsidRDefault="007B158A" w:rsidP="007B158A">
      <w:pPr>
        <w:widowControl/>
        <w:autoSpaceDE w:val="0"/>
        <w:autoSpaceDN w:val="0"/>
        <w:adjustRightInd w:val="0"/>
        <w:spacing w:line="480" w:lineRule="auto"/>
        <w:ind w:firstLine="480"/>
        <w:rPr>
          <w:rFonts w:ascii="Times New Roman" w:hAnsi="Times New Roman" w:cs="Times New Roman"/>
          <w:kern w:val="0"/>
          <w:szCs w:val="24"/>
        </w:rPr>
      </w:pPr>
      <w:r>
        <w:rPr>
          <w:rFonts w:ascii="Times New Roman" w:hAnsi="Times New Roman" w:cs="Times New Roman"/>
          <w:kern w:val="0"/>
          <w:szCs w:val="24"/>
        </w:rPr>
        <w:t xml:space="preserve">Furthermore, </w:t>
      </w:r>
      <w:r w:rsidRPr="0076280D">
        <w:rPr>
          <w:rFonts w:ascii="Times New Roman" w:hAnsi="Times New Roman" w:cs="Times New Roman"/>
          <w:kern w:val="0"/>
          <w:szCs w:val="24"/>
        </w:rPr>
        <w:t>the traditional values of Islamic finance have had an increasing app</w:t>
      </w:r>
      <w:r>
        <w:rPr>
          <w:rFonts w:ascii="Times New Roman" w:hAnsi="Times New Roman" w:cs="Times New Roman"/>
          <w:kern w:val="0"/>
          <w:szCs w:val="24"/>
        </w:rPr>
        <w:t>eal to Western investors who were</w:t>
      </w:r>
      <w:r w:rsidRPr="0076280D">
        <w:rPr>
          <w:rFonts w:ascii="Times New Roman" w:hAnsi="Times New Roman" w:cs="Times New Roman"/>
          <w:kern w:val="0"/>
          <w:szCs w:val="24"/>
        </w:rPr>
        <w:t xml:space="preserve"> disillusioned with the banking practices of conventional banks in the wake of the global financial crisis</w:t>
      </w:r>
      <w:r w:rsidR="00492919">
        <w:rPr>
          <w:rFonts w:ascii="Times New Roman" w:hAnsi="Times New Roman" w:cs="Times New Roman"/>
          <w:kern w:val="0"/>
          <w:szCs w:val="24"/>
        </w:rPr>
        <w:t xml:space="preserve">. </w:t>
      </w:r>
      <w:r w:rsidRPr="0076280D">
        <w:rPr>
          <w:rFonts w:ascii="Times New Roman" w:hAnsi="Times New Roman" w:cs="Times New Roman"/>
          <w:kern w:val="0"/>
          <w:szCs w:val="24"/>
        </w:rPr>
        <w:t>Islamic banks are therefore no longer on</w:t>
      </w:r>
      <w:r>
        <w:rPr>
          <w:rFonts w:ascii="Times New Roman" w:hAnsi="Times New Roman" w:cs="Times New Roman"/>
          <w:kern w:val="0"/>
          <w:szCs w:val="24"/>
        </w:rPr>
        <w:t>ly a feature of traditional Muslim regions. Today,</w:t>
      </w:r>
      <w:r w:rsidRPr="0076280D">
        <w:rPr>
          <w:rFonts w:ascii="Times New Roman" w:hAnsi="Times New Roman" w:cs="Times New Roman"/>
          <w:kern w:val="0"/>
          <w:szCs w:val="24"/>
        </w:rPr>
        <w:t xml:space="preserve"> there are more than 300 Islamic financial institutions spread across 70 countries of the world.</w:t>
      </w:r>
      <w:r>
        <w:rPr>
          <w:rFonts w:ascii="Times New Roman" w:hAnsi="Times New Roman" w:cs="Times New Roman"/>
          <w:kern w:val="0"/>
          <w:szCs w:val="24"/>
        </w:rPr>
        <w:t xml:space="preserve"> Thus</w:t>
      </w:r>
      <w:r w:rsidR="00A902EC">
        <w:rPr>
          <w:rFonts w:ascii="Times New Roman" w:hAnsi="Times New Roman" w:cs="Times New Roman"/>
          <w:kern w:val="0"/>
          <w:szCs w:val="24"/>
        </w:rPr>
        <w:t>, i</w:t>
      </w:r>
      <w:r w:rsidR="00990ADB">
        <w:rPr>
          <w:rFonts w:ascii="Times New Roman" w:hAnsi="Times New Roman" w:cs="Times New Roman"/>
          <w:kern w:val="0"/>
          <w:szCs w:val="24"/>
        </w:rPr>
        <w:t>ncreased globaliz</w:t>
      </w:r>
      <w:r w:rsidR="00990ADB" w:rsidRPr="0076280D">
        <w:rPr>
          <w:rFonts w:ascii="Times New Roman" w:hAnsi="Times New Roman" w:cs="Times New Roman"/>
          <w:kern w:val="0"/>
          <w:szCs w:val="24"/>
        </w:rPr>
        <w:t>a</w:t>
      </w:r>
      <w:r w:rsidR="00990ADB">
        <w:rPr>
          <w:rFonts w:ascii="Times New Roman" w:hAnsi="Times New Roman" w:cs="Times New Roman"/>
          <w:kern w:val="0"/>
          <w:szCs w:val="24"/>
        </w:rPr>
        <w:t>tion coupled with growing attraction of Islamic fi</w:t>
      </w:r>
      <w:r w:rsidR="00990ADB" w:rsidRPr="0076280D">
        <w:rPr>
          <w:rFonts w:ascii="Times New Roman" w:hAnsi="Times New Roman" w:cs="Times New Roman"/>
          <w:kern w:val="0"/>
          <w:szCs w:val="24"/>
        </w:rPr>
        <w:t>nance</w:t>
      </w:r>
      <w:r w:rsidR="00990ADB">
        <w:rPr>
          <w:rFonts w:ascii="Times New Roman" w:hAnsi="Times New Roman" w:cs="Times New Roman"/>
          <w:kern w:val="0"/>
          <w:szCs w:val="24"/>
        </w:rPr>
        <w:t xml:space="preserve"> </w:t>
      </w:r>
      <w:r w:rsidR="00990ADB" w:rsidRPr="0076280D">
        <w:rPr>
          <w:rFonts w:ascii="Times New Roman" w:hAnsi="Times New Roman" w:cs="Times New Roman"/>
          <w:kern w:val="0"/>
          <w:szCs w:val="24"/>
        </w:rPr>
        <w:t>worldwide has led to direct competition between Islamic and conventional</w:t>
      </w:r>
      <w:r w:rsidR="00990ADB">
        <w:rPr>
          <w:rFonts w:ascii="Times New Roman" w:hAnsi="Times New Roman" w:cs="Times New Roman"/>
          <w:kern w:val="0"/>
          <w:szCs w:val="24"/>
        </w:rPr>
        <w:t xml:space="preserve"> </w:t>
      </w:r>
      <w:r w:rsidR="00AC369C">
        <w:rPr>
          <w:rFonts w:ascii="Times New Roman" w:hAnsi="Times New Roman" w:cs="Times New Roman"/>
          <w:kern w:val="0"/>
          <w:szCs w:val="24"/>
        </w:rPr>
        <w:t xml:space="preserve">banks. </w:t>
      </w:r>
      <w:r w:rsidR="00AC369C" w:rsidRPr="0076280D">
        <w:rPr>
          <w:rFonts w:ascii="Times New Roman" w:hAnsi="Times New Roman" w:cs="Times New Roman"/>
          <w:kern w:val="0"/>
          <w:szCs w:val="24"/>
        </w:rPr>
        <w:t>Since the growth, efficiency and competitive environment of the financial sector ar</w:t>
      </w:r>
      <w:r w:rsidR="00AC369C">
        <w:rPr>
          <w:rFonts w:ascii="Times New Roman" w:hAnsi="Times New Roman" w:cs="Times New Roman"/>
          <w:kern w:val="0"/>
          <w:szCs w:val="24"/>
        </w:rPr>
        <w:t xml:space="preserve">e vital for economic integration and development of GCC countries, it is important to assess </w:t>
      </w:r>
      <w:r w:rsidR="00AC369C" w:rsidRPr="0076280D">
        <w:rPr>
          <w:rFonts w:ascii="Times New Roman" w:hAnsi="Times New Roman" w:cs="Times New Roman"/>
          <w:kern w:val="0"/>
          <w:szCs w:val="24"/>
        </w:rPr>
        <w:t xml:space="preserve">efficiency of Islamic </w:t>
      </w:r>
      <w:r w:rsidR="00AC369C">
        <w:rPr>
          <w:rFonts w:ascii="Times New Roman" w:hAnsi="Times New Roman" w:cs="Times New Roman"/>
          <w:kern w:val="0"/>
          <w:szCs w:val="24"/>
        </w:rPr>
        <w:t xml:space="preserve">banking </w:t>
      </w:r>
      <w:r w:rsidR="00AC369C" w:rsidRPr="0076280D">
        <w:rPr>
          <w:rFonts w:ascii="Times New Roman" w:hAnsi="Times New Roman" w:cs="Times New Roman"/>
          <w:kern w:val="0"/>
          <w:szCs w:val="24"/>
        </w:rPr>
        <w:t>compared to conventional banking</w:t>
      </w:r>
      <w:r>
        <w:rPr>
          <w:rFonts w:ascii="Times New Roman" w:hAnsi="Times New Roman" w:cs="Times New Roman"/>
          <w:kern w:val="0"/>
          <w:szCs w:val="24"/>
        </w:rPr>
        <w:t xml:space="preserve"> across six GCC member states in gulf region</w:t>
      </w:r>
      <w:r w:rsidR="00AC369C" w:rsidRPr="0076280D">
        <w:rPr>
          <w:rFonts w:ascii="Times New Roman" w:hAnsi="Times New Roman" w:cs="Times New Roman"/>
          <w:kern w:val="0"/>
          <w:szCs w:val="24"/>
        </w:rPr>
        <w:t xml:space="preserve">. </w:t>
      </w:r>
      <w:r w:rsidR="00AC369C">
        <w:rPr>
          <w:rFonts w:ascii="Times New Roman" w:hAnsi="Times New Roman" w:cs="Times New Roman"/>
          <w:kern w:val="0"/>
          <w:szCs w:val="24"/>
        </w:rPr>
        <w:t>Of</w:t>
      </w:r>
      <w:r w:rsidR="00990ADB" w:rsidRPr="0076280D">
        <w:rPr>
          <w:rFonts w:ascii="Times New Roman" w:hAnsi="Times New Roman" w:cs="Times New Roman"/>
          <w:kern w:val="0"/>
          <w:szCs w:val="24"/>
        </w:rPr>
        <w:t xml:space="preserve"> particular i</w:t>
      </w:r>
      <w:r w:rsidR="00AC369C">
        <w:rPr>
          <w:rFonts w:ascii="Times New Roman" w:hAnsi="Times New Roman" w:cs="Times New Roman"/>
          <w:kern w:val="0"/>
          <w:szCs w:val="24"/>
        </w:rPr>
        <w:t>mportance of our study is the source of any efficiency difference between conventional banks and Islamic banks</w:t>
      </w:r>
      <w:r w:rsidR="00990ADB" w:rsidRPr="0076280D">
        <w:rPr>
          <w:rFonts w:ascii="Times New Roman" w:hAnsi="Times New Roman" w:cs="Times New Roman"/>
          <w:kern w:val="0"/>
          <w:szCs w:val="24"/>
        </w:rPr>
        <w:t xml:space="preserve">. </w:t>
      </w:r>
    </w:p>
    <w:p w:rsidR="00A64E52" w:rsidRPr="00B67B64" w:rsidRDefault="00FA677E" w:rsidP="00B67B64">
      <w:pPr>
        <w:widowControl/>
        <w:autoSpaceDE w:val="0"/>
        <w:autoSpaceDN w:val="0"/>
        <w:adjustRightInd w:val="0"/>
        <w:spacing w:line="480" w:lineRule="auto"/>
        <w:rPr>
          <w:rFonts w:ascii="Times New Roman" w:hAnsi="Times New Roman" w:cs="Times New Roman"/>
          <w:b/>
          <w:kern w:val="0"/>
          <w:szCs w:val="24"/>
        </w:rPr>
      </w:pPr>
      <w:r>
        <w:rPr>
          <w:rFonts w:ascii="Times New Roman" w:hAnsi="Times New Roman" w:cs="Times New Roman"/>
          <w:b/>
          <w:kern w:val="0"/>
          <w:szCs w:val="24"/>
        </w:rPr>
        <w:lastRenderedPageBreak/>
        <w:t>3</w:t>
      </w:r>
      <w:r w:rsidR="00B67B64" w:rsidRPr="00B67B64">
        <w:rPr>
          <w:rFonts w:ascii="Times New Roman" w:hAnsi="Times New Roman" w:cs="Times New Roman"/>
          <w:b/>
          <w:kern w:val="0"/>
          <w:szCs w:val="24"/>
        </w:rPr>
        <w:t>. Literature Review</w:t>
      </w:r>
      <w:r w:rsidR="001505B7">
        <w:rPr>
          <w:rFonts w:ascii="Times New Roman" w:hAnsi="Times New Roman" w:cs="Times New Roman"/>
          <w:b/>
          <w:kern w:val="0"/>
          <w:szCs w:val="24"/>
        </w:rPr>
        <w:t xml:space="preserve"> </w:t>
      </w:r>
    </w:p>
    <w:p w:rsidR="00BF546F" w:rsidRDefault="00FA677E" w:rsidP="00300A84">
      <w:pPr>
        <w:pStyle w:val="BodyTextIndent"/>
        <w:ind w:left="0" w:firstLine="0"/>
      </w:pPr>
      <w:r>
        <w:t xml:space="preserve">     </w:t>
      </w:r>
      <w:r w:rsidR="00300A84">
        <w:t xml:space="preserve">A large body of literature spanning over the past three decades addresses banking efficiency in the United States (e.g., Berger and Humphrey, 1997; Berger and </w:t>
      </w:r>
      <w:proofErr w:type="spellStart"/>
      <w:r w:rsidR="00300A84">
        <w:t>Strahan</w:t>
      </w:r>
      <w:proofErr w:type="spellEnd"/>
      <w:r w:rsidR="00300A84">
        <w:t xml:space="preserve">, 1998) and Europe (e.g., Allen and Rai, 1996; Pastor, Perez, and Quesada, 1997; </w:t>
      </w:r>
      <w:proofErr w:type="spellStart"/>
      <w:r w:rsidR="00300A84">
        <w:t>Altunbas</w:t>
      </w:r>
      <w:proofErr w:type="spellEnd"/>
      <w:r w:rsidR="00300A84">
        <w:t xml:space="preserve">, Gardener, </w:t>
      </w:r>
      <w:proofErr w:type="spellStart"/>
      <w:r w:rsidR="00300A84">
        <w:t>Molyneux</w:t>
      </w:r>
      <w:proofErr w:type="spellEnd"/>
      <w:r w:rsidR="00300A84">
        <w:t xml:space="preserve">, and Moore, 2001), and more recently, literature on banking efficiency in the Asia-Pacific region is developing (see Bhattacharya, Lovell, and </w:t>
      </w:r>
      <w:proofErr w:type="spellStart"/>
      <w:r w:rsidR="00300A84">
        <w:t>Sahay</w:t>
      </w:r>
      <w:proofErr w:type="spellEnd"/>
      <w:r w:rsidR="00300A84">
        <w:t xml:space="preserve">, 1997, for India; </w:t>
      </w:r>
      <w:proofErr w:type="spellStart"/>
      <w:r w:rsidR="00300A84">
        <w:t>Rezvanian</w:t>
      </w:r>
      <w:proofErr w:type="spellEnd"/>
      <w:r w:rsidR="00300A84">
        <w:t xml:space="preserve"> and </w:t>
      </w:r>
      <w:proofErr w:type="spellStart"/>
      <w:r w:rsidR="00300A84">
        <w:t>Mehdian</w:t>
      </w:r>
      <w:proofErr w:type="spellEnd"/>
      <w:r w:rsidR="00300A84">
        <w:t xml:space="preserve">, 2002, for Singapore; </w:t>
      </w:r>
      <w:proofErr w:type="spellStart"/>
      <w:r w:rsidR="000939F5">
        <w:t>Sathye</w:t>
      </w:r>
      <w:proofErr w:type="spellEnd"/>
      <w:r w:rsidR="000939F5">
        <w:t xml:space="preserve">, 2003 for India; </w:t>
      </w:r>
      <w:r w:rsidR="00650563">
        <w:t xml:space="preserve">Berger, </w:t>
      </w:r>
      <w:proofErr w:type="spellStart"/>
      <w:r w:rsidR="00650563">
        <w:t>Hasan</w:t>
      </w:r>
      <w:proofErr w:type="spellEnd"/>
      <w:r w:rsidR="00650563">
        <w:t>, and Zhou, 2010</w:t>
      </w:r>
      <w:r w:rsidR="00300A84">
        <w:t>; and Lin and Zhang, 2009 for China). Prior studies examine effects of bank reforms on efficiency in transitional economies (e.g.,</w:t>
      </w:r>
      <w:r w:rsidR="00300A84" w:rsidRPr="005B15DA">
        <w:t xml:space="preserve"> </w:t>
      </w:r>
      <w:r w:rsidR="00300A84">
        <w:t xml:space="preserve">Bonin, </w:t>
      </w:r>
      <w:proofErr w:type="spellStart"/>
      <w:r w:rsidR="00300A84">
        <w:t>Hasan</w:t>
      </w:r>
      <w:proofErr w:type="spellEnd"/>
      <w:r w:rsidR="00300A84">
        <w:t xml:space="preserve"> and </w:t>
      </w:r>
      <w:proofErr w:type="spellStart"/>
      <w:r w:rsidR="00300A84">
        <w:t>Wachtel</w:t>
      </w:r>
      <w:proofErr w:type="spellEnd"/>
      <w:r w:rsidR="00300A84">
        <w:t xml:space="preserve">, 2005, for transition countries in Eastern Europe; </w:t>
      </w:r>
      <w:proofErr w:type="spellStart"/>
      <w:r w:rsidR="00300A84">
        <w:t>Havrylchyk</w:t>
      </w:r>
      <w:proofErr w:type="spellEnd"/>
      <w:r w:rsidR="00300A84">
        <w:t xml:space="preserve">, 2006, for Poland; Yildirim and </w:t>
      </w:r>
      <w:proofErr w:type="spellStart"/>
      <w:r w:rsidR="00300A84">
        <w:t>Philippatis</w:t>
      </w:r>
      <w:proofErr w:type="spellEnd"/>
      <w:r w:rsidR="00300A84">
        <w:t>, 2007, for transition countries in Eastern Europe</w:t>
      </w:r>
      <w:r w:rsidR="008B0749">
        <w:t xml:space="preserve">; </w:t>
      </w:r>
      <w:proofErr w:type="spellStart"/>
      <w:r w:rsidR="008B0749">
        <w:t>Hasan</w:t>
      </w:r>
      <w:proofErr w:type="spellEnd"/>
      <w:r w:rsidR="008B0749">
        <w:t xml:space="preserve"> and </w:t>
      </w:r>
      <w:proofErr w:type="spellStart"/>
      <w:r w:rsidR="008B0749">
        <w:t>Marton</w:t>
      </w:r>
      <w:proofErr w:type="spellEnd"/>
      <w:r w:rsidR="008B0749">
        <w:t>, 2003, for Hungary</w:t>
      </w:r>
      <w:r w:rsidR="00300A84">
        <w:t>). The empirical literature provides mixed evidence regarding the impact of bank reforms on cost and profit efficiency of banks in emerging markets.</w:t>
      </w:r>
      <w:r>
        <w:t xml:space="preserve"> For example, </w:t>
      </w:r>
      <w:r w:rsidR="008613C5">
        <w:t xml:space="preserve">Bonin, </w:t>
      </w:r>
      <w:proofErr w:type="spellStart"/>
      <w:r w:rsidR="008613C5">
        <w:t>Hasan</w:t>
      </w:r>
      <w:proofErr w:type="spellEnd"/>
      <w:r w:rsidR="008613C5">
        <w:t xml:space="preserve"> and </w:t>
      </w:r>
      <w:proofErr w:type="spellStart"/>
      <w:r w:rsidR="008613C5">
        <w:t>Wachtel</w:t>
      </w:r>
      <w:proofErr w:type="spellEnd"/>
      <w:r w:rsidR="008613C5">
        <w:t xml:space="preserve"> (</w:t>
      </w:r>
      <w:r w:rsidRPr="00B03271">
        <w:t xml:space="preserve">2005) find that domestically owned private banks are not significantly more efficient than government owned banks in Central and Eastern European countries.  In contrast, Yildirim and </w:t>
      </w:r>
      <w:proofErr w:type="spellStart"/>
      <w:r w:rsidRPr="00B03271">
        <w:t>Philippataos</w:t>
      </w:r>
      <w:proofErr w:type="spellEnd"/>
      <w:r w:rsidRPr="00B03271">
        <w:t xml:space="preserve"> (2007) report that domestically owned private banks and state-owned banks are less cost efficient</w:t>
      </w:r>
      <w:r w:rsidR="00655093">
        <w:t>,</w:t>
      </w:r>
      <w:r w:rsidRPr="00B03271">
        <w:t xml:space="preserve"> but more profit efficient relative to foreign banks in transition countries. </w:t>
      </w:r>
      <w:r w:rsidR="005B6D61" w:rsidRPr="0094518D">
        <w:rPr>
          <w:sz w:val="22"/>
        </w:rPr>
        <w:t>E</w:t>
      </w:r>
      <w:r w:rsidR="005B6D61">
        <w:rPr>
          <w:sz w:val="22"/>
        </w:rPr>
        <w:t>l-</w:t>
      </w:r>
      <w:proofErr w:type="spellStart"/>
      <w:r w:rsidR="005B6D61">
        <w:rPr>
          <w:sz w:val="22"/>
        </w:rPr>
        <w:t>Gamal</w:t>
      </w:r>
      <w:proofErr w:type="spellEnd"/>
      <w:r w:rsidR="005B6D61">
        <w:rPr>
          <w:sz w:val="22"/>
        </w:rPr>
        <w:t xml:space="preserve"> and </w:t>
      </w:r>
      <w:proofErr w:type="spellStart"/>
      <w:r w:rsidR="005B6D61">
        <w:rPr>
          <w:sz w:val="22"/>
        </w:rPr>
        <w:lastRenderedPageBreak/>
        <w:t>Inanoglu</w:t>
      </w:r>
      <w:proofErr w:type="spellEnd"/>
      <w:r w:rsidR="005B6D61" w:rsidRPr="0094518D">
        <w:rPr>
          <w:sz w:val="22"/>
        </w:rPr>
        <w:t xml:space="preserve"> (2005)</w:t>
      </w:r>
      <w:r w:rsidR="005B6D61">
        <w:rPr>
          <w:sz w:val="22"/>
        </w:rPr>
        <w:t xml:space="preserve"> investigate efficiency of Turkish banks over 1990-2000 </w:t>
      </w:r>
      <w:proofErr w:type="gramStart"/>
      <w:r w:rsidR="005B6D61">
        <w:rPr>
          <w:sz w:val="22"/>
        </w:rPr>
        <w:t>period</w:t>
      </w:r>
      <w:proofErr w:type="gramEnd"/>
      <w:r w:rsidR="005B6D61">
        <w:rPr>
          <w:sz w:val="22"/>
        </w:rPr>
        <w:t xml:space="preserve"> and find</w:t>
      </w:r>
      <w:r w:rsidR="005B6D61" w:rsidRPr="00B03271">
        <w:t xml:space="preserve"> </w:t>
      </w:r>
      <w:r w:rsidR="005B6D61">
        <w:t xml:space="preserve">that efficiency of conventional banks are similar to Islamic banks. </w:t>
      </w:r>
      <w:proofErr w:type="spellStart"/>
      <w:r w:rsidRPr="00B03271">
        <w:t>Havrylchyk</w:t>
      </w:r>
      <w:proofErr w:type="spellEnd"/>
      <w:r w:rsidRPr="00B03271">
        <w:t xml:space="preserve"> (2006) finds that foreign banks that acquired domestic banks do not enhance efficiency. Berger, </w:t>
      </w:r>
      <w:proofErr w:type="spellStart"/>
      <w:r w:rsidR="00650563">
        <w:t>Hasan</w:t>
      </w:r>
      <w:proofErr w:type="spellEnd"/>
      <w:r w:rsidR="00650563">
        <w:t xml:space="preserve"> and Zhou (2010</w:t>
      </w:r>
      <w:r w:rsidRPr="00650563">
        <w:t>)</w:t>
      </w:r>
      <w:r>
        <w:t xml:space="preserve"> and Lin and Zhang </w:t>
      </w:r>
      <w:r w:rsidRPr="00B03271">
        <w:t>(</w:t>
      </w:r>
      <w:r>
        <w:t xml:space="preserve">2009) </w:t>
      </w:r>
      <w:r w:rsidRPr="00B03271">
        <w:t>find that the Big Four state-owned banks are less profit efficient</w:t>
      </w:r>
      <w:r>
        <w:t>.</w:t>
      </w:r>
      <w:r w:rsidRPr="00B03271">
        <w:t xml:space="preserve"> </w:t>
      </w:r>
    </w:p>
    <w:p w:rsidR="00836DD8" w:rsidRDefault="00BF546F" w:rsidP="00300A84">
      <w:pPr>
        <w:pStyle w:val="BodyTextIndent"/>
        <w:ind w:left="0" w:firstLine="0"/>
      </w:pPr>
      <w:r>
        <w:tab/>
        <w:t>H</w:t>
      </w:r>
      <w:r w:rsidR="00300A84">
        <w:t xml:space="preserve">owever, </w:t>
      </w:r>
      <w:r>
        <w:t xml:space="preserve">the literature evaluating the effects of financial sector </w:t>
      </w:r>
      <w:r w:rsidR="00300A84">
        <w:t xml:space="preserve">reforms on </w:t>
      </w:r>
      <w:r>
        <w:t xml:space="preserve">banking efficiency in GCC countries is relatively scant. </w:t>
      </w:r>
      <w:proofErr w:type="spellStart"/>
      <w:r>
        <w:t>Darrat</w:t>
      </w:r>
      <w:proofErr w:type="spellEnd"/>
      <w:r>
        <w:t xml:space="preserve"> et al. (2003) estimate efficiency of banks operating in Kuwait over the 1994-1997 </w:t>
      </w:r>
      <w:proofErr w:type="gramStart"/>
      <w:r>
        <w:t>period</w:t>
      </w:r>
      <w:proofErr w:type="gramEnd"/>
      <w:r w:rsidR="00655093">
        <w:t>,</w:t>
      </w:r>
      <w:r w:rsidR="0060353E">
        <w:t xml:space="preserve"> using the D</w:t>
      </w:r>
      <w:r>
        <w:t xml:space="preserve">ata Envelopment Analysis (DEA) approach. Their study </w:t>
      </w:r>
      <w:r w:rsidR="00655093">
        <w:t xml:space="preserve">finds that </w:t>
      </w:r>
      <w:r>
        <w:t>the overall efficiency of banks in Kuwait</w:t>
      </w:r>
      <w:r w:rsidR="00E6321D">
        <w:t xml:space="preserve"> is on average 68% and the source of inefficiency is attributed to a combination of </w:t>
      </w:r>
      <w:proofErr w:type="spellStart"/>
      <w:r w:rsidR="00E6321D">
        <w:t>allocative</w:t>
      </w:r>
      <w:proofErr w:type="spellEnd"/>
      <w:r w:rsidR="00E6321D">
        <w:t xml:space="preserve"> and technical efficiency. </w:t>
      </w:r>
      <w:proofErr w:type="spellStart"/>
      <w:r w:rsidR="00E6321D">
        <w:t>Grigorian</w:t>
      </w:r>
      <w:proofErr w:type="spellEnd"/>
      <w:r w:rsidR="00E6321D">
        <w:t xml:space="preserve"> and </w:t>
      </w:r>
      <w:proofErr w:type="spellStart"/>
      <w:r w:rsidR="00E6321D">
        <w:t>Manole</w:t>
      </w:r>
      <w:proofErr w:type="spellEnd"/>
      <w:r w:rsidR="00E6321D">
        <w:t xml:space="preserve"> (2005) examine the technical efficiency of four of six GCC countries: </w:t>
      </w:r>
      <w:proofErr w:type="spellStart"/>
      <w:r w:rsidR="00E6321D">
        <w:t>Baharain</w:t>
      </w:r>
      <w:proofErr w:type="spellEnd"/>
      <w:r w:rsidR="00E6321D">
        <w:t>, Kuwait, Qatar, and UAE relative to their Singapore counterparts. Their study finds that bank</w:t>
      </w:r>
      <w:r w:rsidR="00836DD8">
        <w:t xml:space="preserve"> in Bahrain on average are more technically efficient compared to GCC countries. </w:t>
      </w:r>
      <w:proofErr w:type="spellStart"/>
      <w:r w:rsidR="00836DD8">
        <w:t>Ariss</w:t>
      </w:r>
      <w:proofErr w:type="spellEnd"/>
      <w:r w:rsidR="00836DD8">
        <w:t xml:space="preserve">, </w:t>
      </w:r>
      <w:proofErr w:type="spellStart"/>
      <w:r w:rsidR="00836DD8">
        <w:t>Rezvanian</w:t>
      </w:r>
      <w:proofErr w:type="spellEnd"/>
      <w:r w:rsidR="00836DD8">
        <w:t xml:space="preserve">, and </w:t>
      </w:r>
      <w:proofErr w:type="spellStart"/>
      <w:r w:rsidR="00836DD8">
        <w:t>Mehdian</w:t>
      </w:r>
      <w:proofErr w:type="spellEnd"/>
      <w:r w:rsidR="00836DD8">
        <w:t xml:space="preserve"> (2007) compare and contrast the cost efficiency, technological progress and productivity growth of banks in GCC countries using a non-parametric frontier approach for the 1999-2004 </w:t>
      </w:r>
      <w:proofErr w:type="gramStart"/>
      <w:r w:rsidR="00836DD8">
        <w:t>period</w:t>
      </w:r>
      <w:proofErr w:type="gramEnd"/>
      <w:r w:rsidR="00836DD8">
        <w:t xml:space="preserve">.  Their results show that bank in Oman on average, have been the most efficient </w:t>
      </w:r>
      <w:r w:rsidR="008B0749">
        <w:t>among GCC countries followed by banks from Bahrain and to a lesser extent by banks from Kuwait.</w:t>
      </w:r>
    </w:p>
    <w:p w:rsidR="00B0116B" w:rsidRPr="0076280D" w:rsidRDefault="008613C5" w:rsidP="00B0116B">
      <w:pPr>
        <w:pStyle w:val="BodyTextIndent"/>
        <w:ind w:left="0" w:firstLine="0"/>
        <w:rPr>
          <w:b/>
        </w:rPr>
      </w:pPr>
      <w:r>
        <w:rPr>
          <w:b/>
        </w:rPr>
        <w:lastRenderedPageBreak/>
        <w:t>4</w:t>
      </w:r>
      <w:r w:rsidR="00B0116B" w:rsidRPr="0076280D">
        <w:rPr>
          <w:b/>
        </w:rPr>
        <w:t xml:space="preserve">. </w:t>
      </w:r>
      <w:r w:rsidR="008A620E">
        <w:rPr>
          <w:b/>
        </w:rPr>
        <w:t>Methodology</w:t>
      </w:r>
    </w:p>
    <w:p w:rsidR="00EC1408" w:rsidRDefault="00B0116B" w:rsidP="00B0116B">
      <w:pPr>
        <w:pStyle w:val="BodyTextIndent"/>
        <w:ind w:left="0" w:firstLine="720"/>
      </w:pPr>
      <w:r w:rsidRPr="0076280D">
        <w:t xml:space="preserve">Although several methods are available to measure efficiency in banking, the Stochastic Frontier (SF) approach introduced by </w:t>
      </w:r>
      <w:proofErr w:type="spellStart"/>
      <w:r w:rsidRPr="0076280D">
        <w:t>Aigner</w:t>
      </w:r>
      <w:proofErr w:type="spellEnd"/>
      <w:r w:rsidRPr="0076280D">
        <w:t xml:space="preserve">, Lovell, and Schmidt (1977) and </w:t>
      </w:r>
      <w:proofErr w:type="spellStart"/>
      <w:r w:rsidRPr="0076280D">
        <w:t>Meeusen</w:t>
      </w:r>
      <w:proofErr w:type="spellEnd"/>
      <w:r w:rsidRPr="0076280D">
        <w:t xml:space="preserve"> and van </w:t>
      </w:r>
      <w:proofErr w:type="spellStart"/>
      <w:r w:rsidRPr="0076280D">
        <w:t>dan</w:t>
      </w:r>
      <w:proofErr w:type="spellEnd"/>
      <w:r w:rsidRPr="0076280D">
        <w:t xml:space="preserve"> </w:t>
      </w:r>
      <w:proofErr w:type="spellStart"/>
      <w:r w:rsidRPr="0076280D">
        <w:t>Broeck</w:t>
      </w:r>
      <w:proofErr w:type="spellEnd"/>
      <w:r w:rsidRPr="0076280D">
        <w:t xml:space="preserve"> (1977) has received increased attention among researchers over the last two decades (e.g., </w:t>
      </w:r>
      <w:proofErr w:type="spellStart"/>
      <w:r w:rsidRPr="0076280D">
        <w:t>Cebenoyan</w:t>
      </w:r>
      <w:proofErr w:type="spellEnd"/>
      <w:r w:rsidRPr="0076280D">
        <w:t>, 1990; Ferrier and Lovel</w:t>
      </w:r>
      <w:r w:rsidRPr="0076280D">
        <w:rPr>
          <w:rFonts w:eastAsia="SimSun"/>
          <w:lang w:eastAsia="zh-CN"/>
        </w:rPr>
        <w:t>l</w:t>
      </w:r>
      <w:r w:rsidRPr="0076280D">
        <w:t xml:space="preserve">, 1990; Greene, 1993; </w:t>
      </w:r>
      <w:proofErr w:type="spellStart"/>
      <w:r w:rsidRPr="0076280D">
        <w:t>LeCompte</w:t>
      </w:r>
      <w:proofErr w:type="spellEnd"/>
      <w:r w:rsidRPr="0076280D">
        <w:t xml:space="preserve"> and Smith, 1990; Bauer, 1990; Berger and Humphrey, 1991; Weiss, 1991; Berger, 1993; </w:t>
      </w:r>
      <w:proofErr w:type="spellStart"/>
      <w:r w:rsidRPr="0076280D">
        <w:t>Mester</w:t>
      </w:r>
      <w:proofErr w:type="spellEnd"/>
      <w:r w:rsidRPr="0076280D">
        <w:t xml:space="preserve">, 1993; Allen and Rai, 1996; </w:t>
      </w:r>
      <w:proofErr w:type="spellStart"/>
      <w:r w:rsidRPr="0076280D">
        <w:t>Mester</w:t>
      </w:r>
      <w:proofErr w:type="spellEnd"/>
      <w:r w:rsidRPr="0076280D">
        <w:t xml:space="preserve">, 1996; Rai, 1996; </w:t>
      </w:r>
      <w:proofErr w:type="spellStart"/>
      <w:r w:rsidRPr="0076280D">
        <w:t>Resti</w:t>
      </w:r>
      <w:proofErr w:type="spellEnd"/>
      <w:r w:rsidRPr="0076280D">
        <w:t>, 1997).</w:t>
      </w:r>
      <w:r w:rsidR="001505B7">
        <w:t xml:space="preserve"> </w:t>
      </w:r>
      <w:r w:rsidR="00866634">
        <w:t xml:space="preserve">Using </w:t>
      </w:r>
      <w:r w:rsidR="00D67FD4">
        <w:t xml:space="preserve">the </w:t>
      </w:r>
      <w:r w:rsidR="00866634">
        <w:t>SF approach, we investigate the</w:t>
      </w:r>
      <w:r w:rsidR="001505B7">
        <w:t xml:space="preserve"> effects of bank size, equity capital-to-asset ratio, types of banks (Is</w:t>
      </w:r>
      <w:r w:rsidR="007F1BC3">
        <w:t>lamic versus non-Islamic banks) and ownership (private versus government) and credit q</w:t>
      </w:r>
      <w:r w:rsidR="00866634">
        <w:t>uality of investment portfolios on cost and profit efficiency of banks operating in six gulf countries.</w:t>
      </w:r>
      <w:r w:rsidR="00A40197">
        <w:t xml:space="preserve"> </w:t>
      </w:r>
    </w:p>
    <w:p w:rsidR="001505B7" w:rsidRDefault="00EC1408" w:rsidP="00B0116B">
      <w:pPr>
        <w:pStyle w:val="BodyTextIndent"/>
        <w:ind w:left="0" w:firstLine="720"/>
      </w:pPr>
      <w:r>
        <w:t xml:space="preserve">We recognize that </w:t>
      </w:r>
      <w:r w:rsidR="00866634">
        <w:t xml:space="preserve">we </w:t>
      </w:r>
      <w:r>
        <w:t xml:space="preserve">need to </w:t>
      </w:r>
      <w:r w:rsidR="00866634">
        <w:t xml:space="preserve">use </w:t>
      </w:r>
      <w:r w:rsidR="005350F8">
        <w:t xml:space="preserve">appropriate stochastic frontier </w:t>
      </w:r>
      <w:r w:rsidR="00034D7B">
        <w:t>models</w:t>
      </w:r>
      <w:r w:rsidR="005350F8">
        <w:t xml:space="preserve"> to estimate </w:t>
      </w:r>
      <w:r>
        <w:t xml:space="preserve">either </w:t>
      </w:r>
      <w:r w:rsidR="005350F8">
        <w:t>cost or profit efficiency</w:t>
      </w:r>
      <w:r>
        <w:t xml:space="preserve"> of banks</w:t>
      </w:r>
      <w:r w:rsidR="005350F8">
        <w:t xml:space="preserve"> </w:t>
      </w:r>
      <w:r w:rsidR="00034D7B">
        <w:t xml:space="preserve">after allowing for differences in </w:t>
      </w:r>
      <w:r w:rsidR="005350F8">
        <w:t>Islamic banks and conventional banks operating in GCC countries. It is likely that Islamic banks may have different objectives and operational characteristics from conventional banks. For example, the prohibition of conventional interest bearing</w:t>
      </w:r>
      <w:r w:rsidR="00034D7B">
        <w:t xml:space="preserve"> financial instruments and loans can limit certain banking activities which may have an adverse effect on potential outputs and banking efficiency</w:t>
      </w:r>
      <w:r w:rsidR="005350F8">
        <w:t>.</w:t>
      </w:r>
      <w:r w:rsidR="00034D7B">
        <w:t xml:space="preserve">  </w:t>
      </w:r>
      <w:r w:rsidR="00981BE7">
        <w:t>In addition, Islamic banks use the equity participation principle indicating that Islamic banks</w:t>
      </w:r>
      <w:r w:rsidR="00A40197">
        <w:t xml:space="preserve"> depend on </w:t>
      </w:r>
      <w:r w:rsidR="00A40197">
        <w:lastRenderedPageBreak/>
        <w:t>equity as a major</w:t>
      </w:r>
      <w:r w:rsidR="00981BE7">
        <w:t xml:space="preserve"> source of funding</w:t>
      </w:r>
      <w:r w:rsidR="00A40197">
        <w:t>.</w:t>
      </w:r>
      <w:r w:rsidR="00981BE7">
        <w:t xml:space="preserve"> Following Abdul-</w:t>
      </w:r>
      <w:proofErr w:type="spellStart"/>
      <w:r w:rsidR="00981BE7">
        <w:t>Majid</w:t>
      </w:r>
      <w:proofErr w:type="spellEnd"/>
      <w:r w:rsidR="00981BE7">
        <w:t xml:space="preserve">, </w:t>
      </w:r>
      <w:proofErr w:type="spellStart"/>
      <w:r w:rsidR="00981BE7">
        <w:t>Saal</w:t>
      </w:r>
      <w:proofErr w:type="spellEnd"/>
      <w:r w:rsidR="00981BE7">
        <w:t xml:space="preserve">, and </w:t>
      </w:r>
      <w:proofErr w:type="spellStart"/>
      <w:r w:rsidR="00981BE7">
        <w:t>Battisti</w:t>
      </w:r>
      <w:proofErr w:type="spellEnd"/>
      <w:r w:rsidR="00981BE7">
        <w:t xml:space="preserve"> (2010),</w:t>
      </w:r>
      <w:r w:rsidR="00034D7B">
        <w:t xml:space="preserve"> we </w:t>
      </w:r>
      <w:r w:rsidR="00A40197">
        <w:t>include equity-to-asset ratio as an input variable</w:t>
      </w:r>
      <w:r w:rsidR="00034D7B">
        <w:t xml:space="preserve"> </w:t>
      </w:r>
      <w:r w:rsidR="00A40197">
        <w:t xml:space="preserve">and we </w:t>
      </w:r>
      <w:r w:rsidR="00034D7B">
        <w:t xml:space="preserve">control for </w:t>
      </w:r>
      <w:r w:rsidR="00981BE7">
        <w:t>Islamic banking a</w:t>
      </w:r>
      <w:r w:rsidR="00A40197">
        <w:t>s a</w:t>
      </w:r>
      <w:r w:rsidR="00981BE7">
        <w:t xml:space="preserve"> bank-specific characteristic that may directly influence the estimated cost or profit inefficiency.</w:t>
      </w:r>
    </w:p>
    <w:p w:rsidR="00A40197" w:rsidRDefault="00A40197" w:rsidP="00B0116B">
      <w:pPr>
        <w:pStyle w:val="BodyTextIndent"/>
        <w:ind w:left="0" w:firstLine="720"/>
      </w:pPr>
      <w:r>
        <w:t xml:space="preserve">Next, we consider the specification of an appropriate </w:t>
      </w:r>
      <w:r w:rsidR="009322CF">
        <w:t xml:space="preserve">SF </w:t>
      </w:r>
      <w:r>
        <w:t>model to estimate cross-country b</w:t>
      </w:r>
      <w:r w:rsidR="008A620E">
        <w:t>ank</w:t>
      </w:r>
      <w:r w:rsidR="009322CF">
        <w:t>ing</w:t>
      </w:r>
      <w:r w:rsidR="008A620E">
        <w:t xml:space="preserve"> efficiency. While some</w:t>
      </w:r>
      <w:r>
        <w:t xml:space="preserve"> studies don’</w:t>
      </w:r>
      <w:r w:rsidR="008A620E">
        <w:t xml:space="preserve">t control for any environmental variables (Allen and Rai, 1996; and </w:t>
      </w:r>
      <w:proofErr w:type="spellStart"/>
      <w:r w:rsidR="008A620E">
        <w:t>Altunbas</w:t>
      </w:r>
      <w:proofErr w:type="spellEnd"/>
      <w:r w:rsidR="008A620E">
        <w:t xml:space="preserve"> et al., 2001), other studies do account for environmental factors (e.g., Bonin et al., 2005 and </w:t>
      </w:r>
      <w:proofErr w:type="spellStart"/>
      <w:r w:rsidR="008A620E">
        <w:t>Carvallo</w:t>
      </w:r>
      <w:proofErr w:type="spellEnd"/>
      <w:r w:rsidR="008A620E">
        <w:t xml:space="preserve"> and </w:t>
      </w:r>
      <w:proofErr w:type="spellStart"/>
      <w:r w:rsidR="008A620E">
        <w:t>Kasman</w:t>
      </w:r>
      <w:proofErr w:type="spellEnd"/>
      <w:r w:rsidR="008A620E">
        <w:t xml:space="preserve">, 2005). Following Fries and </w:t>
      </w:r>
      <w:proofErr w:type="spellStart"/>
      <w:r w:rsidR="008A620E">
        <w:t>Taci</w:t>
      </w:r>
      <w:proofErr w:type="spellEnd"/>
      <w:r w:rsidR="008A620E">
        <w:t>, 2005; and Willi</w:t>
      </w:r>
      <w:r w:rsidR="004D77EA">
        <w:t>ams and Nguyen (</w:t>
      </w:r>
      <w:r w:rsidR="009322CF">
        <w:t>2005</w:t>
      </w:r>
      <w:r w:rsidR="004D77EA">
        <w:t>)</w:t>
      </w:r>
      <w:r w:rsidR="009322CF">
        <w:t>, we argue</w:t>
      </w:r>
      <w:r w:rsidR="008A620E">
        <w:t xml:space="preserve"> that environmental variables are influenced by country-specific regulatory</w:t>
      </w:r>
      <w:r w:rsidR="009322CF">
        <w:t xml:space="preserve"> environment</w:t>
      </w:r>
      <w:r w:rsidR="00DE442F">
        <w:t xml:space="preserve"> </w:t>
      </w:r>
      <w:r w:rsidR="009322CF">
        <w:t>and macro-economic conditions</w:t>
      </w:r>
      <w:r w:rsidR="00D67FD4">
        <w:t>,</w:t>
      </w:r>
      <w:r w:rsidR="00DE442F">
        <w:t xml:space="preserve"> including the level of economic development across six countries</w:t>
      </w:r>
      <w:r w:rsidR="008A620E">
        <w:t xml:space="preserve">. Thus, a common stochastic frontier without </w:t>
      </w:r>
      <w:r w:rsidR="00DE442F">
        <w:t xml:space="preserve">controls for country-specific factors is likely to be misspecified due to varying degree of bank regulation and </w:t>
      </w:r>
      <w:r w:rsidR="009322CF">
        <w:t xml:space="preserve">the </w:t>
      </w:r>
      <w:r w:rsidR="00DE442F">
        <w:t>use of different banking technology.</w:t>
      </w:r>
      <w:r w:rsidR="00DE442F">
        <w:rPr>
          <w:rStyle w:val="FootnoteReference"/>
        </w:rPr>
        <w:footnoteReference w:id="11"/>
      </w:r>
      <w:r w:rsidR="00DE442F">
        <w:t xml:space="preserve"> </w:t>
      </w:r>
      <w:r w:rsidR="007C79B6">
        <w:t>In this paper, we use country dummies in our model to control for country-specific factors.</w:t>
      </w:r>
    </w:p>
    <w:p w:rsidR="00B0116B" w:rsidRPr="0076280D" w:rsidRDefault="00EC1408" w:rsidP="007C79B6">
      <w:pPr>
        <w:pStyle w:val="BodyTextIndent"/>
        <w:ind w:left="0" w:firstLine="480"/>
      </w:pPr>
      <w:r>
        <w:t>In the following section</w:t>
      </w:r>
      <w:r w:rsidR="00B14A1F">
        <w:t>, we f</w:t>
      </w:r>
      <w:r w:rsidR="007C79B6">
        <w:t xml:space="preserve">ocus specifically on </w:t>
      </w:r>
      <w:r w:rsidR="00B14A1F">
        <w:t xml:space="preserve">methodological approaches employed in </w:t>
      </w:r>
      <w:r w:rsidR="007C79B6">
        <w:t xml:space="preserve">stochastic frontier </w:t>
      </w:r>
      <w:r w:rsidR="00B14A1F">
        <w:t>analysis (SFA). The stochastic cost frontier model uses a parametric approach which requires a</w:t>
      </w:r>
      <w:r w:rsidR="00B0116B" w:rsidRPr="0076280D">
        <w:t xml:space="preserve"> separation of random errors from the systematic error component of a specified </w:t>
      </w:r>
      <w:r w:rsidR="00B0116B" w:rsidRPr="0076280D">
        <w:lastRenderedPageBreak/>
        <w:t xml:space="preserve">cost function. This entails the specification of a particular distribution form. The basic model assumes that a firm’s observed cost deviates from the optimal cost due to a random noise, </w:t>
      </w:r>
      <w:r w:rsidR="00B0116B" w:rsidRPr="0076280D">
        <w:rPr>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12" o:title=""/>
          </v:shape>
          <o:OLEObject Type="Embed" ProgID="Equation.3" ShapeID="_x0000_i1025" DrawAspect="Content" ObjectID="_1394296506" r:id="rId13"/>
        </w:object>
      </w:r>
      <w:r w:rsidR="00B0116B" w:rsidRPr="0076280D">
        <w:t xml:space="preserve">, and an inefficiency component , </w:t>
      </w:r>
      <w:r w:rsidR="00B0116B" w:rsidRPr="0076280D">
        <w:rPr>
          <w:position w:val="-12"/>
        </w:rPr>
        <w:object w:dxaOrig="240" w:dyaOrig="360">
          <v:shape id="_x0000_i1026" type="#_x0000_t75" style="width:12pt;height:18pt" o:ole="">
            <v:imagedata r:id="rId14" o:title=""/>
          </v:shape>
          <o:OLEObject Type="Embed" ProgID="Equation.3" ShapeID="_x0000_i1026" DrawAspect="Content" ObjectID="_1394296507" r:id="rId15"/>
        </w:object>
      </w:r>
      <w:r w:rsidR="00B0116B" w:rsidRPr="0076280D">
        <w:t>. Thus, the cost function for N firms in the sample is written as:</w:t>
      </w:r>
    </w:p>
    <w:p w:rsidR="00B0116B" w:rsidRPr="0076280D" w:rsidRDefault="00B0116B" w:rsidP="00B0116B">
      <w:pPr>
        <w:pStyle w:val="BodyTextIndent"/>
        <w:ind w:left="0" w:firstLine="0"/>
      </w:pPr>
      <w:r w:rsidRPr="0076280D">
        <w:rPr>
          <w:position w:val="-12"/>
        </w:rPr>
        <w:object w:dxaOrig="2480" w:dyaOrig="360">
          <v:shape id="_x0000_i1027" type="#_x0000_t75" style="width:123.75pt;height:18pt" o:ole="">
            <v:imagedata r:id="rId16" o:title=""/>
          </v:shape>
          <o:OLEObject Type="Embed" ProgID="Equation.3" ShapeID="_x0000_i1027" DrawAspect="Content" ObjectID="_1394296508" r:id="rId17"/>
        </w:object>
      </w:r>
      <w:r w:rsidRPr="0076280D">
        <w:t>,</w:t>
      </w:r>
      <w:r w:rsidRPr="0076280D">
        <w:tab/>
        <w:t xml:space="preserve">   </w:t>
      </w:r>
      <w:proofErr w:type="spellStart"/>
      <w:r w:rsidRPr="0076280D">
        <w:t>i</w:t>
      </w:r>
      <w:proofErr w:type="spellEnd"/>
      <w:r w:rsidRPr="0076280D">
        <w:t xml:space="preserve"> </w:t>
      </w:r>
      <w:proofErr w:type="gramStart"/>
      <w:r w:rsidRPr="0076280D">
        <w:t>=  1</w:t>
      </w:r>
      <w:proofErr w:type="gramEnd"/>
      <w:r w:rsidRPr="0076280D">
        <w:t>……………..N,</w:t>
      </w:r>
      <w:r w:rsidRPr="0076280D">
        <w:tab/>
      </w:r>
      <w:r w:rsidRPr="0076280D">
        <w:tab/>
      </w:r>
      <w:r w:rsidRPr="0076280D">
        <w:tab/>
        <w:t xml:space="preserve">        (1)</w:t>
      </w:r>
    </w:p>
    <w:p w:rsidR="00B0116B" w:rsidRPr="0076280D" w:rsidRDefault="00D67FD4" w:rsidP="005A0A33">
      <w:pPr>
        <w:tabs>
          <w:tab w:val="num" w:pos="720"/>
        </w:tabs>
        <w:spacing w:line="480" w:lineRule="auto"/>
        <w:rPr>
          <w:rFonts w:ascii="Times New Roman" w:hAnsi="Times New Roman" w:cs="Times New Roman"/>
          <w:szCs w:val="24"/>
        </w:rPr>
      </w:pPr>
      <w:proofErr w:type="gramStart"/>
      <w:r>
        <w:rPr>
          <w:rFonts w:ascii="Times New Roman" w:hAnsi="Times New Roman" w:cs="Times New Roman"/>
          <w:szCs w:val="24"/>
        </w:rPr>
        <w:t>W</w:t>
      </w:r>
      <w:r w:rsidRPr="0076280D">
        <w:rPr>
          <w:rFonts w:ascii="Times New Roman" w:hAnsi="Times New Roman" w:cs="Times New Roman"/>
          <w:szCs w:val="24"/>
        </w:rPr>
        <w:t>here</w:t>
      </w:r>
      <w:r w:rsidRPr="0076280D">
        <w:rPr>
          <w:rFonts w:ascii="Times New Roman" w:hAnsi="Times New Roman" w:cs="Times New Roman"/>
          <w:b/>
          <w:szCs w:val="24"/>
        </w:rPr>
        <w:t xml:space="preserve"> </w:t>
      </w:r>
      <w:r w:rsidR="00B0116B" w:rsidRPr="0076280D">
        <w:rPr>
          <w:rFonts w:ascii="Times New Roman" w:hAnsi="Times New Roman" w:cs="Times New Roman"/>
          <w:position w:val="-12"/>
          <w:szCs w:val="24"/>
        </w:rPr>
        <w:object w:dxaOrig="240" w:dyaOrig="360">
          <v:shape id="_x0000_i1028" type="#_x0000_t75" style="width:12.75pt;height:18pt" o:ole="">
            <v:imagedata r:id="rId12" o:title=""/>
          </v:shape>
          <o:OLEObject Type="Embed" ProgID="Equation.3" ShapeID="_x0000_i1028" DrawAspect="Content" ObjectID="_1394296509" r:id="rId18"/>
        </w:object>
      </w:r>
      <w:r w:rsidR="00742F30">
        <w:rPr>
          <w:rFonts w:ascii="Times New Roman" w:hAnsi="Times New Roman" w:cs="Times New Roman"/>
          <w:szCs w:val="24"/>
        </w:rPr>
        <w:t>is</w:t>
      </w:r>
      <w:r w:rsidR="00B0116B" w:rsidRPr="0076280D">
        <w:rPr>
          <w:rFonts w:ascii="Times New Roman" w:hAnsi="Times New Roman" w:cs="Times New Roman"/>
          <w:szCs w:val="24"/>
        </w:rPr>
        <w:t xml:space="preserve"> a two-sided error term repr</w:t>
      </w:r>
      <w:r w:rsidR="00742F30">
        <w:rPr>
          <w:rFonts w:ascii="Times New Roman" w:hAnsi="Times New Roman" w:cs="Times New Roman"/>
          <w:szCs w:val="24"/>
        </w:rPr>
        <w:t xml:space="preserve">esenting the statistical noise and </w:t>
      </w:r>
      <w:r w:rsidR="00B0116B" w:rsidRPr="0076280D">
        <w:rPr>
          <w:rFonts w:ascii="Times New Roman" w:hAnsi="Times New Roman" w:cs="Times New Roman"/>
          <w:position w:val="-12"/>
          <w:szCs w:val="24"/>
        </w:rPr>
        <w:object w:dxaOrig="240" w:dyaOrig="360">
          <v:shape id="_x0000_i1029" type="#_x0000_t75" style="width:12pt;height:18pt" o:ole="">
            <v:imagedata r:id="rId14" o:title=""/>
          </v:shape>
          <o:OLEObject Type="Embed" ProgID="Equation.3" ShapeID="_x0000_i1029" DrawAspect="Content" ObjectID="_1394296510" r:id="rId19"/>
        </w:object>
      </w:r>
      <w:r w:rsidR="00742F30">
        <w:rPr>
          <w:rFonts w:ascii="Times New Roman" w:hAnsi="Times New Roman" w:cs="Times New Roman"/>
          <w:szCs w:val="24"/>
        </w:rPr>
        <w:t>is</w:t>
      </w:r>
      <w:r w:rsidR="00B0116B" w:rsidRPr="0076280D">
        <w:rPr>
          <w:rFonts w:ascii="Times New Roman" w:hAnsi="Times New Roman" w:cs="Times New Roman"/>
          <w:szCs w:val="24"/>
        </w:rPr>
        <w:t xml:space="preserve"> a one-sided error term that measures inefficiency of a firm</w:t>
      </w:r>
      <w:r w:rsidR="00742F30">
        <w:rPr>
          <w:rFonts w:ascii="Times New Roman" w:hAnsi="Times New Roman" w:cs="Times New Roman"/>
          <w:szCs w:val="24"/>
        </w:rPr>
        <w:t xml:space="preserve"> that </w:t>
      </w:r>
      <w:r w:rsidR="00B0116B" w:rsidRPr="0076280D">
        <w:rPr>
          <w:rFonts w:ascii="Times New Roman" w:hAnsi="Times New Roman" w:cs="Times New Roman"/>
          <w:szCs w:val="24"/>
        </w:rPr>
        <w:t>represent</w:t>
      </w:r>
      <w:r w:rsidR="00742F30">
        <w:rPr>
          <w:rFonts w:ascii="Times New Roman" w:hAnsi="Times New Roman" w:cs="Times New Roman"/>
          <w:szCs w:val="24"/>
        </w:rPr>
        <w:t>s</w:t>
      </w:r>
      <w:r w:rsidR="00B0116B" w:rsidRPr="0076280D">
        <w:rPr>
          <w:rFonts w:ascii="Times New Roman" w:hAnsi="Times New Roman" w:cs="Times New Roman"/>
          <w:szCs w:val="24"/>
        </w:rPr>
        <w:t xml:space="preserve"> the individual firm’s deviation from</w:t>
      </w:r>
      <w:r w:rsidR="00742F30">
        <w:rPr>
          <w:rFonts w:ascii="Times New Roman" w:hAnsi="Times New Roman" w:cs="Times New Roman"/>
          <w:szCs w:val="24"/>
        </w:rPr>
        <w:t xml:space="preserve"> the efficient cost frontier.</w:t>
      </w:r>
      <w:proofErr w:type="gramEnd"/>
      <w:r w:rsidR="00742F30">
        <w:rPr>
          <w:rFonts w:ascii="Times New Roman" w:hAnsi="Times New Roman" w:cs="Times New Roman"/>
          <w:szCs w:val="24"/>
        </w:rPr>
        <w:t xml:space="preserve"> It</w:t>
      </w:r>
      <w:r w:rsidR="00B0116B" w:rsidRPr="0076280D">
        <w:rPr>
          <w:rFonts w:ascii="Times New Roman" w:hAnsi="Times New Roman" w:cs="Times New Roman"/>
          <w:szCs w:val="24"/>
        </w:rPr>
        <w:t xml:space="preserve"> serves as a proxy for both technical and allocative inefficiency.</w:t>
      </w:r>
      <w:r w:rsidR="00742F30">
        <w:rPr>
          <w:rFonts w:ascii="Times New Roman" w:hAnsi="Times New Roman" w:cs="Times New Roman"/>
          <w:szCs w:val="24"/>
        </w:rPr>
        <w:t xml:space="preserve"> </w:t>
      </w:r>
      <w:r w:rsidR="00B0116B" w:rsidRPr="0076280D">
        <w:rPr>
          <w:rFonts w:ascii="Times New Roman" w:hAnsi="Times New Roman" w:cs="Times New Roman"/>
          <w:position w:val="-12"/>
          <w:szCs w:val="24"/>
        </w:rPr>
        <w:object w:dxaOrig="279" w:dyaOrig="360">
          <v:shape id="_x0000_i1030" type="#_x0000_t75" style="width:14.25pt;height:18pt" o:ole="">
            <v:imagedata r:id="rId20" o:title=""/>
          </v:shape>
          <o:OLEObject Type="Embed" ProgID="Equation.DSMT4" ShapeID="_x0000_i1030" DrawAspect="Content" ObjectID="_1394296511" r:id="rId21"/>
        </w:object>
      </w:r>
      <w:r w:rsidR="00742F30">
        <w:rPr>
          <w:rFonts w:ascii="Times New Roman" w:hAnsi="Times New Roman" w:cs="Times New Roman"/>
          <w:szCs w:val="24"/>
        </w:rPr>
        <w:t xml:space="preserve"> </w:t>
      </w:r>
      <w:proofErr w:type="gramStart"/>
      <w:r w:rsidR="00742F30">
        <w:rPr>
          <w:rFonts w:ascii="Times New Roman" w:hAnsi="Times New Roman" w:cs="Times New Roman"/>
          <w:szCs w:val="24"/>
        </w:rPr>
        <w:t>is</w:t>
      </w:r>
      <w:proofErr w:type="gramEnd"/>
      <w:r w:rsidR="00B0116B" w:rsidRPr="0076280D">
        <w:rPr>
          <w:rFonts w:ascii="Times New Roman" w:hAnsi="Times New Roman" w:cs="Times New Roman"/>
          <w:szCs w:val="24"/>
        </w:rPr>
        <w:t xml:space="preserve"> the logarithm </w:t>
      </w:r>
      <w:r w:rsidR="00742F30">
        <w:rPr>
          <w:rFonts w:ascii="Times New Roman" w:hAnsi="Times New Roman" w:cs="Times New Roman"/>
          <w:szCs w:val="24"/>
        </w:rPr>
        <w:t xml:space="preserve">of the observed cost of banks; </w:t>
      </w:r>
      <w:r w:rsidR="00B0116B" w:rsidRPr="0076280D">
        <w:rPr>
          <w:rFonts w:ascii="Times New Roman" w:hAnsi="Times New Roman" w:cs="Times New Roman"/>
          <w:position w:val="-12"/>
          <w:szCs w:val="24"/>
        </w:rPr>
        <w:object w:dxaOrig="260" w:dyaOrig="360">
          <v:shape id="_x0000_i1031" type="#_x0000_t75" style="width:12.75pt;height:18pt" o:ole="">
            <v:imagedata r:id="rId22" o:title=""/>
          </v:shape>
          <o:OLEObject Type="Embed" ProgID="Equation.DSMT4" ShapeID="_x0000_i1031" DrawAspect="Content" ObjectID="_1394296512" r:id="rId23"/>
        </w:object>
      </w:r>
      <w:r w:rsidR="00742F30">
        <w:rPr>
          <w:rFonts w:ascii="Times New Roman" w:hAnsi="Times New Roman" w:cs="Times New Roman"/>
          <w:szCs w:val="24"/>
        </w:rPr>
        <w:t xml:space="preserve">is a vector of outputs; </w:t>
      </w:r>
      <w:r w:rsidR="00B0116B" w:rsidRPr="0076280D">
        <w:rPr>
          <w:rFonts w:ascii="Times New Roman" w:hAnsi="Times New Roman" w:cs="Times New Roman"/>
          <w:position w:val="-12"/>
          <w:szCs w:val="24"/>
        </w:rPr>
        <w:object w:dxaOrig="260" w:dyaOrig="360">
          <v:shape id="_x0000_i1032" type="#_x0000_t75" style="width:12.75pt;height:18pt" o:ole="">
            <v:imagedata r:id="rId24" o:title=""/>
          </v:shape>
          <o:OLEObject Type="Embed" ProgID="Equation.DSMT4" ShapeID="_x0000_i1032" DrawAspect="Content" ObjectID="_1394296513" r:id="rId25"/>
        </w:object>
      </w:r>
      <w:r w:rsidR="00742F30">
        <w:rPr>
          <w:rFonts w:ascii="Times New Roman" w:hAnsi="Times New Roman" w:cs="Times New Roman"/>
          <w:szCs w:val="24"/>
        </w:rPr>
        <w:t>is</w:t>
      </w:r>
      <w:r w:rsidR="00B0116B" w:rsidRPr="0076280D">
        <w:rPr>
          <w:rFonts w:ascii="Times New Roman" w:hAnsi="Times New Roman" w:cs="Times New Roman"/>
          <w:szCs w:val="24"/>
        </w:rPr>
        <w:t xml:space="preserve"> a vector of input prices</w:t>
      </w:r>
      <w:r w:rsidR="00742F30">
        <w:rPr>
          <w:rFonts w:ascii="Times New Roman" w:hAnsi="Times New Roman" w:cs="Times New Roman"/>
          <w:szCs w:val="24"/>
        </w:rPr>
        <w:t>;</w:t>
      </w:r>
      <w:r w:rsidR="00B0116B" w:rsidRPr="0076280D">
        <w:rPr>
          <w:rFonts w:ascii="Times New Roman" w:hAnsi="Times New Roman" w:cs="Times New Roman"/>
          <w:b/>
          <w:position w:val="-10"/>
          <w:szCs w:val="24"/>
        </w:rPr>
        <w:object w:dxaOrig="240" w:dyaOrig="320">
          <v:shape id="_x0000_i1033" type="#_x0000_t75" style="width:12pt;height:15.75pt" o:ole="" o:bullet="t">
            <v:imagedata r:id="rId26" o:title=""/>
          </v:shape>
          <o:OLEObject Type="Embed" ProgID="Equation.3" ShapeID="_x0000_i1033" DrawAspect="Content" ObjectID="_1394296514" r:id="rId27"/>
        </w:object>
      </w:r>
      <w:r w:rsidR="00742F30">
        <w:rPr>
          <w:rFonts w:ascii="Times New Roman" w:hAnsi="Times New Roman" w:cs="Times New Roman"/>
          <w:szCs w:val="24"/>
        </w:rPr>
        <w:t xml:space="preserve"> is</w:t>
      </w:r>
      <w:r w:rsidR="00B0116B" w:rsidRPr="0076280D">
        <w:rPr>
          <w:rFonts w:ascii="Times New Roman" w:hAnsi="Times New Roman" w:cs="Times New Roman"/>
          <w:szCs w:val="24"/>
        </w:rPr>
        <w:t xml:space="preserve"> a vector of parameters.</w:t>
      </w:r>
      <w:r w:rsidR="00742F30">
        <w:rPr>
          <w:rFonts w:ascii="Times New Roman" w:hAnsi="Times New Roman" w:cs="Times New Roman"/>
          <w:szCs w:val="24"/>
        </w:rPr>
        <w:t xml:space="preserve"> The</w:t>
      </w:r>
      <w:r w:rsidR="00B0116B" w:rsidRPr="0076280D">
        <w:rPr>
          <w:rFonts w:ascii="Times New Roman" w:hAnsi="Times New Roman" w:cs="Times New Roman"/>
          <w:szCs w:val="24"/>
        </w:rPr>
        <w:t xml:space="preserve"> predicted log cost function of a cost-minimizing firm</w:t>
      </w:r>
      <w:r w:rsidR="00742F30">
        <w:rPr>
          <w:rFonts w:ascii="Times New Roman" w:hAnsi="Times New Roman" w:cs="Times New Roman"/>
          <w:szCs w:val="24"/>
        </w:rPr>
        <w:t>,</w:t>
      </w:r>
      <w:r w:rsidR="00B0116B" w:rsidRPr="0076280D">
        <w:rPr>
          <w:rFonts w:ascii="Times New Roman" w:hAnsi="Times New Roman" w:cs="Times New Roman"/>
          <w:szCs w:val="24"/>
        </w:rPr>
        <w:t xml:space="preserve"> </w:t>
      </w:r>
      <w:r w:rsidR="00742F30" w:rsidRPr="0076280D">
        <w:rPr>
          <w:rFonts w:ascii="Times New Roman" w:hAnsi="Times New Roman" w:cs="Times New Roman"/>
          <w:position w:val="-10"/>
          <w:szCs w:val="24"/>
        </w:rPr>
        <w:object w:dxaOrig="420" w:dyaOrig="340">
          <v:shape id="_x0000_i1034" type="#_x0000_t75" style="width:21pt;height:17.25pt" o:ole="" o:bullet="t">
            <v:imagedata r:id="rId28" o:title=""/>
          </v:shape>
          <o:OLEObject Type="Embed" ProgID="Equation.3" ShapeID="_x0000_i1034" DrawAspect="Content" ObjectID="_1394296515" r:id="rId29"/>
        </w:object>
      </w:r>
      <w:r w:rsidR="00742F30">
        <w:rPr>
          <w:rFonts w:ascii="Times New Roman" w:hAnsi="Times New Roman" w:cs="Times New Roman"/>
          <w:position w:val="-10"/>
          <w:szCs w:val="24"/>
        </w:rPr>
        <w:t xml:space="preserve"> </w:t>
      </w:r>
      <w:r w:rsidR="00742F30">
        <w:rPr>
          <w:rFonts w:ascii="Times New Roman" w:hAnsi="Times New Roman" w:cs="Times New Roman"/>
          <w:szCs w:val="24"/>
        </w:rPr>
        <w:t>is assumed to be op</w:t>
      </w:r>
      <w:r w:rsidR="00B0116B" w:rsidRPr="0076280D">
        <w:rPr>
          <w:rFonts w:ascii="Times New Roman" w:hAnsi="Times New Roman" w:cs="Times New Roman"/>
          <w:szCs w:val="24"/>
        </w:rPr>
        <w:t xml:space="preserve">erating at output level </w:t>
      </w:r>
      <w:r w:rsidR="00B0116B" w:rsidRPr="0076280D">
        <w:rPr>
          <w:rFonts w:ascii="Times New Roman" w:hAnsi="Times New Roman" w:cs="Times New Roman"/>
          <w:position w:val="-12"/>
          <w:szCs w:val="24"/>
        </w:rPr>
        <w:object w:dxaOrig="260" w:dyaOrig="360">
          <v:shape id="_x0000_i1035" type="#_x0000_t75" style="width:12.75pt;height:18pt" o:ole="">
            <v:imagedata r:id="rId22" o:title=""/>
          </v:shape>
          <o:OLEObject Type="Embed" ProgID="Equation.DSMT4" ShapeID="_x0000_i1035" DrawAspect="Content" ObjectID="_1394296516" r:id="rId30"/>
        </w:object>
      </w:r>
      <w:r w:rsidR="00B0116B" w:rsidRPr="0076280D">
        <w:rPr>
          <w:rFonts w:ascii="Times New Roman" w:hAnsi="Times New Roman" w:cs="Times New Roman"/>
          <w:szCs w:val="24"/>
        </w:rPr>
        <w:t xml:space="preserve"> and input prices</w:t>
      </w:r>
      <w:r w:rsidR="00B0116B" w:rsidRPr="0076280D">
        <w:rPr>
          <w:rFonts w:ascii="Times New Roman" w:hAnsi="Times New Roman" w:cs="Times New Roman"/>
          <w:position w:val="-12"/>
          <w:szCs w:val="24"/>
        </w:rPr>
        <w:object w:dxaOrig="260" w:dyaOrig="360">
          <v:shape id="_x0000_i1036" type="#_x0000_t75" style="width:12.75pt;height:18pt" o:ole="">
            <v:imagedata r:id="rId24" o:title=""/>
          </v:shape>
          <o:OLEObject Type="Embed" ProgID="Equation.DSMT4" ShapeID="_x0000_i1036" DrawAspect="Content" ObjectID="_1394296517" r:id="rId31"/>
        </w:object>
      </w:r>
      <w:r w:rsidR="00B0116B" w:rsidRPr="0076280D">
        <w:rPr>
          <w:rFonts w:ascii="Times New Roman" w:hAnsi="Times New Roman" w:cs="Times New Roman"/>
          <w:szCs w:val="24"/>
        </w:rPr>
        <w:t>.</w:t>
      </w:r>
      <w:r w:rsidR="00742F30">
        <w:rPr>
          <w:rFonts w:ascii="Times New Roman" w:hAnsi="Times New Roman" w:cs="Times New Roman"/>
          <w:szCs w:val="24"/>
        </w:rPr>
        <w:t xml:space="preserve"> </w:t>
      </w:r>
      <w:r w:rsidR="00B0116B" w:rsidRPr="0076280D">
        <w:rPr>
          <w:rFonts w:ascii="Times New Roman" w:hAnsi="Times New Roman" w:cs="Times New Roman"/>
          <w:szCs w:val="24"/>
        </w:rPr>
        <w:t xml:space="preserve">The basic SF model </w:t>
      </w:r>
      <w:r w:rsidR="00742F30">
        <w:rPr>
          <w:rFonts w:ascii="Times New Roman" w:hAnsi="Times New Roman" w:cs="Times New Roman"/>
          <w:szCs w:val="24"/>
        </w:rPr>
        <w:t xml:space="preserve">(1) </w:t>
      </w:r>
      <w:r w:rsidR="00B0116B" w:rsidRPr="0076280D">
        <w:rPr>
          <w:rFonts w:ascii="Times New Roman" w:hAnsi="Times New Roman" w:cs="Times New Roman"/>
          <w:szCs w:val="24"/>
        </w:rPr>
        <w:t>assumes that</w:t>
      </w:r>
      <w:r w:rsidR="00742F30">
        <w:rPr>
          <w:rFonts w:ascii="Times New Roman" w:hAnsi="Times New Roman" w:cs="Times New Roman"/>
          <w:szCs w:val="24"/>
        </w:rPr>
        <w:t xml:space="preserve"> the noise term</w:t>
      </w:r>
      <w:r w:rsidR="00B0116B" w:rsidRPr="0076280D">
        <w:rPr>
          <w:rFonts w:ascii="Times New Roman" w:hAnsi="Times New Roman" w:cs="Times New Roman"/>
          <w:szCs w:val="24"/>
        </w:rPr>
        <w:t xml:space="preserve"> </w:t>
      </w:r>
      <w:r w:rsidR="00B0116B" w:rsidRPr="0076280D">
        <w:rPr>
          <w:rFonts w:ascii="Times New Roman" w:hAnsi="Times New Roman" w:cs="Times New Roman"/>
          <w:position w:val="-12"/>
          <w:szCs w:val="24"/>
        </w:rPr>
        <w:object w:dxaOrig="240" w:dyaOrig="360">
          <v:shape id="_x0000_i1037" type="#_x0000_t75" style="width:12.75pt;height:18pt" o:ole="">
            <v:imagedata r:id="rId12" o:title=""/>
          </v:shape>
          <o:OLEObject Type="Embed" ProgID="Equation.3" ShapeID="_x0000_i1037" DrawAspect="Content" ObjectID="_1394296518" r:id="rId32"/>
        </w:object>
      </w:r>
      <w:r w:rsidR="00B0116B" w:rsidRPr="0076280D">
        <w:rPr>
          <w:rFonts w:ascii="Times New Roman" w:hAnsi="Times New Roman" w:cs="Times New Roman"/>
          <w:szCs w:val="24"/>
        </w:rPr>
        <w:t xml:space="preserve">is independently and identically distributed and </w:t>
      </w:r>
      <w:r w:rsidR="00B0116B" w:rsidRPr="0076280D">
        <w:rPr>
          <w:rFonts w:ascii="Times New Roman" w:hAnsi="Times New Roman" w:cs="Times New Roman"/>
          <w:position w:val="-12"/>
          <w:szCs w:val="24"/>
        </w:rPr>
        <w:object w:dxaOrig="240" w:dyaOrig="360">
          <v:shape id="_x0000_i1038" type="#_x0000_t75" style="width:12pt;height:18pt" o:ole="">
            <v:imagedata r:id="rId14" o:title=""/>
          </v:shape>
          <o:OLEObject Type="Embed" ProgID="Equation.3" ShapeID="_x0000_i1038" DrawAspect="Content" ObjectID="_1394296519" r:id="rId33"/>
        </w:object>
      </w:r>
      <w:r>
        <w:rPr>
          <w:rFonts w:ascii="Times New Roman" w:hAnsi="Times New Roman" w:cs="Times New Roman"/>
          <w:position w:val="-12"/>
          <w:szCs w:val="24"/>
        </w:rPr>
        <w:t xml:space="preserve"> </w:t>
      </w:r>
      <w:r w:rsidR="00B0116B" w:rsidRPr="0076280D">
        <w:rPr>
          <w:rFonts w:ascii="Times New Roman" w:hAnsi="Times New Roman" w:cs="Times New Roman"/>
          <w:szCs w:val="24"/>
        </w:rPr>
        <w:t xml:space="preserve">is distributed independently </w:t>
      </w:r>
      <w:proofErr w:type="gramStart"/>
      <w:r w:rsidR="00B0116B" w:rsidRPr="0076280D">
        <w:rPr>
          <w:rFonts w:ascii="Times New Roman" w:hAnsi="Times New Roman" w:cs="Times New Roman"/>
          <w:szCs w:val="24"/>
        </w:rPr>
        <w:t xml:space="preserve">of </w:t>
      </w:r>
      <w:proofErr w:type="gramEnd"/>
      <w:r w:rsidR="00B0116B" w:rsidRPr="0076280D">
        <w:rPr>
          <w:rFonts w:ascii="Times New Roman" w:hAnsi="Times New Roman" w:cs="Times New Roman"/>
          <w:position w:val="-12"/>
          <w:szCs w:val="24"/>
        </w:rPr>
        <w:object w:dxaOrig="240" w:dyaOrig="360">
          <v:shape id="_x0000_i1039" type="#_x0000_t75" style="width:12.75pt;height:18pt" o:ole="">
            <v:imagedata r:id="rId12" o:title=""/>
          </v:shape>
          <o:OLEObject Type="Embed" ProgID="Equation.3" ShapeID="_x0000_i1039" DrawAspect="Content" ObjectID="_1394296520" r:id="rId34"/>
        </w:object>
      </w:r>
      <w:r w:rsidR="00742F30">
        <w:rPr>
          <w:rFonts w:ascii="Times New Roman" w:hAnsi="Times New Roman" w:cs="Times New Roman"/>
          <w:szCs w:val="24"/>
        </w:rPr>
        <w:t>.  Further, it is</w:t>
      </w:r>
      <w:r w:rsidR="00B0116B" w:rsidRPr="0076280D">
        <w:rPr>
          <w:rFonts w:ascii="Times New Roman" w:hAnsi="Times New Roman" w:cs="Times New Roman"/>
          <w:szCs w:val="24"/>
        </w:rPr>
        <w:t xml:space="preserve"> assumed that </w:t>
      </w:r>
      <w:r w:rsidR="00B0116B" w:rsidRPr="0076280D">
        <w:rPr>
          <w:rFonts w:ascii="Times New Roman" w:hAnsi="Times New Roman" w:cs="Times New Roman"/>
          <w:position w:val="-12"/>
          <w:szCs w:val="24"/>
        </w:rPr>
        <w:object w:dxaOrig="240" w:dyaOrig="360">
          <v:shape id="_x0000_i1040" type="#_x0000_t75" style="width:12.75pt;height:18pt" o:ole="">
            <v:imagedata r:id="rId12" o:title=""/>
          </v:shape>
          <o:OLEObject Type="Embed" ProgID="Equation.3" ShapeID="_x0000_i1040" DrawAspect="Content" ObjectID="_1394296521" r:id="rId35"/>
        </w:object>
      </w:r>
      <w:r w:rsidR="00B0116B" w:rsidRPr="0076280D">
        <w:rPr>
          <w:rFonts w:ascii="Times New Roman" w:hAnsi="Times New Roman" w:cs="Times New Roman"/>
          <w:szCs w:val="24"/>
        </w:rPr>
        <w:t>is normally distributed with a mean zero and constant variance</w:t>
      </w:r>
      <w:proofErr w:type="gramStart"/>
      <w:r w:rsidR="00B0116B" w:rsidRPr="0076280D">
        <w:rPr>
          <w:rFonts w:ascii="Times New Roman" w:hAnsi="Times New Roman" w:cs="Times New Roman"/>
          <w:szCs w:val="24"/>
        </w:rPr>
        <w:t xml:space="preserve">, </w:t>
      </w:r>
      <w:proofErr w:type="gramEnd"/>
      <w:r w:rsidR="00B0116B" w:rsidRPr="0076280D">
        <w:rPr>
          <w:rFonts w:ascii="Times New Roman" w:hAnsi="Times New Roman" w:cs="Times New Roman"/>
          <w:position w:val="-12"/>
          <w:szCs w:val="24"/>
        </w:rPr>
        <w:object w:dxaOrig="1380" w:dyaOrig="380">
          <v:shape id="_x0000_i1041" type="#_x0000_t75" style="width:69pt;height:18.75pt" o:ole="">
            <v:imagedata r:id="rId36" o:title=""/>
          </v:shape>
          <o:OLEObject Type="Embed" ProgID="Equation.3" ShapeID="_x0000_i1041" DrawAspect="Content" ObjectID="_1394296522" r:id="rId37"/>
        </w:object>
      </w:r>
      <w:r w:rsidR="00B0116B" w:rsidRPr="0076280D">
        <w:rPr>
          <w:rFonts w:ascii="Times New Roman" w:hAnsi="Times New Roman" w:cs="Times New Roman"/>
          <w:szCs w:val="24"/>
        </w:rPr>
        <w:t xml:space="preserve">, and the </w:t>
      </w:r>
      <w:r w:rsidR="00B0116B" w:rsidRPr="0076280D">
        <w:rPr>
          <w:rFonts w:ascii="Times New Roman" w:hAnsi="Times New Roman" w:cs="Times New Roman"/>
          <w:position w:val="-12"/>
          <w:szCs w:val="24"/>
        </w:rPr>
        <w:object w:dxaOrig="240" w:dyaOrig="360">
          <v:shape id="_x0000_i1042" type="#_x0000_t75" style="width:12pt;height:18pt" o:ole="">
            <v:imagedata r:id="rId14" o:title=""/>
          </v:shape>
          <o:OLEObject Type="Embed" ProgID="Equation.3" ShapeID="_x0000_i1042" DrawAspect="Content" ObjectID="_1394296523" r:id="rId38"/>
        </w:object>
      </w:r>
      <w:r w:rsidR="00B0116B" w:rsidRPr="0076280D">
        <w:rPr>
          <w:rFonts w:ascii="Times New Roman" w:hAnsi="Times New Roman" w:cs="Times New Roman"/>
          <w:szCs w:val="24"/>
        </w:rPr>
        <w:t xml:space="preserve"> is half-normally distributed, meaning the </w:t>
      </w:r>
      <w:r w:rsidR="00B0116B" w:rsidRPr="0076280D">
        <w:rPr>
          <w:rFonts w:ascii="Times New Roman" w:hAnsi="Times New Roman" w:cs="Times New Roman"/>
          <w:position w:val="-12"/>
          <w:szCs w:val="24"/>
        </w:rPr>
        <w:object w:dxaOrig="240" w:dyaOrig="360">
          <v:shape id="_x0000_i1043" type="#_x0000_t75" style="width:12pt;height:18pt" o:ole="">
            <v:imagedata r:id="rId14" o:title=""/>
          </v:shape>
          <o:OLEObject Type="Embed" ProgID="Equation.3" ShapeID="_x0000_i1043" DrawAspect="Content" ObjectID="_1394296524" r:id="rId39"/>
        </w:object>
      </w:r>
      <w:r w:rsidR="00B0116B" w:rsidRPr="0076280D">
        <w:rPr>
          <w:rFonts w:ascii="Times New Roman" w:hAnsi="Times New Roman" w:cs="Times New Roman"/>
          <w:szCs w:val="24"/>
        </w:rPr>
        <w:t xml:space="preserve"> is the absolute value of a variable that is normally distributed with a mean zero and constant variance, </w:t>
      </w:r>
      <w:r w:rsidR="00B0116B" w:rsidRPr="0076280D">
        <w:rPr>
          <w:rFonts w:ascii="Times New Roman" w:hAnsi="Times New Roman" w:cs="Times New Roman"/>
          <w:position w:val="-16"/>
          <w:szCs w:val="24"/>
        </w:rPr>
        <w:object w:dxaOrig="1500" w:dyaOrig="440">
          <v:shape id="_x0000_i1044" type="#_x0000_t75" style="width:75pt;height:21.75pt" o:ole="">
            <v:imagedata r:id="rId40" o:title=""/>
          </v:shape>
          <o:OLEObject Type="Embed" ProgID="Equation.DSMT4" ShapeID="_x0000_i1044" DrawAspect="Content" ObjectID="_1394296525" r:id="rId41"/>
        </w:object>
      </w:r>
      <w:r w:rsidR="00B0116B" w:rsidRPr="0076280D">
        <w:rPr>
          <w:rFonts w:ascii="Times New Roman" w:hAnsi="Times New Roman" w:cs="Times New Roman"/>
          <w:szCs w:val="24"/>
        </w:rPr>
        <w:t xml:space="preserve">.  With these distributional assumptions, the basic stochastic econometric cost frontier model can be estimated using maximum likelihood techniques. Once the model is </w:t>
      </w:r>
      <w:r w:rsidR="00B0116B" w:rsidRPr="0076280D">
        <w:rPr>
          <w:rFonts w:ascii="Times New Roman" w:hAnsi="Times New Roman" w:cs="Times New Roman"/>
          <w:szCs w:val="24"/>
        </w:rPr>
        <w:lastRenderedPageBreak/>
        <w:t>estimated, inefficiency measures can be estimated using the conditional mean of the inefficiency term,</w:t>
      </w:r>
      <w:r w:rsidR="00B0116B" w:rsidRPr="0076280D">
        <w:rPr>
          <w:rFonts w:ascii="Times New Roman" w:hAnsi="Times New Roman" w:cs="Times New Roman"/>
          <w:position w:val="-12"/>
          <w:szCs w:val="24"/>
        </w:rPr>
        <w:object w:dxaOrig="240" w:dyaOrig="360">
          <v:shape id="_x0000_i1045" type="#_x0000_t75" style="width:12pt;height:18pt" o:ole="">
            <v:imagedata r:id="rId14" o:title=""/>
          </v:shape>
          <o:OLEObject Type="Embed" ProgID="Equation.3" ShapeID="_x0000_i1045" DrawAspect="Content" ObjectID="_1394296526" r:id="rId42"/>
        </w:object>
      </w:r>
      <w:proofErr w:type="gramStart"/>
      <w:r w:rsidR="00B0116B" w:rsidRPr="0076280D">
        <w:rPr>
          <w:rFonts w:ascii="Times New Roman" w:hAnsi="Times New Roman" w:cs="Times New Roman"/>
          <w:szCs w:val="24"/>
        </w:rPr>
        <w:t>,</w:t>
      </w:r>
      <w:proofErr w:type="gramEnd"/>
      <w:r w:rsidR="00B0116B" w:rsidRPr="0076280D">
        <w:rPr>
          <w:rFonts w:ascii="Times New Roman" w:hAnsi="Times New Roman" w:cs="Times New Roman"/>
          <w:szCs w:val="24"/>
        </w:rPr>
        <w:t xml:space="preserve"> as proposed by Jondrow et al. (1982) or Greene (1993).  A vast number of studies on measuring efficiency in banking rely on the basic stochastic cost efficiency frontier model (1) described above </w:t>
      </w:r>
      <w:r w:rsidR="00CD5E15">
        <w:rPr>
          <w:rFonts w:ascii="Times New Roman" w:hAnsi="Times New Roman" w:cs="Times New Roman"/>
          <w:szCs w:val="24"/>
        </w:rPr>
        <w:t xml:space="preserve">and use a “two-step” approach </w:t>
      </w:r>
      <w:r w:rsidR="00B0116B" w:rsidRPr="0076280D">
        <w:rPr>
          <w:rFonts w:ascii="Times New Roman" w:hAnsi="Times New Roman" w:cs="Times New Roman"/>
          <w:szCs w:val="24"/>
        </w:rPr>
        <w:t>(see Murray and White, 1983; Mester, 1987 and 1993; Cebenoyan, 1990; LeCompte and Smith, 1990; Berger and Humphrey, 1991; Weiss, 1991; Allen and Rai, 1996; Rai, 19</w:t>
      </w:r>
      <w:r w:rsidR="00CD5E15">
        <w:rPr>
          <w:rFonts w:ascii="Times New Roman" w:hAnsi="Times New Roman" w:cs="Times New Roman"/>
          <w:szCs w:val="24"/>
        </w:rPr>
        <w:t xml:space="preserve">96; </w:t>
      </w:r>
      <w:proofErr w:type="spellStart"/>
      <w:r w:rsidR="00CD5E15">
        <w:rPr>
          <w:rFonts w:ascii="Times New Roman" w:hAnsi="Times New Roman" w:cs="Times New Roman"/>
          <w:szCs w:val="24"/>
        </w:rPr>
        <w:t>Resti</w:t>
      </w:r>
      <w:proofErr w:type="spellEnd"/>
      <w:r w:rsidR="00CD5E15">
        <w:rPr>
          <w:rFonts w:ascii="Times New Roman" w:hAnsi="Times New Roman" w:cs="Times New Roman"/>
          <w:szCs w:val="24"/>
        </w:rPr>
        <w:t>, 1997; among others) and document that estimated cost efficiencies of banks are correlated with bank-specific as well as environmental factors.</w:t>
      </w:r>
    </w:p>
    <w:p w:rsidR="00B0116B" w:rsidRPr="0076280D" w:rsidRDefault="00FD1E24" w:rsidP="00A3644B">
      <w:pPr>
        <w:pStyle w:val="BodyTextIndent"/>
        <w:ind w:left="0" w:firstLine="720"/>
      </w:pPr>
      <w:r>
        <w:t xml:space="preserve">There are several issues </w:t>
      </w:r>
      <w:r w:rsidR="009D3B5D">
        <w:t>associated with</w:t>
      </w:r>
      <w:r>
        <w:t xml:space="preserve"> estimates of</w:t>
      </w:r>
      <w:r w:rsidR="00B0116B" w:rsidRPr="0076280D">
        <w:t xml:space="preserve"> standard stochastic econometric cost frontier model (the basic</w:t>
      </w:r>
      <w:r w:rsidR="009D3B5D">
        <w:t xml:space="preserve"> SF</w:t>
      </w:r>
      <w:r w:rsidR="00B0116B" w:rsidRPr="0076280D">
        <w:t xml:space="preserve"> model</w:t>
      </w:r>
      <w:r w:rsidR="00CD5E15">
        <w:t xml:space="preserve"> described above</w:t>
      </w:r>
      <w:r w:rsidR="00B0116B" w:rsidRPr="0076280D">
        <w:t>)</w:t>
      </w:r>
      <w:r>
        <w:t xml:space="preserve">. First, </w:t>
      </w:r>
      <w:r w:rsidR="00CD5E15">
        <w:t>the estimation</w:t>
      </w:r>
      <w:r w:rsidR="00EC1408">
        <w:t xml:space="preserve"> based on model (1)</w:t>
      </w:r>
      <w:r w:rsidR="009D3B5D">
        <w:t xml:space="preserve"> </w:t>
      </w:r>
      <w:r w:rsidR="00B0116B" w:rsidRPr="0076280D">
        <w:t xml:space="preserve">can lead to incorrect inferences because it doesn’t account for heteroskedasticity in the inefficiency component of the error term, </w:t>
      </w:r>
      <w:r w:rsidR="00B0116B" w:rsidRPr="0076280D">
        <w:rPr>
          <w:position w:val="-12"/>
        </w:rPr>
        <w:object w:dxaOrig="240" w:dyaOrig="360">
          <v:shape id="_x0000_i1046" type="#_x0000_t75" style="width:12pt;height:18pt" o:ole="">
            <v:imagedata r:id="rId14" o:title=""/>
          </v:shape>
          <o:OLEObject Type="Embed" ProgID="Equation.3" ShapeID="_x0000_i1046" DrawAspect="Content" ObjectID="_1394296527" r:id="rId43"/>
        </w:object>
      </w:r>
      <w:r w:rsidR="009D3B5D" w:rsidRPr="009D3B5D">
        <w:t xml:space="preserve"> </w:t>
      </w:r>
      <w:r w:rsidR="009D3B5D">
        <w:t>(e.g., Caudill and Ford (</w:t>
      </w:r>
      <w:r w:rsidR="009D3B5D" w:rsidRPr="0076280D">
        <w:t>1993</w:t>
      </w:r>
      <w:r w:rsidR="009D3B5D">
        <w:t>), Caudill, Ford, and Gropper (</w:t>
      </w:r>
      <w:r w:rsidR="009D3B5D" w:rsidRPr="0076280D">
        <w:t>1995</w:t>
      </w:r>
      <w:r w:rsidR="009D3B5D">
        <w:t>) and Mester (1997)</w:t>
      </w:r>
      <w:r w:rsidR="009D3B5D" w:rsidRPr="0076280D">
        <w:t xml:space="preserve">. </w:t>
      </w:r>
      <w:r w:rsidR="00B0116B" w:rsidRPr="0076280D">
        <w:t>Second, it is likely that the inefficiency error term (</w:t>
      </w:r>
      <w:r w:rsidR="00B0116B" w:rsidRPr="0076280D">
        <w:rPr>
          <w:position w:val="-12"/>
        </w:rPr>
        <w:object w:dxaOrig="240" w:dyaOrig="360">
          <v:shape id="_x0000_i1047" type="#_x0000_t75" style="width:12pt;height:18pt" o:ole="">
            <v:imagedata r:id="rId14" o:title=""/>
          </v:shape>
          <o:OLEObject Type="Embed" ProgID="Equation.3" ShapeID="_x0000_i1047" DrawAspect="Content" ObjectID="_1394296528" r:id="rId44"/>
        </w:object>
      </w:r>
      <w:r w:rsidR="00B0116B" w:rsidRPr="0076280D">
        <w:t xml:space="preserve">) depends on firm characteristics such as size, </w:t>
      </w:r>
      <w:r w:rsidR="00B14A1F">
        <w:t>equity-to-asset ratio, type of banks (Islamic or conventional banks</w:t>
      </w:r>
      <w:r w:rsidR="00D67FD4">
        <w:t>)</w:t>
      </w:r>
      <w:r w:rsidR="00B14A1F">
        <w:t xml:space="preserve">, </w:t>
      </w:r>
      <w:r w:rsidR="00B0116B" w:rsidRPr="0076280D">
        <w:t>ownership (private versus public</w:t>
      </w:r>
      <w:r w:rsidR="00B14A1F">
        <w:t>)</w:t>
      </w:r>
      <w:r w:rsidR="00B0116B" w:rsidRPr="0076280D">
        <w:t xml:space="preserve">, </w:t>
      </w:r>
      <w:r w:rsidR="00B14A1F">
        <w:t xml:space="preserve">loan quality, </w:t>
      </w:r>
      <w:r w:rsidR="00B0116B" w:rsidRPr="0076280D">
        <w:t xml:space="preserve">as well as </w:t>
      </w:r>
      <w:r w:rsidR="00B14A1F">
        <w:t>country-specific environmental factors</w:t>
      </w:r>
      <w:r w:rsidR="009D3B5D">
        <w:t xml:space="preserve">. Third, prior studies that estimate cost or profit efficiency using </w:t>
      </w:r>
      <w:r w:rsidR="00B0116B" w:rsidRPr="0076280D">
        <w:t xml:space="preserve">a two-step </w:t>
      </w:r>
      <w:r w:rsidR="00B0116B" w:rsidRPr="0076280D">
        <w:lastRenderedPageBreak/>
        <w:t>procedure</w:t>
      </w:r>
      <w:r w:rsidR="00CD5E15">
        <w:rPr>
          <w:rStyle w:val="FootnoteReference"/>
        </w:rPr>
        <w:footnoteReference w:id="12"/>
      </w:r>
      <w:r w:rsidR="009D3B5D">
        <w:t xml:space="preserve"> are likely to have produced</w:t>
      </w:r>
      <w:r w:rsidR="00B0116B" w:rsidRPr="0076280D">
        <w:t xml:space="preserve"> biased estimates (</w:t>
      </w:r>
      <w:r w:rsidR="009D3B5D">
        <w:t xml:space="preserve">e.g., </w:t>
      </w:r>
      <w:r w:rsidR="00B0116B" w:rsidRPr="0076280D">
        <w:t xml:space="preserve">Huang and Liu, 1994; </w:t>
      </w:r>
      <w:proofErr w:type="spellStart"/>
      <w:r w:rsidR="00B0116B" w:rsidRPr="0076280D">
        <w:t>Battese</w:t>
      </w:r>
      <w:proofErr w:type="spellEnd"/>
      <w:r w:rsidR="00B0116B" w:rsidRPr="0076280D">
        <w:t xml:space="preserve"> and </w:t>
      </w:r>
      <w:proofErr w:type="spellStart"/>
      <w:r w:rsidR="00B0116B" w:rsidRPr="0076280D">
        <w:t>Coelli</w:t>
      </w:r>
      <w:proofErr w:type="spellEnd"/>
      <w:r w:rsidR="00B0116B" w:rsidRPr="0076280D">
        <w:t>, 1995; Wang and Schmidt, 2002)</w:t>
      </w:r>
      <w:r w:rsidR="00820C92">
        <w:t>.</w:t>
      </w:r>
      <w:r w:rsidR="00B0116B" w:rsidRPr="0076280D">
        <w:rPr>
          <w:rStyle w:val="FootnoteReference"/>
        </w:rPr>
        <w:footnoteReference w:id="13"/>
      </w:r>
      <w:r w:rsidR="00B0116B" w:rsidRPr="0076280D">
        <w:t xml:space="preserve">  </w:t>
      </w:r>
    </w:p>
    <w:p w:rsidR="00B0116B" w:rsidRPr="00CD5E15" w:rsidRDefault="00B0116B" w:rsidP="00B0116B">
      <w:pPr>
        <w:pStyle w:val="BodyTextIndent"/>
        <w:ind w:left="0" w:firstLine="720"/>
      </w:pPr>
      <w:r w:rsidRPr="00CD5E15">
        <w:t>In the following section, we develop a generalized stochastic dynamic frontier model to account for heteroskedasticity in the inefficiency comp</w:t>
      </w:r>
      <w:r w:rsidR="00EC1408">
        <w:t xml:space="preserve">onent as well as </w:t>
      </w:r>
      <w:r w:rsidR="00CD5E15" w:rsidRPr="00CD5E15">
        <w:t>the error term</w:t>
      </w:r>
      <w:r w:rsidR="00D67FD4">
        <w:t>. T</w:t>
      </w:r>
      <w:r w:rsidR="00EC1408">
        <w:t xml:space="preserve">hen </w:t>
      </w:r>
      <w:r w:rsidR="00CD5E15" w:rsidRPr="00CD5E15">
        <w:t>we use</w:t>
      </w:r>
      <w:r w:rsidRPr="00CD5E15">
        <w:t xml:space="preserve"> a single-step estimation strategy to circumvent the above-mentioned problems associated with traditional SF models.</w:t>
      </w:r>
    </w:p>
    <w:p w:rsidR="00B0116B" w:rsidRPr="0076280D" w:rsidRDefault="008613C5" w:rsidP="00B0116B">
      <w:pPr>
        <w:pStyle w:val="BodyTextIndent"/>
        <w:ind w:left="0" w:firstLine="0"/>
        <w:rPr>
          <w:b/>
        </w:rPr>
      </w:pPr>
      <w:r>
        <w:rPr>
          <w:b/>
        </w:rPr>
        <w:t>4</w:t>
      </w:r>
      <w:r w:rsidR="00047730">
        <w:rPr>
          <w:b/>
        </w:rPr>
        <w:t>.1</w:t>
      </w:r>
      <w:r w:rsidR="00B0116B" w:rsidRPr="0076280D">
        <w:rPr>
          <w:b/>
        </w:rPr>
        <w:t xml:space="preserve"> Heteroskedastic Stochastic Frontier Model for Estimating Cost Efficiency</w:t>
      </w:r>
    </w:p>
    <w:p w:rsidR="00B0116B" w:rsidRPr="0076280D" w:rsidRDefault="00B0116B" w:rsidP="00B0116B">
      <w:pPr>
        <w:pStyle w:val="BodyTextIndent"/>
        <w:ind w:left="0" w:firstLine="720"/>
      </w:pPr>
      <w:r w:rsidRPr="0076280D">
        <w:t>In this study, we propose a two-equation generalized stochastic frontier model that accounts for heteroskedasticity</w:t>
      </w:r>
      <w:r w:rsidR="00820C92">
        <w:t>.</w:t>
      </w:r>
      <w:r w:rsidR="00820C92" w:rsidRPr="00820C92">
        <w:t xml:space="preserve"> </w:t>
      </w:r>
      <w:r w:rsidR="00820C92">
        <w:t>Consistent with</w:t>
      </w:r>
      <w:r w:rsidR="00820C92" w:rsidRPr="00820C92">
        <w:t xml:space="preserve"> </w:t>
      </w:r>
      <w:r w:rsidR="00820C92">
        <w:t>Battese and Coelli (</w:t>
      </w:r>
      <w:r w:rsidR="00820C92" w:rsidRPr="0076280D">
        <w:t>1995</w:t>
      </w:r>
      <w:r w:rsidR="00820C92">
        <w:t>) and Wang and Schmidt (</w:t>
      </w:r>
      <w:r w:rsidR="00820C92" w:rsidRPr="0076280D">
        <w:t>2002</w:t>
      </w:r>
      <w:r w:rsidR="00820C92">
        <w:t>) studies we follow</w:t>
      </w:r>
      <w:r w:rsidRPr="0076280D">
        <w:t xml:space="preserve"> the single-step estimation of the parameters of the cost function as follows:</w:t>
      </w:r>
    </w:p>
    <w:p w:rsidR="00B0116B" w:rsidRPr="0076280D" w:rsidRDefault="00B0116B" w:rsidP="00B0116B">
      <w:pPr>
        <w:pStyle w:val="BodyTextIndent"/>
        <w:ind w:left="0" w:firstLine="0"/>
      </w:pPr>
      <w:r w:rsidRPr="0076280D">
        <w:rPr>
          <w:position w:val="-12"/>
        </w:rPr>
        <w:object w:dxaOrig="2659" w:dyaOrig="360">
          <v:shape id="_x0000_i1048" type="#_x0000_t75" style="width:132.75pt;height:18pt" o:ole="">
            <v:imagedata r:id="rId45" o:title=""/>
          </v:shape>
          <o:OLEObject Type="Embed" ProgID="Equation.3" ShapeID="_x0000_i1048" DrawAspect="Content" ObjectID="_1394296529" r:id="rId46"/>
        </w:object>
      </w:r>
      <w:r w:rsidRPr="0076280D">
        <w:t>,</w:t>
      </w:r>
      <w:r w:rsidRPr="0076280D">
        <w:tab/>
        <w:t>and</w:t>
      </w:r>
      <w:r w:rsidRPr="0076280D">
        <w:tab/>
      </w:r>
      <w:r w:rsidRPr="0076280D">
        <w:tab/>
        <w:t xml:space="preserve">     </w:t>
      </w:r>
      <w:r w:rsidRPr="0076280D">
        <w:tab/>
      </w:r>
      <w:r w:rsidRPr="0076280D">
        <w:tab/>
      </w:r>
      <w:r w:rsidRPr="0076280D">
        <w:tab/>
        <w:t xml:space="preserve">       </w:t>
      </w:r>
      <w:r w:rsidRPr="0076280D">
        <w:tab/>
      </w:r>
      <w:r w:rsidRPr="0076280D">
        <w:tab/>
        <w:t xml:space="preserve">  (2.1)</w:t>
      </w:r>
    </w:p>
    <w:p w:rsidR="00B0116B" w:rsidRPr="0076280D" w:rsidRDefault="00B0116B" w:rsidP="00B0116B">
      <w:pPr>
        <w:pStyle w:val="BodyTextIndent"/>
        <w:ind w:left="0" w:firstLine="720"/>
      </w:pPr>
      <w:r w:rsidRPr="0076280D">
        <w:rPr>
          <w:position w:val="-12"/>
        </w:rPr>
        <w:object w:dxaOrig="1719" w:dyaOrig="400">
          <v:shape id="_x0000_i1049" type="#_x0000_t75" style="width:86.25pt;height:20.25pt" o:ole="">
            <v:imagedata r:id="rId47" o:title=""/>
          </v:shape>
          <o:OLEObject Type="Embed" ProgID="Equation.3" ShapeID="_x0000_i1049" DrawAspect="Content" ObjectID="_1394296530" r:id="rId48"/>
        </w:object>
      </w:r>
      <w:r w:rsidRPr="0076280D">
        <w:tab/>
      </w:r>
      <w:r w:rsidRPr="0076280D">
        <w:tab/>
      </w:r>
      <w:r w:rsidRPr="0076280D">
        <w:tab/>
      </w:r>
      <w:r w:rsidRPr="0076280D">
        <w:tab/>
        <w:t xml:space="preserve">         </w:t>
      </w:r>
      <w:r w:rsidRPr="0076280D">
        <w:rPr>
          <w:lang w:eastAsia="zh-TW"/>
        </w:rPr>
        <w:tab/>
      </w:r>
      <w:r w:rsidRPr="0076280D">
        <w:rPr>
          <w:lang w:eastAsia="zh-TW"/>
        </w:rPr>
        <w:tab/>
      </w:r>
      <w:r w:rsidRPr="0076280D">
        <w:rPr>
          <w:lang w:eastAsia="zh-TW"/>
        </w:rPr>
        <w:tab/>
      </w:r>
      <w:r w:rsidRPr="0076280D">
        <w:rPr>
          <w:lang w:eastAsia="zh-TW"/>
        </w:rPr>
        <w:tab/>
        <w:t xml:space="preserve">  </w:t>
      </w:r>
      <w:r w:rsidRPr="0076280D">
        <w:t>(2.2)</w:t>
      </w:r>
    </w:p>
    <w:p w:rsidR="00B0116B" w:rsidRPr="0076280D" w:rsidRDefault="00B0116B" w:rsidP="00B0116B">
      <w:pPr>
        <w:pStyle w:val="BodyTextIndent"/>
        <w:ind w:left="0" w:firstLine="720"/>
      </w:pPr>
      <w:r w:rsidRPr="0076280D">
        <w:rPr>
          <w:position w:val="-12"/>
        </w:rPr>
        <w:object w:dxaOrig="1640" w:dyaOrig="400">
          <v:shape id="_x0000_i1050" type="#_x0000_t75" style="width:81.75pt;height:20.25pt" o:ole="">
            <v:imagedata r:id="rId49" o:title=""/>
          </v:shape>
          <o:OLEObject Type="Embed" ProgID="Equation.3" ShapeID="_x0000_i1050" DrawAspect="Content" ObjectID="_1394296531" r:id="rId50"/>
        </w:object>
      </w:r>
      <w:r w:rsidRPr="0076280D">
        <w:t xml:space="preserve">            </w:t>
      </w:r>
      <w:r w:rsidR="00820C92">
        <w:rPr>
          <w:lang w:eastAsia="zh-TW"/>
        </w:rPr>
        <w:tab/>
      </w:r>
      <w:r w:rsidR="00820C92">
        <w:rPr>
          <w:lang w:eastAsia="zh-TW"/>
        </w:rPr>
        <w:tab/>
      </w:r>
      <w:r w:rsidR="00820C92">
        <w:rPr>
          <w:lang w:eastAsia="zh-TW"/>
        </w:rPr>
        <w:tab/>
      </w:r>
      <w:r w:rsidR="00820C92">
        <w:rPr>
          <w:lang w:eastAsia="zh-TW"/>
        </w:rPr>
        <w:tab/>
      </w:r>
      <w:r w:rsidR="00820C92">
        <w:rPr>
          <w:lang w:eastAsia="zh-TW"/>
        </w:rPr>
        <w:tab/>
        <w:t xml:space="preserve">        </w:t>
      </w:r>
      <w:r w:rsidR="00820C92">
        <w:rPr>
          <w:lang w:eastAsia="zh-TW"/>
        </w:rPr>
        <w:tab/>
        <w:t xml:space="preserve">  </w:t>
      </w:r>
      <w:r w:rsidRPr="0076280D">
        <w:t>(2.3)</w:t>
      </w:r>
    </w:p>
    <w:p w:rsidR="00B0116B" w:rsidRPr="0076280D" w:rsidRDefault="00B0116B" w:rsidP="00B0116B">
      <w:pPr>
        <w:pStyle w:val="BodyTextIndent"/>
        <w:ind w:left="0" w:firstLine="720"/>
        <w:rPr>
          <w:lang w:eastAsia="zh-TW"/>
        </w:rPr>
      </w:pPr>
      <w:r w:rsidRPr="0076280D">
        <w:rPr>
          <w:position w:val="-12"/>
          <w:lang w:eastAsia="zh-TW"/>
        </w:rPr>
        <w:object w:dxaOrig="999" w:dyaOrig="360">
          <v:shape id="_x0000_i1051" type="#_x0000_t75" style="width:50.25pt;height:18pt" o:ole="">
            <v:imagedata r:id="rId51" o:title=""/>
          </v:shape>
          <o:OLEObject Type="Embed" ProgID="Equation.3" ShapeID="_x0000_i1051" DrawAspect="Content" ObjectID="_1394296532" r:id="rId52"/>
        </w:object>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t xml:space="preserve">  </w:t>
      </w:r>
      <w:r w:rsidR="00672AEE" w:rsidRPr="0076280D">
        <w:rPr>
          <w:lang w:eastAsia="zh-TW"/>
        </w:rPr>
        <w:t xml:space="preserve">            </w:t>
      </w:r>
      <w:r w:rsidRPr="0076280D">
        <w:rPr>
          <w:lang w:eastAsia="zh-TW"/>
        </w:rPr>
        <w:t xml:space="preserve"> (2.4)</w:t>
      </w:r>
    </w:p>
    <w:p w:rsidR="00B0116B" w:rsidRPr="0076280D" w:rsidRDefault="00B0116B" w:rsidP="00B0116B">
      <w:pPr>
        <w:pStyle w:val="BodyTextIndent"/>
        <w:ind w:left="0" w:firstLine="720"/>
        <w:rPr>
          <w:lang w:eastAsia="zh-TW"/>
        </w:rPr>
      </w:pPr>
      <w:r w:rsidRPr="0076280D">
        <w:rPr>
          <w:position w:val="-12"/>
        </w:rPr>
        <w:object w:dxaOrig="1660" w:dyaOrig="380">
          <v:shape id="_x0000_i1052" type="#_x0000_t75" style="width:83.25pt;height:18.75pt" o:ole="">
            <v:imagedata r:id="rId53" o:title=""/>
          </v:shape>
          <o:OLEObject Type="Embed" ProgID="Equation.3" ShapeID="_x0000_i1052" DrawAspect="Content" ObjectID="_1394296533" r:id="rId54"/>
        </w:object>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00672AEE" w:rsidRPr="0076280D">
        <w:rPr>
          <w:lang w:eastAsia="zh-TW"/>
        </w:rPr>
        <w:t xml:space="preserve">               </w:t>
      </w:r>
      <w:r w:rsidRPr="0076280D">
        <w:rPr>
          <w:lang w:eastAsia="zh-TW"/>
        </w:rPr>
        <w:t>(2.5)</w:t>
      </w:r>
    </w:p>
    <w:p w:rsidR="00B0116B" w:rsidRPr="0076280D" w:rsidRDefault="00B0116B" w:rsidP="00B0116B">
      <w:pPr>
        <w:pStyle w:val="BodyTextIndent"/>
        <w:ind w:left="0" w:firstLine="720"/>
        <w:rPr>
          <w:lang w:eastAsia="zh-TW"/>
        </w:rPr>
      </w:pPr>
      <w:r w:rsidRPr="0076280D">
        <w:rPr>
          <w:position w:val="-12"/>
        </w:rPr>
        <w:object w:dxaOrig="1620" w:dyaOrig="380">
          <v:shape id="_x0000_i1053" type="#_x0000_t75" style="width:81pt;height:18.75pt" o:ole="">
            <v:imagedata r:id="rId55" o:title=""/>
          </v:shape>
          <o:OLEObject Type="Embed" ProgID="Equation.3" ShapeID="_x0000_i1053" DrawAspect="Content" ObjectID="_1394296534" r:id="rId56"/>
        </w:object>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00672AEE" w:rsidRPr="0076280D">
        <w:rPr>
          <w:lang w:eastAsia="zh-TW"/>
        </w:rPr>
        <w:t xml:space="preserve">               </w:t>
      </w:r>
      <w:r w:rsidRPr="0076280D">
        <w:rPr>
          <w:lang w:eastAsia="zh-TW"/>
        </w:rPr>
        <w:t>(2.6)</w:t>
      </w:r>
    </w:p>
    <w:p w:rsidR="00B0116B" w:rsidRPr="0076280D" w:rsidRDefault="00D67FD4" w:rsidP="00F6493B">
      <w:pPr>
        <w:autoSpaceDE w:val="0"/>
        <w:autoSpaceDN w:val="0"/>
        <w:adjustRightInd w:val="0"/>
        <w:rPr>
          <w:rFonts w:ascii="Times New Roman" w:hAnsi="Times New Roman" w:cs="Times New Roman"/>
          <w:szCs w:val="24"/>
        </w:rPr>
      </w:pPr>
      <w:r>
        <w:rPr>
          <w:rFonts w:ascii="Times New Roman" w:hAnsi="Times New Roman" w:cs="Times New Roman"/>
          <w:szCs w:val="24"/>
        </w:rPr>
        <w:t>W</w:t>
      </w:r>
      <w:r w:rsidR="00B0116B" w:rsidRPr="0076280D">
        <w:rPr>
          <w:rFonts w:ascii="Times New Roman" w:hAnsi="Times New Roman" w:cs="Times New Roman"/>
          <w:szCs w:val="24"/>
        </w:rPr>
        <w:t>here z</w:t>
      </w:r>
      <w:r w:rsidR="00B0116B" w:rsidRPr="0076280D">
        <w:rPr>
          <w:rFonts w:ascii="Times New Roman" w:hAnsi="Times New Roman" w:cs="Times New Roman"/>
          <w:szCs w:val="24"/>
          <w:vertAlign w:val="subscript"/>
        </w:rPr>
        <w:t>it</w:t>
      </w:r>
      <w:r w:rsidR="00B0116B" w:rsidRPr="0076280D">
        <w:rPr>
          <w:rFonts w:ascii="Times New Roman" w:hAnsi="Times New Roman" w:cs="Times New Roman"/>
          <w:szCs w:val="24"/>
        </w:rPr>
        <w:t xml:space="preserve"> is a broad set of bank-specific </w:t>
      </w:r>
      <w:proofErr w:type="gramStart"/>
      <w:r w:rsidR="00B0116B" w:rsidRPr="0076280D">
        <w:rPr>
          <w:rFonts w:ascii="Times New Roman" w:hAnsi="Times New Roman" w:cs="Times New Roman"/>
          <w:szCs w:val="24"/>
        </w:rPr>
        <w:t>factors  and</w:t>
      </w:r>
      <w:proofErr w:type="gramEnd"/>
      <w:r w:rsidR="00B0116B" w:rsidRPr="0076280D">
        <w:rPr>
          <w:rFonts w:ascii="Times New Roman" w:hAnsi="Times New Roman" w:cs="Times New Roman"/>
          <w:szCs w:val="24"/>
        </w:rPr>
        <w:t xml:space="preserve"> α, ω and θ are corr</w:t>
      </w:r>
      <w:r w:rsidR="00F6493B" w:rsidRPr="0076280D">
        <w:rPr>
          <w:rFonts w:ascii="Times New Roman" w:hAnsi="Times New Roman" w:cs="Times New Roman"/>
          <w:szCs w:val="24"/>
        </w:rPr>
        <w:t>esponding coefficient vectors</w:t>
      </w:r>
      <w:r>
        <w:rPr>
          <w:rFonts w:ascii="Times New Roman" w:hAnsi="Times New Roman" w:cs="Times New Roman"/>
          <w:szCs w:val="24"/>
        </w:rPr>
        <w:t>.</w:t>
      </w:r>
    </w:p>
    <w:p w:rsidR="00B0116B" w:rsidRPr="0076280D" w:rsidRDefault="00B0116B" w:rsidP="005A0A33">
      <w:pPr>
        <w:pStyle w:val="BodyTextIndent"/>
        <w:ind w:left="0" w:firstLine="480"/>
      </w:pPr>
      <w:r w:rsidRPr="0076280D">
        <w:t>Our generalized stochastic dynamic model</w:t>
      </w:r>
      <w:r w:rsidR="00D67FD4">
        <w:t>,</w:t>
      </w:r>
      <w:r w:rsidRPr="0076280D">
        <w:t xml:space="preserve"> which aim</w:t>
      </w:r>
      <w:r w:rsidR="00820C92">
        <w:t>s</w:t>
      </w:r>
      <w:r w:rsidRPr="0076280D">
        <w:t xml:space="preserve"> at minimizing model mis-specifications</w:t>
      </w:r>
      <w:r w:rsidR="00820C92">
        <w:t xml:space="preserve"> differs from</w:t>
      </w:r>
      <w:r w:rsidR="00ED28C5" w:rsidRPr="00ED28C5">
        <w:t xml:space="preserve"> </w:t>
      </w:r>
      <w:r w:rsidR="00ED28C5">
        <w:t>Battese and Coelli (</w:t>
      </w:r>
      <w:r w:rsidR="00ED28C5" w:rsidRPr="0076280D">
        <w:t>1995</w:t>
      </w:r>
      <w:r w:rsidR="00ED28C5">
        <w:t>) and</w:t>
      </w:r>
      <w:r w:rsidRPr="0076280D">
        <w:rPr>
          <w:lang w:eastAsia="zh-TW"/>
        </w:rPr>
        <w:t xml:space="preserve"> Wang and Schmidt (2002) </w:t>
      </w:r>
      <w:r w:rsidR="00ED28C5">
        <w:rPr>
          <w:lang w:eastAsia="zh-TW"/>
        </w:rPr>
        <w:t>in two ways</w:t>
      </w:r>
      <w:r w:rsidRPr="0076280D">
        <w:rPr>
          <w:lang w:eastAsia="zh-TW"/>
        </w:rPr>
        <w:t>.</w:t>
      </w:r>
      <w:r w:rsidR="00ED28C5">
        <w:t xml:space="preserve"> First, we incorporate the firm-specific </w:t>
      </w:r>
      <w:r w:rsidRPr="0076280D">
        <w:t xml:space="preserve">time effects in the model using a cross-sectional time series or panel data. The </w:t>
      </w:r>
      <w:r w:rsidRPr="0076280D">
        <w:rPr>
          <w:position w:val="-12"/>
        </w:rPr>
        <w:object w:dxaOrig="300" w:dyaOrig="360">
          <v:shape id="_x0000_i1054" type="#_x0000_t75" style="width:15pt;height:18pt" o:ole="">
            <v:imagedata r:id="rId57" o:title=""/>
          </v:shape>
          <o:OLEObject Type="Embed" ProgID="Equation.3" ShapeID="_x0000_i1054" DrawAspect="Content" ObjectID="_1394296535" r:id="rId58"/>
        </w:object>
      </w:r>
      <w:r w:rsidRPr="0076280D">
        <w:t xml:space="preserve">vector in the </w:t>
      </w:r>
      <w:r w:rsidRPr="0076280D">
        <w:rPr>
          <w:lang w:eastAsia="zh-TW"/>
        </w:rPr>
        <w:t>Equation (2.4)</w:t>
      </w:r>
      <w:r w:rsidRPr="0076280D">
        <w:t xml:space="preserve"> represents a wide range of factors including firm-specific factors (Mester, 1993; Allen and Rai, 1996; Rai, 996; Miller and </w:t>
      </w:r>
      <w:proofErr w:type="spellStart"/>
      <w:r w:rsidRPr="0076280D">
        <w:t>Noulas</w:t>
      </w:r>
      <w:proofErr w:type="spellEnd"/>
      <w:r w:rsidRPr="0076280D">
        <w:t>, 1997; Shao and Lin, 2000).</w:t>
      </w:r>
      <w:r w:rsidR="00ED28C5">
        <w:rPr>
          <w:rStyle w:val="FootnoteReference"/>
        </w:rPr>
        <w:footnoteReference w:id="14"/>
      </w:r>
      <w:r w:rsidRPr="0076280D">
        <w:t xml:space="preserve"> </w:t>
      </w:r>
      <w:r w:rsidR="00ED28C5">
        <w:t>Second, we</w:t>
      </w:r>
      <w:r w:rsidRPr="0076280D">
        <w:t xml:space="preserve"> use a flexible distribution </w:t>
      </w:r>
      <w:r w:rsidRPr="009322CF">
        <w:t>(see equation</w:t>
      </w:r>
      <w:r w:rsidRPr="009322CF">
        <w:rPr>
          <w:lang w:eastAsia="zh-TW"/>
        </w:rPr>
        <w:t>s 2.2 to 2.6</w:t>
      </w:r>
      <w:r w:rsidRPr="009322CF">
        <w:t>) for</w:t>
      </w:r>
      <w:r w:rsidRPr="00EC1408">
        <w:t xml:space="preserve"> the inefficiency component of the error term (</w:t>
      </w:r>
      <w:r w:rsidRPr="00EC1408">
        <w:rPr>
          <w:position w:val="-12"/>
        </w:rPr>
        <w:object w:dxaOrig="279" w:dyaOrig="360">
          <v:shape id="_x0000_i1055" type="#_x0000_t75" style="width:14.25pt;height:18pt" o:ole="">
            <v:imagedata r:id="rId59" o:title=""/>
          </v:shape>
          <o:OLEObject Type="Embed" ProgID="Equation.DSMT4" ShapeID="_x0000_i1055" DrawAspect="Content" ObjectID="_1394296536" r:id="rId60"/>
        </w:object>
      </w:r>
      <w:r w:rsidRPr="00EC1408">
        <w:t>) to account for</w:t>
      </w:r>
      <w:r w:rsidRPr="0076280D">
        <w:t xml:space="preserve"> </w:t>
      </w:r>
      <w:proofErr w:type="spellStart"/>
      <w:r w:rsidRPr="0076280D">
        <w:t>heteroskedasticity</w:t>
      </w:r>
      <w:proofErr w:type="spellEnd"/>
      <w:r w:rsidRPr="0076280D">
        <w:t xml:space="preserve"> in </w:t>
      </w:r>
      <w:r w:rsidRPr="0076280D">
        <w:rPr>
          <w:position w:val="-12"/>
        </w:rPr>
        <w:object w:dxaOrig="279" w:dyaOrig="360">
          <v:shape id="_x0000_i1056" type="#_x0000_t75" style="width:14.25pt;height:18pt" o:ole="">
            <v:imagedata r:id="rId59" o:title=""/>
          </v:shape>
          <o:OLEObject Type="Embed" ProgID="Equation.DSMT4" ShapeID="_x0000_i1056" DrawAspect="Content" ObjectID="_1394296537" r:id="rId61"/>
        </w:object>
      </w:r>
      <w:r w:rsidRPr="0076280D">
        <w:rPr>
          <w:lang w:eastAsia="zh-TW"/>
        </w:rPr>
        <w:t xml:space="preserve"> </w:t>
      </w:r>
      <w:proofErr w:type="gramStart"/>
      <w:r w:rsidRPr="0076280D">
        <w:rPr>
          <w:lang w:eastAsia="zh-TW"/>
        </w:rPr>
        <w:t xml:space="preserve">and </w:t>
      </w:r>
      <w:proofErr w:type="gramEnd"/>
      <w:r w:rsidRPr="0076280D">
        <w:rPr>
          <w:position w:val="-12"/>
          <w:lang w:eastAsia="zh-TW"/>
        </w:rPr>
        <w:object w:dxaOrig="279" w:dyaOrig="360">
          <v:shape id="_x0000_i1057" type="#_x0000_t75" style="width:14.25pt;height:18pt" o:ole="">
            <v:imagedata r:id="rId62" o:title=""/>
          </v:shape>
          <o:OLEObject Type="Embed" ProgID="Equation.3" ShapeID="_x0000_i1057" DrawAspect="Content" ObjectID="_1394296538" r:id="rId63"/>
        </w:object>
      </w:r>
      <w:r w:rsidRPr="0076280D">
        <w:rPr>
          <w:lang w:eastAsia="zh-TW"/>
        </w:rPr>
        <w:t>.</w:t>
      </w:r>
      <w:r w:rsidRPr="0076280D">
        <w:t xml:space="preserve"> While heteroskedasticity may only affect estimation efficiency in a linear regression model, it leads to biased estimates in the SF model because part of the error term (</w:t>
      </w:r>
      <w:r w:rsidRPr="0076280D">
        <w:rPr>
          <w:position w:val="-12"/>
        </w:rPr>
        <w:object w:dxaOrig="279" w:dyaOrig="360">
          <v:shape id="_x0000_i1058" type="#_x0000_t75" style="width:14.25pt;height:18pt" o:ole="">
            <v:imagedata r:id="rId59" o:title=""/>
          </v:shape>
          <o:OLEObject Type="Embed" ProgID="Equation.DSMT4" ShapeID="_x0000_i1058" DrawAspect="Content" ObjectID="_1394296539" r:id="rId64"/>
        </w:object>
      </w:r>
      <w:r w:rsidRPr="0076280D">
        <w:t xml:space="preserve">) is asymmetrically distributed (e.g., Caudill and Ford, 1993; Caudill, Ford, and Gropper, 1995).  In our </w:t>
      </w:r>
      <w:r w:rsidRPr="0076280D">
        <w:rPr>
          <w:lang w:eastAsia="zh-TW"/>
        </w:rPr>
        <w:t>equation</w:t>
      </w:r>
      <w:r w:rsidRPr="0076280D">
        <w:t xml:space="preserve"> (</w:t>
      </w:r>
      <w:r w:rsidRPr="0076280D">
        <w:rPr>
          <w:lang w:eastAsia="zh-TW"/>
        </w:rPr>
        <w:t>2.2</w:t>
      </w:r>
      <w:r w:rsidRPr="0076280D">
        <w:t xml:space="preserve">), </w:t>
      </w:r>
      <w:r w:rsidRPr="0076280D">
        <w:rPr>
          <w:position w:val="-12"/>
        </w:rPr>
        <w:object w:dxaOrig="279" w:dyaOrig="360">
          <v:shape id="_x0000_i1059" type="#_x0000_t75" style="width:14.25pt;height:18pt" o:ole="">
            <v:imagedata r:id="rId59" o:title=""/>
          </v:shape>
          <o:OLEObject Type="Embed" ProgID="Equation.DSMT4" ShapeID="_x0000_i1059" DrawAspect="Content" ObjectID="_1394296540" r:id="rId65"/>
        </w:object>
      </w:r>
      <w:r w:rsidRPr="0076280D">
        <w:t xml:space="preserve">has a truncated normal distribution with a non-constant variance. The variance of </w:t>
      </w:r>
      <w:r w:rsidRPr="0076280D">
        <w:rPr>
          <w:position w:val="-12"/>
        </w:rPr>
        <w:object w:dxaOrig="279" w:dyaOrig="360">
          <v:shape id="_x0000_i1060" type="#_x0000_t75" style="width:14.25pt;height:18pt" o:ole="">
            <v:imagedata r:id="rId59" o:title=""/>
          </v:shape>
          <o:OLEObject Type="Embed" ProgID="Equation.DSMT4" ShapeID="_x0000_i1060" DrawAspect="Content" ObjectID="_1394296541" r:id="rId66"/>
        </w:object>
      </w:r>
      <w:r w:rsidRPr="0076280D">
        <w:t xml:space="preserve">is a function of firm-specific variables and it varies with time. Thus, our model allows the variance of </w:t>
      </w:r>
      <w:r w:rsidRPr="0076280D">
        <w:rPr>
          <w:position w:val="-12"/>
        </w:rPr>
        <w:object w:dxaOrig="279" w:dyaOrig="360">
          <v:shape id="_x0000_i1061" type="#_x0000_t75" style="width:14.25pt;height:18pt" o:ole="">
            <v:imagedata r:id="rId59" o:title=""/>
          </v:shape>
          <o:OLEObject Type="Embed" ProgID="Equation.DSMT4" ShapeID="_x0000_i1061" DrawAspect="Content" ObjectID="_1394296542" r:id="rId67"/>
        </w:object>
      </w:r>
      <w:r w:rsidRPr="0076280D">
        <w:t xml:space="preserve"> to be observation-specific. The specification of our model based on equations (2</w:t>
      </w:r>
      <w:r w:rsidRPr="0076280D">
        <w:rPr>
          <w:lang w:eastAsia="zh-TW"/>
        </w:rPr>
        <w:t>.1</w:t>
      </w:r>
      <w:r w:rsidRPr="0076280D">
        <w:t>)</w:t>
      </w:r>
      <w:r w:rsidRPr="0076280D">
        <w:rPr>
          <w:lang w:eastAsia="zh-TW"/>
        </w:rPr>
        <w:t xml:space="preserve"> to (2.6)</w:t>
      </w:r>
      <w:r w:rsidR="00D67FD4">
        <w:rPr>
          <w:lang w:eastAsia="zh-TW"/>
        </w:rPr>
        <w:t>,</w:t>
      </w:r>
      <w:r w:rsidRPr="0076280D">
        <w:rPr>
          <w:color w:val="17365D"/>
          <w:lang w:eastAsia="zh-TW"/>
        </w:rPr>
        <w:t xml:space="preserve"> </w:t>
      </w:r>
      <w:r w:rsidRPr="0076280D">
        <w:t>represents an important and significant depar</w:t>
      </w:r>
      <w:r w:rsidR="00ED28C5">
        <w:t xml:space="preserve">ture from the previous research. </w:t>
      </w:r>
      <w:r w:rsidRPr="0076280D">
        <w:t>In particular, our approach makes the inefficiency measure a dynamic and stochastic variable.</w:t>
      </w:r>
      <w:r w:rsidR="00D67FD4">
        <w:t xml:space="preserve"> T</w:t>
      </w:r>
      <w:r w:rsidRPr="0076280D">
        <w:t xml:space="preserve">he model allows us to use panel data at the firm-level to study if and how the cost inefficiency responds to the elements </w:t>
      </w:r>
      <w:r w:rsidR="009322CF" w:rsidRPr="0076280D">
        <w:t>of</w:t>
      </w:r>
      <w:r w:rsidRPr="0076280D">
        <w:rPr>
          <w:position w:val="-12"/>
        </w:rPr>
        <w:object w:dxaOrig="300" w:dyaOrig="360">
          <v:shape id="_x0000_i1062" type="#_x0000_t75" style="width:15pt;height:18pt" o:ole="">
            <v:imagedata r:id="rId68" o:title=""/>
          </v:shape>
          <o:OLEObject Type="Embed" ProgID="Equation.3" ShapeID="_x0000_i1062" DrawAspect="Content" ObjectID="_1394296543" r:id="rId69"/>
        </w:object>
      </w:r>
      <w:r w:rsidRPr="0076280D">
        <w:t xml:space="preserve">.        </w:t>
      </w:r>
    </w:p>
    <w:p w:rsidR="00B0116B" w:rsidRPr="0076280D" w:rsidRDefault="008613C5" w:rsidP="00B0116B">
      <w:pPr>
        <w:pStyle w:val="BodyTextIndent"/>
        <w:ind w:left="0" w:firstLine="0"/>
        <w:rPr>
          <w:b/>
        </w:rPr>
      </w:pPr>
      <w:r>
        <w:rPr>
          <w:b/>
        </w:rPr>
        <w:t>4</w:t>
      </w:r>
      <w:r w:rsidR="00B0116B" w:rsidRPr="0076280D">
        <w:rPr>
          <w:b/>
        </w:rPr>
        <w:t>.</w:t>
      </w:r>
      <w:r w:rsidR="00047730">
        <w:rPr>
          <w:b/>
        </w:rPr>
        <w:t>2</w:t>
      </w:r>
      <w:r w:rsidR="00B0116B" w:rsidRPr="0076280D">
        <w:rPr>
          <w:b/>
        </w:rPr>
        <w:t xml:space="preserve"> Heteroskedastic Stochastic Frontier Model for Estimating Profit Efficiency</w:t>
      </w:r>
    </w:p>
    <w:p w:rsidR="00B0116B" w:rsidRPr="0076280D" w:rsidRDefault="00B0116B" w:rsidP="00B0116B">
      <w:pPr>
        <w:pStyle w:val="BodyTextIndent"/>
        <w:ind w:left="0" w:firstLine="0"/>
      </w:pPr>
      <w:r w:rsidRPr="0076280D">
        <w:tab/>
        <w:t xml:space="preserve">In the case of the profit function, the selection of output price variables depends on whether we assume the existence of market power of a bank in setting of output price (e.g., Berger and Mester, 1997; and Akhavein, Berger, and , 1997). The standard profit frontier model assumes the existence of perfect competition in the markets for outputs and inputs; and in principle, the model requires information on the prices of the output vector, which in most cases is not available. Hence, most studies estimate an alternative profit frontier similar to the one developed </w:t>
      </w:r>
      <w:r w:rsidRPr="0076280D">
        <w:lastRenderedPageBreak/>
        <w:t xml:space="preserve">by Berger et al. (2000). The alternative profit frontier model assumes that an imperfect competition exists with a given quantity of outputs and price of inputs. The goal of the bank is to maximize profits by adjusting the quantity of outputs and the price of inputs. The return on equity </w:t>
      </w:r>
      <w:r w:rsidRPr="0076280D">
        <w:rPr>
          <w:position w:val="-12"/>
        </w:rPr>
        <w:object w:dxaOrig="320" w:dyaOrig="360">
          <v:shape id="_x0000_i1063" type="#_x0000_t75" style="width:15.75pt;height:18pt" o:ole="">
            <v:imagedata r:id="rId70" o:title=""/>
          </v:shape>
          <o:OLEObject Type="Embed" ProgID="Equation.3" ShapeID="_x0000_i1063" DrawAspect="Content" ObjectID="_1394296544" r:id="rId71"/>
        </w:object>
      </w:r>
      <w:r w:rsidRPr="0076280D">
        <w:t xml:space="preserve">(net profit to equity capital) serves as the dependent variable, a measure of profitability. Consequently, profit function and profit inefficiency are similar to cost function and cost inefficiency. The basic profit frontier model is featured with a half-normally distributed inefficiency m and a normally distributed error term e.  The equations (3.1) to (3.3) indicate </w:t>
      </w:r>
      <w:r w:rsidR="00D67FD4">
        <w:t>this</w:t>
      </w:r>
      <w:r w:rsidRPr="0076280D">
        <w:t>.</w:t>
      </w:r>
    </w:p>
    <w:p w:rsidR="00B0116B" w:rsidRPr="0076280D" w:rsidRDefault="00B0116B" w:rsidP="00B0116B">
      <w:pPr>
        <w:tabs>
          <w:tab w:val="left" w:pos="8640"/>
        </w:tabs>
        <w:spacing w:line="480" w:lineRule="auto"/>
        <w:rPr>
          <w:rFonts w:ascii="Times New Roman" w:hAnsi="Times New Roman" w:cs="Times New Roman"/>
          <w:szCs w:val="24"/>
        </w:rPr>
      </w:pPr>
      <w:proofErr w:type="spellStart"/>
      <w:proofErr w:type="gramStart"/>
      <w:r w:rsidRPr="0076280D">
        <w:rPr>
          <w:rFonts w:ascii="Times New Roman" w:hAnsi="Times New Roman" w:cs="Times New Roman"/>
          <w:i/>
          <w:szCs w:val="24"/>
        </w:rPr>
        <w:t>ln</w:t>
      </w:r>
      <w:proofErr w:type="spellEnd"/>
      <w:proofErr w:type="gramEnd"/>
      <w:r w:rsidRPr="0076280D">
        <w:rPr>
          <w:rFonts w:ascii="Times New Roman" w:hAnsi="Times New Roman" w:cs="Times New Roman"/>
          <w:position w:val="-12"/>
          <w:szCs w:val="24"/>
        </w:rPr>
        <w:object w:dxaOrig="2880" w:dyaOrig="360">
          <v:shape id="_x0000_i1064" type="#_x0000_t75" style="width:2in;height:18pt" o:ole="">
            <v:imagedata r:id="rId72" o:title=""/>
          </v:shape>
          <o:OLEObject Type="Embed" ProgID="Equation.3" ShapeID="_x0000_i1064" DrawAspect="Content" ObjectID="_1394296545" r:id="rId73"/>
        </w:object>
      </w:r>
      <w:r w:rsidRPr="0076280D">
        <w:rPr>
          <w:rFonts w:ascii="Times New Roman" w:hAnsi="Times New Roman" w:cs="Times New Roman"/>
          <w:szCs w:val="24"/>
        </w:rPr>
        <w:t xml:space="preserve">, and       </w:t>
      </w:r>
      <w:r w:rsidR="00855234" w:rsidRPr="0076280D">
        <w:rPr>
          <w:rFonts w:ascii="Times New Roman" w:hAnsi="Times New Roman" w:cs="Times New Roman"/>
          <w:szCs w:val="24"/>
        </w:rPr>
        <w:t xml:space="preserve">                               </w:t>
      </w:r>
      <w:r w:rsidRPr="0076280D">
        <w:rPr>
          <w:rFonts w:ascii="Times New Roman" w:hAnsi="Times New Roman" w:cs="Times New Roman"/>
          <w:szCs w:val="24"/>
        </w:rPr>
        <w:t>(3.1)</w:t>
      </w:r>
    </w:p>
    <w:p w:rsidR="006D0658" w:rsidRPr="0076280D" w:rsidRDefault="00B0116B" w:rsidP="00B0116B">
      <w:pPr>
        <w:pStyle w:val="BodyTextIndent"/>
        <w:ind w:left="0" w:firstLine="720"/>
      </w:pPr>
      <w:r w:rsidRPr="0076280D">
        <w:rPr>
          <w:position w:val="-12"/>
        </w:rPr>
        <w:object w:dxaOrig="1680" w:dyaOrig="400">
          <v:shape id="_x0000_i1065" type="#_x0000_t75" style="width:84pt;height:20.25pt" o:ole="">
            <v:imagedata r:id="rId74" o:title=""/>
          </v:shape>
          <o:OLEObject Type="Embed" ProgID="Equation.3" ShapeID="_x0000_i1065" DrawAspect="Content" ObjectID="_1394296546" r:id="rId75"/>
        </w:object>
      </w:r>
      <w:r w:rsidRPr="0076280D">
        <w:tab/>
      </w:r>
      <w:r w:rsidRPr="0076280D">
        <w:tab/>
      </w:r>
      <w:r w:rsidR="006D0658" w:rsidRPr="0076280D">
        <w:t xml:space="preserve">                                </w:t>
      </w:r>
      <w:r w:rsidRPr="0076280D">
        <w:t>(</w:t>
      </w:r>
      <w:r w:rsidRPr="0076280D">
        <w:rPr>
          <w:lang w:eastAsia="zh-TW"/>
        </w:rPr>
        <w:t>3</w:t>
      </w:r>
      <w:r w:rsidRPr="0076280D">
        <w:t>.2)</w:t>
      </w:r>
    </w:p>
    <w:p w:rsidR="00B0116B" w:rsidRPr="0076280D" w:rsidRDefault="006D0658" w:rsidP="006D0658">
      <w:pPr>
        <w:pStyle w:val="BodyTextIndent"/>
        <w:ind w:left="0" w:firstLine="0"/>
      </w:pPr>
      <w:r w:rsidRPr="0076280D">
        <w:rPr>
          <w:position w:val="-12"/>
        </w:rPr>
        <w:t xml:space="preserve">        </w:t>
      </w:r>
      <w:r w:rsidR="00B0116B" w:rsidRPr="0076280D">
        <w:rPr>
          <w:position w:val="-12"/>
        </w:rPr>
        <w:object w:dxaOrig="1540" w:dyaOrig="400">
          <v:shape id="_x0000_i1066" type="#_x0000_t75" style="width:77.25pt;height:20.25pt" o:ole="">
            <v:imagedata r:id="rId76" o:title=""/>
          </v:shape>
          <o:OLEObject Type="Embed" ProgID="Equation.3" ShapeID="_x0000_i1066" DrawAspect="Content" ObjectID="_1394296547" r:id="rId77"/>
        </w:object>
      </w:r>
      <w:r w:rsidR="00B0116B" w:rsidRPr="0076280D">
        <w:t xml:space="preserve">     </w:t>
      </w:r>
      <w:r w:rsidR="00B0116B" w:rsidRPr="0076280D">
        <w:rPr>
          <w:lang w:eastAsia="zh-TW"/>
        </w:rPr>
        <w:tab/>
      </w:r>
      <w:r w:rsidR="00B0116B" w:rsidRPr="0076280D">
        <w:rPr>
          <w:lang w:eastAsia="zh-TW"/>
        </w:rPr>
        <w:tab/>
      </w:r>
      <w:r w:rsidR="00B0116B" w:rsidRPr="0076280D">
        <w:rPr>
          <w:lang w:eastAsia="zh-TW"/>
        </w:rPr>
        <w:tab/>
      </w:r>
      <w:r w:rsidR="00B0116B" w:rsidRPr="0076280D">
        <w:rPr>
          <w:lang w:eastAsia="zh-TW"/>
        </w:rPr>
        <w:tab/>
      </w:r>
      <w:r w:rsidR="00B0116B" w:rsidRPr="0076280D">
        <w:rPr>
          <w:lang w:eastAsia="zh-TW"/>
        </w:rPr>
        <w:tab/>
        <w:t xml:space="preserve">       </w:t>
      </w:r>
      <w:r w:rsidRPr="0076280D">
        <w:rPr>
          <w:lang w:eastAsia="zh-TW"/>
        </w:rPr>
        <w:t xml:space="preserve">     </w:t>
      </w:r>
      <w:r w:rsidR="00BE6F91">
        <w:rPr>
          <w:lang w:eastAsia="zh-TW"/>
        </w:rPr>
        <w:t xml:space="preserve">  </w:t>
      </w:r>
      <w:r w:rsidRPr="0076280D">
        <w:rPr>
          <w:lang w:eastAsia="zh-TW"/>
        </w:rPr>
        <w:t xml:space="preserve">  </w:t>
      </w:r>
      <w:r w:rsidR="00B0116B" w:rsidRPr="0076280D">
        <w:t>(</w:t>
      </w:r>
      <w:r w:rsidR="00B0116B" w:rsidRPr="0076280D">
        <w:rPr>
          <w:lang w:eastAsia="zh-TW"/>
        </w:rPr>
        <w:t>3</w:t>
      </w:r>
      <w:r w:rsidR="00B0116B" w:rsidRPr="0076280D">
        <w:t>.3)</w:t>
      </w:r>
    </w:p>
    <w:p w:rsidR="00B0116B" w:rsidRPr="0076280D" w:rsidRDefault="00B0116B" w:rsidP="00884613">
      <w:pPr>
        <w:pStyle w:val="BodyTextIndent"/>
        <w:ind w:left="0" w:firstLine="0"/>
      </w:pPr>
      <w:r w:rsidRPr="0076280D">
        <w:t>However, the sign of the inefficiency term now becomes negative. Analogous to the production frontier of Wang and Schmidt (2002) and Wang (2002), the generalized profit frontier model is specified as follows:</w:t>
      </w:r>
    </w:p>
    <w:p w:rsidR="00B0116B" w:rsidRPr="0076280D" w:rsidRDefault="00B0116B" w:rsidP="00884613">
      <w:pPr>
        <w:tabs>
          <w:tab w:val="left" w:pos="8640"/>
        </w:tabs>
        <w:spacing w:line="480" w:lineRule="auto"/>
        <w:rPr>
          <w:rFonts w:ascii="Times New Roman" w:hAnsi="Times New Roman" w:cs="Times New Roman"/>
          <w:szCs w:val="24"/>
        </w:rPr>
      </w:pPr>
      <w:proofErr w:type="spellStart"/>
      <w:proofErr w:type="gramStart"/>
      <w:r w:rsidRPr="0076280D">
        <w:rPr>
          <w:rFonts w:ascii="Times New Roman" w:hAnsi="Times New Roman" w:cs="Times New Roman"/>
          <w:i/>
          <w:szCs w:val="24"/>
        </w:rPr>
        <w:t>ln</w:t>
      </w:r>
      <w:proofErr w:type="spellEnd"/>
      <w:proofErr w:type="gramEnd"/>
      <w:r w:rsidRPr="0076280D">
        <w:rPr>
          <w:rFonts w:ascii="Times New Roman" w:hAnsi="Times New Roman" w:cs="Times New Roman"/>
          <w:position w:val="-12"/>
          <w:szCs w:val="24"/>
        </w:rPr>
        <w:object w:dxaOrig="2880" w:dyaOrig="360">
          <v:shape id="_x0000_i1067" type="#_x0000_t75" style="width:2in;height:18pt" o:ole="">
            <v:imagedata r:id="rId72" o:title=""/>
          </v:shape>
          <o:OLEObject Type="Embed" ProgID="Equation.3" ShapeID="_x0000_i1067" DrawAspect="Content" ObjectID="_1394296548" r:id="rId78"/>
        </w:object>
      </w:r>
      <w:r w:rsidRPr="0076280D">
        <w:rPr>
          <w:rFonts w:ascii="Times New Roman" w:hAnsi="Times New Roman" w:cs="Times New Roman"/>
          <w:szCs w:val="24"/>
        </w:rPr>
        <w:t xml:space="preserve">, and              </w:t>
      </w:r>
      <w:r w:rsidR="0087298C" w:rsidRPr="0076280D">
        <w:rPr>
          <w:rFonts w:ascii="Times New Roman" w:hAnsi="Times New Roman" w:cs="Times New Roman"/>
          <w:szCs w:val="24"/>
        </w:rPr>
        <w:t xml:space="preserve">                              </w:t>
      </w:r>
      <w:r w:rsidRPr="0076280D">
        <w:rPr>
          <w:rFonts w:ascii="Times New Roman" w:hAnsi="Times New Roman" w:cs="Times New Roman"/>
          <w:szCs w:val="24"/>
        </w:rPr>
        <w:t>(4.1)</w:t>
      </w:r>
    </w:p>
    <w:p w:rsidR="00B0116B" w:rsidRPr="0076280D" w:rsidRDefault="00B0116B" w:rsidP="00884613">
      <w:pPr>
        <w:pStyle w:val="BodyTextIndent"/>
        <w:ind w:left="0" w:firstLine="720"/>
      </w:pPr>
      <w:r w:rsidRPr="0076280D">
        <w:rPr>
          <w:position w:val="-12"/>
        </w:rPr>
        <w:object w:dxaOrig="1880" w:dyaOrig="400">
          <v:shape id="_x0000_i1068" type="#_x0000_t75" style="width:93.75pt;height:20.25pt" o:ole="">
            <v:imagedata r:id="rId79" o:title=""/>
          </v:shape>
          <o:OLEObject Type="Embed" ProgID="Equation.3" ShapeID="_x0000_i1068" DrawAspect="Content" ObjectID="_1394296549" r:id="rId80"/>
        </w:object>
      </w:r>
      <w:r w:rsidRPr="0076280D">
        <w:tab/>
      </w:r>
      <w:r w:rsidRPr="0076280D">
        <w:tab/>
      </w:r>
      <w:r w:rsidRPr="0076280D">
        <w:tab/>
      </w:r>
      <w:r w:rsidRPr="0076280D">
        <w:tab/>
      </w:r>
      <w:r w:rsidR="006D0658" w:rsidRPr="0076280D">
        <w:t xml:space="preserve">    </w:t>
      </w:r>
      <w:r w:rsidR="00D62911" w:rsidRPr="0076280D">
        <w:rPr>
          <w:lang w:eastAsia="zh-TW"/>
        </w:rPr>
        <w:t xml:space="preserve">                      </w:t>
      </w:r>
      <w:r w:rsidR="00BE6F91">
        <w:rPr>
          <w:lang w:eastAsia="zh-TW"/>
        </w:rPr>
        <w:t xml:space="preserve"> </w:t>
      </w:r>
      <w:r w:rsidR="00D62911" w:rsidRPr="0076280D">
        <w:rPr>
          <w:lang w:eastAsia="zh-TW"/>
        </w:rPr>
        <w:t xml:space="preserve">  </w:t>
      </w:r>
      <w:r w:rsidRPr="0076280D">
        <w:t>(</w:t>
      </w:r>
      <w:r w:rsidRPr="0076280D">
        <w:rPr>
          <w:lang w:eastAsia="zh-TW"/>
        </w:rPr>
        <w:t>4</w:t>
      </w:r>
      <w:r w:rsidRPr="0076280D">
        <w:t>.2)</w:t>
      </w:r>
    </w:p>
    <w:p w:rsidR="00B0116B" w:rsidRPr="0076280D" w:rsidRDefault="00B0116B" w:rsidP="00884613">
      <w:pPr>
        <w:pStyle w:val="BodyTextIndent"/>
        <w:ind w:left="0" w:firstLine="720"/>
      </w:pPr>
      <w:r w:rsidRPr="0076280D">
        <w:rPr>
          <w:position w:val="-12"/>
        </w:rPr>
        <w:object w:dxaOrig="1620" w:dyaOrig="400">
          <v:shape id="_x0000_i1069" type="#_x0000_t75" style="width:81pt;height:20.25pt" o:ole="">
            <v:imagedata r:id="rId81" o:title=""/>
          </v:shape>
          <o:OLEObject Type="Embed" ProgID="Equation.3" ShapeID="_x0000_i1069" DrawAspect="Content" ObjectID="_1394296550" r:id="rId82"/>
        </w:object>
      </w:r>
      <w:r w:rsidRPr="0076280D">
        <w:t xml:space="preserve">     </w:t>
      </w:r>
      <w:r w:rsidR="006D0658" w:rsidRPr="0076280D">
        <w:t xml:space="preserve">                                        </w:t>
      </w:r>
      <w:r w:rsidRPr="0076280D">
        <w:t>(</w:t>
      </w:r>
      <w:r w:rsidRPr="0076280D">
        <w:rPr>
          <w:lang w:eastAsia="zh-TW"/>
        </w:rPr>
        <w:t>4</w:t>
      </w:r>
      <w:r w:rsidRPr="0076280D">
        <w:t>.3)</w:t>
      </w:r>
    </w:p>
    <w:p w:rsidR="00B0116B" w:rsidRPr="0076280D" w:rsidRDefault="00B0116B" w:rsidP="00884613">
      <w:pPr>
        <w:pStyle w:val="BodyTextIndent"/>
        <w:ind w:left="0" w:firstLine="720"/>
        <w:rPr>
          <w:lang w:eastAsia="zh-TW"/>
        </w:rPr>
      </w:pPr>
      <w:r w:rsidRPr="0076280D">
        <w:rPr>
          <w:position w:val="-12"/>
          <w:lang w:eastAsia="zh-TW"/>
        </w:rPr>
        <w:object w:dxaOrig="1040" w:dyaOrig="360">
          <v:shape id="_x0000_i1070" type="#_x0000_t75" style="width:51.75pt;height:18pt" o:ole="">
            <v:imagedata r:id="rId83" o:title=""/>
          </v:shape>
          <o:OLEObject Type="Embed" ProgID="Equation.3" ShapeID="_x0000_i1070" DrawAspect="Content" ObjectID="_1394296551" r:id="rId84"/>
        </w:object>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006D0658" w:rsidRPr="0076280D">
        <w:rPr>
          <w:lang w:eastAsia="zh-TW"/>
        </w:rPr>
        <w:t xml:space="preserve">            </w:t>
      </w:r>
      <w:r w:rsidRPr="0076280D">
        <w:rPr>
          <w:lang w:eastAsia="zh-TW"/>
        </w:rPr>
        <w:tab/>
      </w:r>
      <w:r w:rsidRPr="0076280D">
        <w:rPr>
          <w:lang w:eastAsia="zh-TW"/>
        </w:rPr>
        <w:tab/>
      </w:r>
      <w:r w:rsidRPr="0076280D">
        <w:rPr>
          <w:lang w:eastAsia="zh-TW"/>
        </w:rPr>
        <w:tab/>
        <w:t>(4.4)</w:t>
      </w:r>
    </w:p>
    <w:p w:rsidR="00B0116B" w:rsidRPr="0076280D" w:rsidRDefault="00B0116B" w:rsidP="00884613">
      <w:pPr>
        <w:pStyle w:val="BodyTextIndent"/>
        <w:ind w:left="0" w:firstLine="720"/>
        <w:rPr>
          <w:lang w:eastAsia="zh-TW"/>
        </w:rPr>
      </w:pPr>
      <w:r w:rsidRPr="0076280D">
        <w:rPr>
          <w:position w:val="-12"/>
        </w:rPr>
        <w:object w:dxaOrig="1660" w:dyaOrig="380">
          <v:shape id="_x0000_i1071" type="#_x0000_t75" style="width:83.25pt;height:18.75pt" o:ole="">
            <v:imagedata r:id="rId85" o:title=""/>
          </v:shape>
          <o:OLEObject Type="Embed" ProgID="Equation.3" ShapeID="_x0000_i1071" DrawAspect="Content" ObjectID="_1394296552" r:id="rId86"/>
        </w:object>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Pr="0076280D">
        <w:rPr>
          <w:lang w:eastAsia="zh-TW"/>
        </w:rPr>
        <w:tab/>
      </w:r>
      <w:r w:rsidR="006D0658" w:rsidRPr="0076280D">
        <w:rPr>
          <w:lang w:eastAsia="zh-TW"/>
        </w:rPr>
        <w:t xml:space="preserve">         </w:t>
      </w:r>
      <w:r w:rsidRPr="0076280D">
        <w:rPr>
          <w:lang w:eastAsia="zh-TW"/>
        </w:rPr>
        <w:tab/>
      </w:r>
      <w:r w:rsidR="00D63AA1">
        <w:rPr>
          <w:lang w:eastAsia="zh-TW"/>
        </w:rPr>
        <w:t xml:space="preserve">    </w:t>
      </w:r>
      <w:r w:rsidRPr="0076280D">
        <w:rPr>
          <w:lang w:eastAsia="zh-TW"/>
        </w:rPr>
        <w:t>(4.5)</w:t>
      </w:r>
    </w:p>
    <w:p w:rsidR="00B0116B" w:rsidRPr="0076280D" w:rsidRDefault="00B0116B" w:rsidP="00884613">
      <w:pPr>
        <w:pStyle w:val="BodyTextIndent"/>
        <w:ind w:left="0" w:firstLine="720"/>
        <w:rPr>
          <w:lang w:eastAsia="zh-TW"/>
        </w:rPr>
      </w:pPr>
      <w:r w:rsidRPr="0076280D">
        <w:rPr>
          <w:position w:val="-12"/>
        </w:rPr>
        <w:object w:dxaOrig="1680" w:dyaOrig="380">
          <v:shape id="_x0000_i1072" type="#_x0000_t75" style="width:84pt;height:18.75pt" o:ole="">
            <v:imagedata r:id="rId87" o:title=""/>
          </v:shape>
          <o:OLEObject Type="Embed" ProgID="Equation.3" ShapeID="_x0000_i1072" DrawAspect="Content" ObjectID="_1394296553" r:id="rId88"/>
        </w:object>
      </w:r>
      <w:r w:rsidR="00D62911" w:rsidRPr="0076280D">
        <w:rPr>
          <w:lang w:eastAsia="zh-TW"/>
        </w:rPr>
        <w:tab/>
      </w:r>
      <w:r w:rsidR="00D62911" w:rsidRPr="0076280D">
        <w:rPr>
          <w:lang w:eastAsia="zh-TW"/>
        </w:rPr>
        <w:tab/>
      </w:r>
      <w:r w:rsidR="00D62911" w:rsidRPr="0076280D">
        <w:rPr>
          <w:lang w:eastAsia="zh-TW"/>
        </w:rPr>
        <w:tab/>
      </w:r>
      <w:r w:rsidR="00D62911" w:rsidRPr="0076280D">
        <w:rPr>
          <w:lang w:eastAsia="zh-TW"/>
        </w:rPr>
        <w:tab/>
      </w:r>
      <w:r w:rsidR="00D62911" w:rsidRPr="0076280D">
        <w:rPr>
          <w:lang w:eastAsia="zh-TW"/>
        </w:rPr>
        <w:tab/>
      </w:r>
      <w:r w:rsidR="00D62911" w:rsidRPr="0076280D">
        <w:rPr>
          <w:lang w:eastAsia="zh-TW"/>
        </w:rPr>
        <w:tab/>
      </w:r>
      <w:r w:rsidR="00D62911" w:rsidRPr="0076280D">
        <w:rPr>
          <w:lang w:eastAsia="zh-TW"/>
        </w:rPr>
        <w:tab/>
      </w:r>
      <w:r w:rsidR="006D0658" w:rsidRPr="0076280D">
        <w:rPr>
          <w:lang w:eastAsia="zh-TW"/>
        </w:rPr>
        <w:t xml:space="preserve">         </w:t>
      </w:r>
      <w:r w:rsidR="00D63AA1">
        <w:rPr>
          <w:lang w:eastAsia="zh-TW"/>
        </w:rPr>
        <w:t xml:space="preserve">   </w:t>
      </w:r>
      <w:r w:rsidR="00D62911" w:rsidRPr="0076280D">
        <w:rPr>
          <w:lang w:eastAsia="zh-TW"/>
        </w:rPr>
        <w:tab/>
      </w:r>
      <w:r w:rsidRPr="0076280D">
        <w:rPr>
          <w:lang w:eastAsia="zh-TW"/>
        </w:rPr>
        <w:t>(4.6)</w:t>
      </w:r>
    </w:p>
    <w:p w:rsidR="00020C95" w:rsidRDefault="00D67FD4" w:rsidP="005A0A33">
      <w:pPr>
        <w:pStyle w:val="BodyTextIndent"/>
        <w:ind w:left="0" w:firstLine="0"/>
      </w:pPr>
      <w:r>
        <w:t>W</w:t>
      </w:r>
      <w:r w:rsidR="00B0116B" w:rsidRPr="0076280D">
        <w:t xml:space="preserve">here </w:t>
      </w:r>
      <w:r w:rsidR="00B0116B" w:rsidRPr="0076280D">
        <w:rPr>
          <w:position w:val="-12"/>
        </w:rPr>
        <w:object w:dxaOrig="300" w:dyaOrig="360">
          <v:shape id="_x0000_i1073" type="#_x0000_t75" style="width:15pt;height:18pt" o:ole="">
            <v:imagedata r:id="rId89" o:title=""/>
          </v:shape>
          <o:OLEObject Type="Embed" ProgID="Equation.3" ShapeID="_x0000_i1073" DrawAspect="Content" ObjectID="_1394296554" r:id="rId90"/>
        </w:object>
      </w:r>
      <w:r w:rsidR="00B0116B" w:rsidRPr="0076280D">
        <w:t>= a broad set of bank-specific factors</w:t>
      </w:r>
      <w:r>
        <w:t xml:space="preserve">, and </w:t>
      </w:r>
      <w:r w:rsidR="00B0116B" w:rsidRPr="0076280D">
        <w:t xml:space="preserve">β = vector of unknown coefficients to account for profit </w:t>
      </w:r>
      <w:proofErr w:type="gramStart"/>
      <w:r w:rsidR="00B0116B" w:rsidRPr="0076280D">
        <w:t>inefficiency,</w:t>
      </w:r>
      <w:r w:rsidR="00B0116B" w:rsidRPr="0076280D">
        <w:rPr>
          <w:position w:val="-12"/>
        </w:rPr>
        <w:object w:dxaOrig="320" w:dyaOrig="360">
          <v:shape id="_x0000_i1074" type="#_x0000_t75" style="width:15.75pt;height:18pt" o:ole="">
            <v:imagedata r:id="rId91" o:title=""/>
          </v:shape>
          <o:OLEObject Type="Embed" ProgID="Equation.DSMT4" ShapeID="_x0000_i1074" DrawAspect="Content" ObjectID="_1394296555" r:id="rId92"/>
        </w:object>
      </w:r>
      <w:r w:rsidR="00B0116B" w:rsidRPr="0076280D">
        <w:t>.</w:t>
      </w:r>
      <w:proofErr w:type="gramEnd"/>
      <w:r w:rsidR="00B0116B" w:rsidRPr="0076280D">
        <w:t xml:space="preserve"> </w:t>
      </w:r>
      <w:r w:rsidR="00B0116B" w:rsidRPr="0076280D">
        <w:rPr>
          <w:position w:val="-10"/>
        </w:rPr>
        <w:object w:dxaOrig="240" w:dyaOrig="260">
          <v:shape id="_x0000_i1075" type="#_x0000_t75" style="width:12pt;height:12.75pt" o:ole="">
            <v:imagedata r:id="rId93" o:title=""/>
          </v:shape>
          <o:OLEObject Type="Embed" ProgID="Equation.3" ShapeID="_x0000_i1075" DrawAspect="Content" ObjectID="_1394296556" r:id="rId94"/>
        </w:object>
      </w:r>
      <w:r w:rsidR="00B0116B" w:rsidRPr="0076280D">
        <w:t xml:space="preserve"> </w:t>
      </w:r>
      <w:proofErr w:type="gramStart"/>
      <w:r w:rsidR="00B0116B" w:rsidRPr="0076280D">
        <w:t>and</w:t>
      </w:r>
      <w:proofErr w:type="gramEnd"/>
      <w:r>
        <w:t xml:space="preserve"> </w:t>
      </w:r>
      <w:r w:rsidR="00B0116B" w:rsidRPr="0076280D">
        <w:rPr>
          <w:position w:val="-6"/>
        </w:rPr>
        <w:object w:dxaOrig="220" w:dyaOrig="279">
          <v:shape id="_x0000_i1076" type="#_x0000_t75" style="width:11.25pt;height:14.25pt" o:ole="">
            <v:imagedata r:id="rId95" o:title=""/>
          </v:shape>
          <o:OLEObject Type="Embed" ProgID="Equation.3" ShapeID="_x0000_i1076" DrawAspect="Content" ObjectID="_1394296557" r:id="rId96"/>
        </w:object>
      </w:r>
      <w:r w:rsidR="00B0116B" w:rsidRPr="0076280D">
        <w:t>are the estimated coefficients for the heteroskedasticity of e and m, respectively.</w:t>
      </w:r>
    </w:p>
    <w:p w:rsidR="00B0116B" w:rsidRPr="0076280D" w:rsidRDefault="008613C5" w:rsidP="00884613">
      <w:pPr>
        <w:spacing w:line="480" w:lineRule="auto"/>
        <w:rPr>
          <w:rFonts w:ascii="Times New Roman" w:hAnsi="Times New Roman" w:cs="Times New Roman"/>
          <w:szCs w:val="24"/>
        </w:rPr>
      </w:pPr>
      <w:r>
        <w:rPr>
          <w:rFonts w:ascii="Times New Roman" w:hAnsi="Times New Roman" w:cs="Times New Roman"/>
          <w:b/>
          <w:szCs w:val="24"/>
        </w:rPr>
        <w:t>4</w:t>
      </w:r>
      <w:r w:rsidR="00047730">
        <w:rPr>
          <w:rFonts w:ascii="Times New Roman" w:hAnsi="Times New Roman" w:cs="Times New Roman"/>
          <w:b/>
          <w:szCs w:val="24"/>
        </w:rPr>
        <w:t>. 3</w:t>
      </w:r>
      <w:r w:rsidR="00B0116B" w:rsidRPr="0076280D">
        <w:rPr>
          <w:rFonts w:ascii="Times New Roman" w:hAnsi="Times New Roman" w:cs="Times New Roman"/>
          <w:b/>
          <w:szCs w:val="24"/>
        </w:rPr>
        <w:t xml:space="preserve"> </w:t>
      </w:r>
      <w:r w:rsidR="00A12119">
        <w:rPr>
          <w:rFonts w:ascii="Times New Roman" w:hAnsi="Times New Roman" w:cs="Times New Roman"/>
          <w:b/>
          <w:szCs w:val="24"/>
        </w:rPr>
        <w:t>Empirical</w:t>
      </w:r>
      <w:r w:rsidR="00B0116B" w:rsidRPr="0076280D">
        <w:rPr>
          <w:rFonts w:ascii="Times New Roman" w:hAnsi="Times New Roman" w:cs="Times New Roman"/>
          <w:b/>
          <w:szCs w:val="24"/>
        </w:rPr>
        <w:t xml:space="preserve"> Specification</w:t>
      </w:r>
      <w:r w:rsidR="00A12119">
        <w:rPr>
          <w:rFonts w:ascii="Times New Roman" w:hAnsi="Times New Roman" w:cs="Times New Roman"/>
          <w:b/>
          <w:szCs w:val="24"/>
        </w:rPr>
        <w:t>s</w:t>
      </w:r>
      <w:r w:rsidR="00B0116B" w:rsidRPr="0076280D">
        <w:rPr>
          <w:rFonts w:ascii="Times New Roman" w:hAnsi="Times New Roman" w:cs="Times New Roman"/>
          <w:b/>
          <w:szCs w:val="24"/>
        </w:rPr>
        <w:t xml:space="preserve"> of Bank Costs, Outputs and Inputs </w:t>
      </w:r>
    </w:p>
    <w:p w:rsidR="00B0116B" w:rsidRPr="0076280D" w:rsidRDefault="00B0116B" w:rsidP="00884613">
      <w:pPr>
        <w:pStyle w:val="BodyTextIndent"/>
        <w:ind w:left="0" w:firstLine="0"/>
      </w:pPr>
      <w:r w:rsidRPr="0076280D">
        <w:rPr>
          <w:b/>
        </w:rPr>
        <w:tab/>
      </w:r>
      <w:r w:rsidRPr="0076280D">
        <w:t>There is considerable disagreement in prior literature on the definition of cost, outputs, and inputs for a bank. Two approaches have been suggested: an “intermediation approach” and a “production approach”.</w:t>
      </w:r>
      <w:r w:rsidRPr="0076280D">
        <w:rPr>
          <w:rStyle w:val="FootnoteReference"/>
          <w:bCs/>
        </w:rPr>
        <w:footnoteReference w:id="15"/>
      </w:r>
      <w:r w:rsidR="008035B1">
        <w:t xml:space="preserve"> We use</w:t>
      </w:r>
      <w:r w:rsidRPr="0076280D">
        <w:t xml:space="preserve"> the</w:t>
      </w:r>
      <w:r w:rsidR="00C56683">
        <w:t xml:space="preserve"> intermediation approach for several</w:t>
      </w:r>
      <w:r w:rsidRPr="0076280D">
        <w:t xml:space="preserve"> reasons. First, commercial banks are considered financial intermediaries. Second, the intermediation approach is relevan</w:t>
      </w:r>
      <w:r w:rsidR="00C56683">
        <w:t>t to the measurement of cost (</w:t>
      </w:r>
      <w:r w:rsidRPr="0076280D">
        <w:t>profit</w:t>
      </w:r>
      <w:r w:rsidR="00C56683">
        <w:t>)</w:t>
      </w:r>
      <w:r w:rsidRPr="0076280D">
        <w:t xml:space="preserve"> efficiency because an efficient bank would minimize t</w:t>
      </w:r>
      <w:r w:rsidR="008035B1">
        <w:t xml:space="preserve">he total operating </w:t>
      </w:r>
      <w:r w:rsidRPr="0076280D">
        <w:t>costs for any given output</w:t>
      </w:r>
      <w:r w:rsidR="00C56683">
        <w:t xml:space="preserve"> (maximize total profit for a given level of total operating costs). Finally, the intermediation approach is consistent with Islamic banks which rely on profit-sharing contracts (investments) via an equity participation principle with depositors (savers). Therefore, an Islamic bank can be perceived as an intermediary by transforming deposits made by savers into investment contracts.</w:t>
      </w:r>
    </w:p>
    <w:p w:rsidR="007B2E37" w:rsidRPr="003403C1" w:rsidRDefault="007B2E37" w:rsidP="005A0A33">
      <w:pPr>
        <w:spacing w:line="480" w:lineRule="auto"/>
        <w:ind w:firstLine="480"/>
        <w:rPr>
          <w:rFonts w:ascii="Times New Roman" w:hAnsi="Times New Roman" w:cs="Times New Roman"/>
          <w:szCs w:val="24"/>
        </w:rPr>
      </w:pPr>
      <w:r w:rsidRPr="0076280D">
        <w:rPr>
          <w:rFonts w:ascii="Times New Roman" w:hAnsi="Times New Roman" w:cs="Times New Roman"/>
          <w:szCs w:val="24"/>
        </w:rPr>
        <w:lastRenderedPageBreak/>
        <w:t>The dependent variables for cost frontier and profit frontier are TC (total costs) and NI (Net income). Three output variables Y1, Y2, and Y3 (net loans, security investments, and other earning assets</w:t>
      </w:r>
      <w:r>
        <w:rPr>
          <w:rFonts w:ascii="Times New Roman" w:hAnsi="Times New Roman" w:cs="Times New Roman"/>
          <w:szCs w:val="24"/>
        </w:rPr>
        <w:t xml:space="preserve"> respectively</w:t>
      </w:r>
      <w:r w:rsidRPr="0076280D">
        <w:rPr>
          <w:rFonts w:ascii="Times New Roman" w:hAnsi="Times New Roman" w:cs="Times New Roman"/>
          <w:szCs w:val="24"/>
        </w:rPr>
        <w:t>) are used</w:t>
      </w:r>
      <w:r w:rsidR="00C56683">
        <w:rPr>
          <w:rFonts w:ascii="Times New Roman" w:hAnsi="Times New Roman" w:cs="Times New Roman"/>
          <w:szCs w:val="24"/>
        </w:rPr>
        <w:t xml:space="preserve"> in this study</w:t>
      </w:r>
      <w:r w:rsidRPr="0076280D">
        <w:rPr>
          <w:rFonts w:ascii="Times New Roman" w:hAnsi="Times New Roman" w:cs="Times New Roman"/>
          <w:szCs w:val="24"/>
        </w:rPr>
        <w:t>.  Three input price variables p1, p2, and p3 (cost of funds, cost of labor, and cost of fixed costs</w:t>
      </w:r>
      <w:r>
        <w:rPr>
          <w:rFonts w:ascii="Times New Roman" w:hAnsi="Times New Roman" w:cs="Times New Roman"/>
          <w:szCs w:val="24"/>
        </w:rPr>
        <w:t xml:space="preserve"> respectively</w:t>
      </w:r>
      <w:r w:rsidRPr="0076280D">
        <w:rPr>
          <w:rFonts w:ascii="Times New Roman" w:hAnsi="Times New Roman" w:cs="Times New Roman"/>
          <w:szCs w:val="24"/>
        </w:rPr>
        <w:t xml:space="preserve">) are considered. </w:t>
      </w:r>
      <w:r w:rsidR="00C56683" w:rsidRPr="00C56683">
        <w:rPr>
          <w:rFonts w:ascii="Times New Roman" w:hAnsi="Times New Roman" w:cs="Times New Roman"/>
          <w:szCs w:val="24"/>
        </w:rPr>
        <w:t>To allow for variation in the banking sector reform and related institutional developments a</w:t>
      </w:r>
      <w:r w:rsidR="006F3BF9">
        <w:rPr>
          <w:rFonts w:ascii="Times New Roman" w:hAnsi="Times New Roman" w:cs="Times New Roman"/>
          <w:szCs w:val="24"/>
        </w:rPr>
        <w:t>cross banks, several firm-specific factors</w:t>
      </w:r>
      <w:r w:rsidR="00C56683" w:rsidRPr="00C56683">
        <w:rPr>
          <w:rFonts w:ascii="Times New Roman" w:hAnsi="Times New Roman" w:cs="Times New Roman"/>
          <w:szCs w:val="24"/>
        </w:rPr>
        <w:t xml:space="preserve"> are included </w:t>
      </w:r>
      <w:r w:rsidR="006F3BF9">
        <w:rPr>
          <w:rFonts w:ascii="Times New Roman" w:hAnsi="Times New Roman" w:cs="Times New Roman"/>
          <w:szCs w:val="24"/>
        </w:rPr>
        <w:t xml:space="preserve">as control variables </w:t>
      </w:r>
      <w:r w:rsidR="00C56683" w:rsidRPr="00C56683">
        <w:rPr>
          <w:rFonts w:ascii="Times New Roman" w:hAnsi="Times New Roman" w:cs="Times New Roman"/>
          <w:szCs w:val="24"/>
        </w:rPr>
        <w:t>in our model.</w:t>
      </w:r>
      <w:r w:rsidR="00C56683">
        <w:rPr>
          <w:rFonts w:ascii="Times New Roman" w:hAnsi="Times New Roman" w:cs="Times New Roman"/>
          <w:szCs w:val="24"/>
        </w:rPr>
        <w:t xml:space="preserve"> Following </w:t>
      </w:r>
      <w:r w:rsidR="006F3BF9">
        <w:rPr>
          <w:rFonts w:ascii="Times New Roman" w:hAnsi="Times New Roman" w:cs="Times New Roman"/>
          <w:szCs w:val="24"/>
        </w:rPr>
        <w:t>prior literature</w:t>
      </w:r>
      <w:r w:rsidRPr="0076280D">
        <w:rPr>
          <w:rFonts w:ascii="Times New Roman" w:hAnsi="Times New Roman" w:cs="Times New Roman"/>
          <w:szCs w:val="24"/>
        </w:rPr>
        <w:t>,</w:t>
      </w:r>
      <w:r w:rsidR="006F3BF9">
        <w:rPr>
          <w:rFonts w:ascii="Times New Roman" w:hAnsi="Times New Roman" w:cs="Times New Roman"/>
          <w:szCs w:val="24"/>
        </w:rPr>
        <w:t xml:space="preserve"> we use</w:t>
      </w:r>
      <w:r w:rsidRPr="0076280D">
        <w:rPr>
          <w:rFonts w:ascii="Times New Roman" w:hAnsi="Times New Roman" w:cs="Times New Roman"/>
          <w:szCs w:val="24"/>
        </w:rPr>
        <w:t xml:space="preserve"> </w:t>
      </w:r>
      <w:r w:rsidR="006F3BF9">
        <w:rPr>
          <w:rFonts w:ascii="Times New Roman" w:hAnsi="Times New Roman" w:cs="Times New Roman"/>
          <w:szCs w:val="24"/>
        </w:rPr>
        <w:t xml:space="preserve">following firm-specific control variables: </w:t>
      </w:r>
      <w:r w:rsidRPr="0076280D">
        <w:rPr>
          <w:rFonts w:ascii="Times New Roman" w:hAnsi="Times New Roman" w:cs="Times New Roman"/>
          <w:szCs w:val="24"/>
        </w:rPr>
        <w:t>NPL (the ratio of non-performing loans to total</w:t>
      </w:r>
      <w:r w:rsidR="006F3BF9">
        <w:rPr>
          <w:rFonts w:ascii="Times New Roman" w:hAnsi="Times New Roman" w:cs="Times New Roman"/>
          <w:szCs w:val="24"/>
        </w:rPr>
        <w:t xml:space="preserve"> gross loans) as a proxy for credit risk, TIER1 (T</w:t>
      </w:r>
      <w:r w:rsidRPr="0076280D">
        <w:rPr>
          <w:rFonts w:ascii="Times New Roman" w:hAnsi="Times New Roman" w:cs="Times New Roman"/>
          <w:szCs w:val="24"/>
        </w:rPr>
        <w:t xml:space="preserve">ier-1 </w:t>
      </w:r>
      <w:r w:rsidR="006F3BF9">
        <w:rPr>
          <w:rFonts w:ascii="Times New Roman" w:hAnsi="Times New Roman" w:cs="Times New Roman"/>
          <w:szCs w:val="24"/>
        </w:rPr>
        <w:t>risk-based capital ratio) as proxy for insolvency ratio,</w:t>
      </w:r>
      <w:r>
        <w:rPr>
          <w:rFonts w:ascii="Times New Roman" w:hAnsi="Times New Roman" w:cs="Times New Roman"/>
          <w:szCs w:val="24"/>
        </w:rPr>
        <w:t xml:space="preserve"> CAPITAL </w:t>
      </w:r>
      <w:r w:rsidRPr="0076280D">
        <w:rPr>
          <w:rFonts w:ascii="Times New Roman" w:hAnsi="Times New Roman" w:cs="Times New Roman"/>
          <w:szCs w:val="24"/>
        </w:rPr>
        <w:t>(the ratio of</w:t>
      </w:r>
      <w:r>
        <w:rPr>
          <w:rFonts w:ascii="Times New Roman" w:hAnsi="Times New Roman" w:cs="Times New Roman"/>
          <w:szCs w:val="24"/>
        </w:rPr>
        <w:t xml:space="preserve"> the total capital reserves to </w:t>
      </w:r>
      <w:r w:rsidRPr="0076280D">
        <w:rPr>
          <w:rFonts w:ascii="Times New Roman" w:hAnsi="Times New Roman" w:cs="Times New Roman"/>
          <w:szCs w:val="24"/>
        </w:rPr>
        <w:t>total loans), ASSET</w:t>
      </w:r>
      <w:r w:rsidR="006F3BF9">
        <w:rPr>
          <w:rFonts w:ascii="Times New Roman" w:hAnsi="Times New Roman" w:cs="Times New Roman"/>
          <w:szCs w:val="24"/>
        </w:rPr>
        <w:t xml:space="preserve"> (total assets) as a proxy for bank size,</w:t>
      </w:r>
      <w:r w:rsidRPr="0076280D">
        <w:rPr>
          <w:rFonts w:ascii="Times New Roman" w:hAnsi="Times New Roman" w:cs="Times New Roman"/>
          <w:szCs w:val="24"/>
        </w:rPr>
        <w:t xml:space="preserve"> BORROW</w:t>
      </w:r>
      <w:r w:rsidR="006F3BF9">
        <w:rPr>
          <w:rFonts w:ascii="Times New Roman" w:hAnsi="Times New Roman" w:cs="Times New Roman"/>
          <w:szCs w:val="24"/>
        </w:rPr>
        <w:t xml:space="preserve"> </w:t>
      </w:r>
      <w:r w:rsidRPr="0076280D">
        <w:rPr>
          <w:rFonts w:ascii="Times New Roman" w:hAnsi="Times New Roman" w:cs="Times New Roman"/>
          <w:szCs w:val="24"/>
        </w:rPr>
        <w:t>(total borrowed funds excluding borrowing from banks) and EA (the total equity to total asset ratio)</w:t>
      </w:r>
      <w:r w:rsidR="006F3BF9">
        <w:rPr>
          <w:rFonts w:ascii="Times New Roman" w:hAnsi="Times New Roman" w:cs="Times New Roman"/>
          <w:szCs w:val="24"/>
        </w:rPr>
        <w:t xml:space="preserve"> as proxy for leverage ratio</w:t>
      </w:r>
      <w:r w:rsidR="008A0938">
        <w:rPr>
          <w:rFonts w:ascii="Times New Roman" w:hAnsi="Times New Roman" w:cs="Times New Roman"/>
          <w:szCs w:val="24"/>
        </w:rPr>
        <w:t xml:space="preserve"> </w:t>
      </w:r>
      <w:r w:rsidR="008A0938" w:rsidRPr="008A0938">
        <w:rPr>
          <w:rFonts w:ascii="Times New Roman" w:hAnsi="Times New Roman" w:cs="Times New Roman"/>
        </w:rPr>
        <w:t>(e.g., Allen and Rai, 1996)</w:t>
      </w:r>
      <w:r w:rsidR="008A0938">
        <w:rPr>
          <w:rFonts w:ascii="Times New Roman" w:hAnsi="Times New Roman" w:cs="Times New Roman"/>
          <w:szCs w:val="24"/>
        </w:rPr>
        <w:t xml:space="preserve"> as well as source of funding for Islamic banks</w:t>
      </w:r>
      <w:r w:rsidR="006F3BF9">
        <w:rPr>
          <w:rFonts w:ascii="Times New Roman" w:hAnsi="Times New Roman" w:cs="Times New Roman"/>
          <w:szCs w:val="24"/>
        </w:rPr>
        <w:t>.</w:t>
      </w:r>
      <w:r w:rsidR="008A0938" w:rsidRPr="008A0938">
        <w:t xml:space="preserve"> </w:t>
      </w:r>
      <w:proofErr w:type="gramStart"/>
      <w:r w:rsidR="008A0938">
        <w:t xml:space="preserve">(e.g., </w:t>
      </w:r>
      <w:r w:rsidR="008A0938" w:rsidRPr="003403C1">
        <w:rPr>
          <w:rFonts w:ascii="Times New Roman" w:hAnsi="Times New Roman" w:cs="Times New Roman"/>
        </w:rPr>
        <w:t>Abdul-</w:t>
      </w:r>
      <w:proofErr w:type="spellStart"/>
      <w:r w:rsidR="008A0938" w:rsidRPr="003403C1">
        <w:rPr>
          <w:rFonts w:ascii="Times New Roman" w:hAnsi="Times New Roman" w:cs="Times New Roman"/>
        </w:rPr>
        <w:t>Majid</w:t>
      </w:r>
      <w:proofErr w:type="spellEnd"/>
      <w:r w:rsidR="008A0938" w:rsidRPr="003403C1">
        <w:rPr>
          <w:rFonts w:ascii="Times New Roman" w:hAnsi="Times New Roman" w:cs="Times New Roman"/>
        </w:rPr>
        <w:t xml:space="preserve">, </w:t>
      </w:r>
      <w:proofErr w:type="spellStart"/>
      <w:r w:rsidR="008A0938" w:rsidRPr="003403C1">
        <w:rPr>
          <w:rFonts w:ascii="Times New Roman" w:hAnsi="Times New Roman" w:cs="Times New Roman"/>
        </w:rPr>
        <w:t>Sall</w:t>
      </w:r>
      <w:proofErr w:type="spellEnd"/>
      <w:r w:rsidR="008A0938" w:rsidRPr="003403C1">
        <w:rPr>
          <w:rFonts w:ascii="Times New Roman" w:hAnsi="Times New Roman" w:cs="Times New Roman"/>
        </w:rPr>
        <w:t xml:space="preserve">, and </w:t>
      </w:r>
      <w:proofErr w:type="spellStart"/>
      <w:r w:rsidR="008A0938" w:rsidRPr="003403C1">
        <w:rPr>
          <w:rFonts w:ascii="Times New Roman" w:hAnsi="Times New Roman" w:cs="Times New Roman"/>
        </w:rPr>
        <w:t>Battisti</w:t>
      </w:r>
      <w:proofErr w:type="spellEnd"/>
      <w:r w:rsidR="008A0938" w:rsidRPr="003403C1">
        <w:rPr>
          <w:rFonts w:ascii="Times New Roman" w:hAnsi="Times New Roman" w:cs="Times New Roman"/>
        </w:rPr>
        <w:t>, 2010)</w:t>
      </w:r>
      <w:r w:rsidR="003403C1">
        <w:rPr>
          <w:rFonts w:ascii="Times New Roman" w:hAnsi="Times New Roman" w:cs="Times New Roman"/>
        </w:rPr>
        <w:t>.</w:t>
      </w:r>
      <w:proofErr w:type="gramEnd"/>
    </w:p>
    <w:p w:rsidR="007B2E37" w:rsidRDefault="007B2E37" w:rsidP="005A0A33">
      <w:pPr>
        <w:spacing w:line="480" w:lineRule="auto"/>
        <w:rPr>
          <w:rFonts w:ascii="Times New Roman" w:hAnsi="Times New Roman" w:cs="Times New Roman"/>
          <w:szCs w:val="24"/>
        </w:rPr>
      </w:pPr>
      <w:r w:rsidRPr="0076280D">
        <w:rPr>
          <w:rFonts w:ascii="Times New Roman" w:hAnsi="Times New Roman" w:cs="Times New Roman"/>
          <w:szCs w:val="24"/>
        </w:rPr>
        <w:t xml:space="preserve"> </w:t>
      </w:r>
      <w:r w:rsidRPr="0076280D">
        <w:rPr>
          <w:rFonts w:ascii="Times New Roman" w:hAnsi="Times New Roman" w:cs="Times New Roman"/>
          <w:szCs w:val="24"/>
        </w:rPr>
        <w:tab/>
        <w:t>Seven dummy variables are used</w:t>
      </w:r>
      <w:r w:rsidR="006F3BF9">
        <w:rPr>
          <w:rFonts w:ascii="Times New Roman" w:hAnsi="Times New Roman" w:cs="Times New Roman"/>
          <w:szCs w:val="24"/>
        </w:rPr>
        <w:t xml:space="preserve"> as proxies for environmental variables</w:t>
      </w:r>
      <w:r w:rsidRPr="0076280D">
        <w:rPr>
          <w:rFonts w:ascii="Times New Roman" w:hAnsi="Times New Roman" w:cs="Times New Roman"/>
          <w:szCs w:val="24"/>
        </w:rPr>
        <w:t>. The ISLAM dummy equal to one indicates a bank fully or partially follows Islamic rules. Otherwise, ISLAM equals zero. PRIVATE is one for a bank is classified as privately owned; otherwise, PRIVATE=0</w:t>
      </w:r>
      <w:r w:rsidR="008A0938">
        <w:rPr>
          <w:rFonts w:ascii="Times New Roman" w:hAnsi="Times New Roman" w:cs="Times New Roman"/>
          <w:szCs w:val="24"/>
        </w:rPr>
        <w:t xml:space="preserve"> </w:t>
      </w:r>
      <w:r w:rsidR="008A0938" w:rsidRPr="008A0938">
        <w:rPr>
          <w:rFonts w:ascii="Times New Roman" w:hAnsi="Times New Roman" w:cs="Times New Roman"/>
        </w:rPr>
        <w:t xml:space="preserve">(e.g., </w:t>
      </w:r>
      <w:proofErr w:type="spellStart"/>
      <w:r w:rsidR="008A0938" w:rsidRPr="008A0938">
        <w:rPr>
          <w:rFonts w:ascii="Times New Roman" w:hAnsi="Times New Roman" w:cs="Times New Roman"/>
        </w:rPr>
        <w:t>Altunbas</w:t>
      </w:r>
      <w:proofErr w:type="spellEnd"/>
      <w:r w:rsidR="008A0938" w:rsidRPr="008A0938">
        <w:rPr>
          <w:rFonts w:ascii="Times New Roman" w:hAnsi="Times New Roman" w:cs="Times New Roman"/>
        </w:rPr>
        <w:t xml:space="preserve">, Evans, and </w:t>
      </w:r>
      <w:proofErr w:type="spellStart"/>
      <w:r w:rsidR="008A0938" w:rsidRPr="008A0938">
        <w:rPr>
          <w:rFonts w:ascii="Times New Roman" w:hAnsi="Times New Roman" w:cs="Times New Roman"/>
        </w:rPr>
        <w:t>Molyneux</w:t>
      </w:r>
      <w:proofErr w:type="spellEnd"/>
      <w:r w:rsidR="008A0938" w:rsidRPr="008A0938">
        <w:rPr>
          <w:rFonts w:ascii="Times New Roman" w:hAnsi="Times New Roman" w:cs="Times New Roman"/>
        </w:rPr>
        <w:t xml:space="preserve">, 2001; Berger, </w:t>
      </w:r>
      <w:proofErr w:type="spellStart"/>
      <w:r w:rsidR="008A0938" w:rsidRPr="008A0938">
        <w:rPr>
          <w:rFonts w:ascii="Times New Roman" w:hAnsi="Times New Roman" w:cs="Times New Roman"/>
        </w:rPr>
        <w:t>Hasan</w:t>
      </w:r>
      <w:proofErr w:type="spellEnd"/>
      <w:r w:rsidR="008A0938" w:rsidRPr="008A0938">
        <w:rPr>
          <w:rFonts w:ascii="Times New Roman" w:hAnsi="Times New Roman" w:cs="Times New Roman"/>
        </w:rPr>
        <w:t>, and Zhou,</w:t>
      </w:r>
      <w:r w:rsidR="008A0938" w:rsidRPr="008A0938">
        <w:rPr>
          <w:rFonts w:ascii="Times New Roman" w:hAnsi="Times New Roman" w:cs="Times New Roman"/>
          <w:color w:val="7030A0"/>
        </w:rPr>
        <w:t xml:space="preserve"> </w:t>
      </w:r>
      <w:r w:rsidR="008A0938" w:rsidRPr="008A0938">
        <w:rPr>
          <w:rFonts w:ascii="Times New Roman" w:hAnsi="Times New Roman" w:cs="Times New Roman"/>
        </w:rPr>
        <w:t>2010);</w:t>
      </w:r>
      <w:r w:rsidR="008A0938">
        <w:t xml:space="preserve"> </w:t>
      </w:r>
      <w:r w:rsidRPr="0076280D">
        <w:rPr>
          <w:rFonts w:ascii="Times New Roman" w:hAnsi="Times New Roman" w:cs="Times New Roman"/>
          <w:szCs w:val="24"/>
        </w:rPr>
        <w:t xml:space="preserve">The dummies BR, KU, OM, QA, and SA equal to one to represent the country (Bahrain, Kuwait, Omen, Qatar, and Saudi </w:t>
      </w:r>
      <w:r w:rsidRPr="0076280D">
        <w:rPr>
          <w:rFonts w:ascii="Times New Roman" w:hAnsi="Times New Roman" w:cs="Times New Roman"/>
          <w:szCs w:val="24"/>
        </w:rPr>
        <w:lastRenderedPageBreak/>
        <w:t>Arabia) where a bank is located. When the all five country d</w:t>
      </w:r>
      <w:r w:rsidR="006F3BF9">
        <w:rPr>
          <w:rFonts w:ascii="Times New Roman" w:hAnsi="Times New Roman" w:cs="Times New Roman"/>
          <w:szCs w:val="24"/>
        </w:rPr>
        <w:t>ummies equal zero for a bank, the bank</w:t>
      </w:r>
      <w:r w:rsidRPr="0076280D">
        <w:rPr>
          <w:rFonts w:ascii="Times New Roman" w:hAnsi="Times New Roman" w:cs="Times New Roman"/>
          <w:szCs w:val="24"/>
        </w:rPr>
        <w:t xml:space="preserve"> is </w:t>
      </w:r>
      <w:r w:rsidR="006F3BF9">
        <w:rPr>
          <w:rFonts w:ascii="Times New Roman" w:hAnsi="Times New Roman" w:cs="Times New Roman"/>
          <w:szCs w:val="24"/>
        </w:rPr>
        <w:t xml:space="preserve">located </w:t>
      </w:r>
      <w:r w:rsidRPr="0076280D">
        <w:rPr>
          <w:rFonts w:ascii="Times New Roman" w:hAnsi="Times New Roman" w:cs="Times New Roman"/>
          <w:szCs w:val="24"/>
        </w:rPr>
        <w:t xml:space="preserve">in the </w:t>
      </w:r>
      <w:r w:rsidR="008A0938">
        <w:rPr>
          <w:rFonts w:ascii="Times New Roman" w:hAnsi="Times New Roman" w:cs="Times New Roman"/>
          <w:szCs w:val="24"/>
        </w:rPr>
        <w:t>UAE</w:t>
      </w:r>
      <w:r>
        <w:rPr>
          <w:rFonts w:ascii="Times New Roman" w:hAnsi="Times New Roman" w:cs="Times New Roman"/>
          <w:szCs w:val="24"/>
        </w:rPr>
        <w:t xml:space="preserve"> (</w:t>
      </w:r>
      <w:r w:rsidR="006F3BF9">
        <w:rPr>
          <w:rFonts w:ascii="Times New Roman" w:hAnsi="Times New Roman" w:cs="Times New Roman"/>
          <w:szCs w:val="24"/>
        </w:rPr>
        <w:t xml:space="preserve">the </w:t>
      </w:r>
      <w:r>
        <w:rPr>
          <w:rFonts w:ascii="Times New Roman" w:hAnsi="Times New Roman" w:cs="Times New Roman"/>
          <w:szCs w:val="24"/>
        </w:rPr>
        <w:t>base country)</w:t>
      </w:r>
      <w:r w:rsidRPr="0076280D">
        <w:rPr>
          <w:rFonts w:ascii="Times New Roman" w:hAnsi="Times New Roman" w:cs="Times New Roman"/>
          <w:szCs w:val="24"/>
        </w:rPr>
        <w:t xml:space="preserve">. </w:t>
      </w:r>
      <w:r w:rsidR="006F3BF9">
        <w:rPr>
          <w:rFonts w:ascii="Times New Roman" w:hAnsi="Times New Roman" w:cs="Times New Roman"/>
          <w:szCs w:val="24"/>
        </w:rPr>
        <w:t xml:space="preserve">Similarly, </w:t>
      </w:r>
      <w:r w:rsidR="008A0938">
        <w:rPr>
          <w:rFonts w:ascii="Times New Roman" w:hAnsi="Times New Roman" w:cs="Times New Roman"/>
          <w:szCs w:val="24"/>
        </w:rPr>
        <w:t>the UAE serves as the base country when we estimate our efficiency results based on stochastic</w:t>
      </w:r>
      <w:r w:rsidRPr="0076280D">
        <w:rPr>
          <w:rFonts w:ascii="Times New Roman" w:hAnsi="Times New Roman" w:cs="Times New Roman"/>
          <w:szCs w:val="24"/>
        </w:rPr>
        <w:t xml:space="preserve"> frontier</w:t>
      </w:r>
      <w:r>
        <w:rPr>
          <w:rFonts w:ascii="Times New Roman" w:hAnsi="Times New Roman" w:cs="Times New Roman"/>
          <w:szCs w:val="24"/>
        </w:rPr>
        <w:t xml:space="preserve"> analysis</w:t>
      </w:r>
      <w:r w:rsidR="003403C1">
        <w:rPr>
          <w:rFonts w:ascii="Times New Roman" w:hAnsi="Times New Roman" w:cs="Times New Roman"/>
          <w:szCs w:val="24"/>
        </w:rPr>
        <w:t>.</w:t>
      </w:r>
    </w:p>
    <w:p w:rsidR="00B0116B" w:rsidRPr="0076280D" w:rsidRDefault="008A0938" w:rsidP="00884613">
      <w:pPr>
        <w:pStyle w:val="BodyTextIndent"/>
        <w:ind w:left="0" w:firstLine="720"/>
      </w:pPr>
      <w:r>
        <w:rPr>
          <w:lang w:eastAsia="zh-TW"/>
        </w:rPr>
        <w:t xml:space="preserve">In addition to </w:t>
      </w:r>
      <w:r w:rsidR="000F1E38">
        <w:rPr>
          <w:lang w:eastAsia="zh-TW"/>
        </w:rPr>
        <w:t>country dummy variables</w:t>
      </w:r>
      <w:r>
        <w:rPr>
          <w:lang w:eastAsia="zh-TW"/>
        </w:rPr>
        <w:t>,</w:t>
      </w:r>
      <w:r w:rsidR="000F1E38">
        <w:rPr>
          <w:lang w:eastAsia="zh-TW"/>
        </w:rPr>
        <w:t xml:space="preserve"> </w:t>
      </w:r>
      <w:r w:rsidR="00B0116B" w:rsidRPr="0076280D">
        <w:rPr>
          <w:lang w:eastAsia="zh-TW"/>
        </w:rPr>
        <w:t>year dummy variables</w:t>
      </w:r>
      <w:r w:rsidR="000F1E38">
        <w:rPr>
          <w:lang w:eastAsia="zh-TW"/>
        </w:rPr>
        <w:t xml:space="preserve"> </w:t>
      </w:r>
      <w:r w:rsidR="00B0116B" w:rsidRPr="0076280D">
        <w:rPr>
          <w:lang w:eastAsia="zh-TW"/>
        </w:rPr>
        <w:t>are included to control for</w:t>
      </w:r>
      <w:r w:rsidR="003403C1">
        <w:rPr>
          <w:lang w:eastAsia="zh-TW"/>
        </w:rPr>
        <w:t xml:space="preserve"> the </w:t>
      </w:r>
      <w:r w:rsidR="00B0116B" w:rsidRPr="0076280D">
        <w:rPr>
          <w:lang w:eastAsia="zh-TW"/>
        </w:rPr>
        <w:t xml:space="preserve">economic impact </w:t>
      </w:r>
      <w:r w:rsidR="000F1E38">
        <w:rPr>
          <w:lang w:eastAsia="zh-TW"/>
        </w:rPr>
        <w:t>attributed to different periods respectively.</w:t>
      </w:r>
      <w:r w:rsidR="00B0116B" w:rsidRPr="0076280D">
        <w:rPr>
          <w:lang w:eastAsia="zh-TW"/>
        </w:rPr>
        <w:t xml:space="preserve"> </w:t>
      </w:r>
      <w:r w:rsidR="00B0116B" w:rsidRPr="0076280D">
        <w:t xml:space="preserve">The cost function of equation (2) takes a translog form, </w:t>
      </w:r>
      <w:r w:rsidR="00B0116B" w:rsidRPr="0076280D">
        <w:rPr>
          <w:color w:val="17365D"/>
          <w:lang w:eastAsia="zh-TW"/>
        </w:rPr>
        <w:t xml:space="preserve">so the f-function is </w:t>
      </w:r>
      <w:r w:rsidR="00B0116B" w:rsidRPr="0076280D">
        <w:rPr>
          <w:position w:val="-28"/>
        </w:rPr>
        <w:object w:dxaOrig="6140" w:dyaOrig="680">
          <v:shape id="_x0000_i1077" type="#_x0000_t75" style="width:306.75pt;height:33.75pt" o:ole="">
            <v:imagedata r:id="rId97" o:title=""/>
          </v:shape>
          <o:OLEObject Type="Embed" ProgID="Equation.3" ShapeID="_x0000_i1077" DrawAspect="Content" ObjectID="_1394296558" r:id="rId98"/>
        </w:object>
      </w:r>
    </w:p>
    <w:p w:rsidR="00B0116B" w:rsidRPr="0076280D" w:rsidRDefault="00B0116B" w:rsidP="00884613">
      <w:pPr>
        <w:pStyle w:val="BodyTextIndent"/>
        <w:ind w:left="0" w:firstLine="0"/>
        <w:rPr>
          <w:lang w:eastAsia="zh-TW"/>
        </w:rPr>
      </w:pPr>
      <w:r w:rsidRPr="0076280D">
        <w:rPr>
          <w:position w:val="-28"/>
        </w:rPr>
        <w:object w:dxaOrig="4900" w:dyaOrig="680">
          <v:shape id="_x0000_i1078" type="#_x0000_t75" style="width:245.25pt;height:33.75pt" o:ole="">
            <v:imagedata r:id="rId99" o:title=""/>
          </v:shape>
          <o:OLEObject Type="Embed" ProgID="Equation.3" ShapeID="_x0000_i1078" DrawAspect="Content" ObjectID="_1394296559" r:id="rId100"/>
        </w:object>
      </w:r>
      <w:r w:rsidRPr="0076280D">
        <w:rPr>
          <w:position w:val="-12"/>
        </w:rPr>
        <w:object w:dxaOrig="700" w:dyaOrig="360">
          <v:shape id="_x0000_i1079" type="#_x0000_t75" style="width:35.25pt;height:18pt" o:ole="">
            <v:imagedata r:id="rId101" o:title=""/>
          </v:shape>
          <o:OLEObject Type="Embed" ProgID="Equation.3" ShapeID="_x0000_i1079" DrawAspect="Content" ObjectID="_1394296560" r:id="rId102"/>
        </w:object>
      </w:r>
      <w:r w:rsidRPr="0076280D">
        <w:t>.</w:t>
      </w:r>
      <w:r w:rsidRPr="0076280D">
        <w:tab/>
      </w:r>
      <w:r w:rsidRPr="0076280D">
        <w:tab/>
      </w:r>
      <w:r w:rsidRPr="0076280D">
        <w:tab/>
      </w:r>
      <w:r w:rsidRPr="0076280D">
        <w:tab/>
        <w:t>(</w:t>
      </w:r>
      <w:r w:rsidRPr="0076280D">
        <w:rPr>
          <w:lang w:eastAsia="zh-TW"/>
        </w:rPr>
        <w:t>5</w:t>
      </w:r>
      <w:r w:rsidRPr="0076280D">
        <w:t>)</w:t>
      </w:r>
    </w:p>
    <w:p w:rsidR="00B0116B" w:rsidRPr="0076280D" w:rsidRDefault="00B0116B" w:rsidP="00884613">
      <w:pPr>
        <w:pStyle w:val="BodyTextIndent"/>
        <w:ind w:left="0" w:firstLine="0"/>
        <w:rPr>
          <w:lang w:eastAsia="zh-TW"/>
        </w:rPr>
      </w:pPr>
      <w:proofErr w:type="gramStart"/>
      <w:r w:rsidRPr="0076280D">
        <w:rPr>
          <w:lang w:eastAsia="zh-TW"/>
        </w:rPr>
        <w:t>Where D is the year dummy variable.</w:t>
      </w:r>
      <w:proofErr w:type="gramEnd"/>
    </w:p>
    <w:p w:rsidR="00B0116B" w:rsidRPr="0076280D" w:rsidRDefault="00B0116B" w:rsidP="005A0A33">
      <w:pPr>
        <w:pStyle w:val="BodyTextIndent"/>
        <w:ind w:left="0" w:firstLine="480"/>
      </w:pPr>
      <w:r w:rsidRPr="0076280D">
        <w:t>Finally, cost inefficiency,</w:t>
      </w:r>
      <w:r w:rsidRPr="0076280D">
        <w:rPr>
          <w:position w:val="-12"/>
        </w:rPr>
        <w:object w:dxaOrig="279" w:dyaOrig="360">
          <v:shape id="_x0000_i1080" type="#_x0000_t75" style="width:14.25pt;height:18pt" o:ole="">
            <v:imagedata r:id="rId103" o:title=""/>
          </v:shape>
          <o:OLEObject Type="Embed" ProgID="Equation.3" ShapeID="_x0000_i1080" DrawAspect="Content" ObjectID="_1394296561" r:id="rId104"/>
        </w:object>
      </w:r>
      <w:proofErr w:type="gramStart"/>
      <w:r w:rsidRPr="0076280D">
        <w:t>,</w:t>
      </w:r>
      <w:proofErr w:type="gramEnd"/>
      <w:r w:rsidRPr="0076280D">
        <w:t xml:space="preserve"> is not a good measure. Consistent with Berger et al. (1993), this study calculates the cost efficiency (</w:t>
      </w:r>
      <w:r w:rsidRPr="0076280D">
        <w:rPr>
          <w:position w:val="-12"/>
        </w:rPr>
        <w:object w:dxaOrig="480" w:dyaOrig="360">
          <v:shape id="_x0000_i1081" type="#_x0000_t75" style="width:24pt;height:18pt" o:ole="">
            <v:imagedata r:id="rId105" o:title=""/>
          </v:shape>
          <o:OLEObject Type="Embed" ProgID="Equation.3" ShapeID="_x0000_i1081" DrawAspect="Content" ObjectID="_1394296562" r:id="rId106"/>
        </w:object>
      </w:r>
      <w:r w:rsidRPr="0076280D">
        <w:t xml:space="preserve">) via </w:t>
      </w:r>
      <w:r w:rsidRPr="0076280D">
        <w:rPr>
          <w:position w:val="-12"/>
        </w:rPr>
        <w:object w:dxaOrig="279" w:dyaOrig="360">
          <v:shape id="_x0000_i1082" type="#_x0000_t75" style="width:14.25pt;height:18pt" o:ole="">
            <v:imagedata r:id="rId103" o:title=""/>
          </v:shape>
          <o:OLEObject Type="Embed" ProgID="Equation.3" ShapeID="_x0000_i1082" DrawAspect="Content" ObjectID="_1394296563" r:id="rId107"/>
        </w:object>
      </w:r>
      <w:r w:rsidRPr="0076280D">
        <w:t>as follows:</w:t>
      </w:r>
    </w:p>
    <w:p w:rsidR="00B0116B" w:rsidRPr="0076280D" w:rsidRDefault="00B0116B" w:rsidP="00884613">
      <w:pPr>
        <w:pStyle w:val="BodyTextIndent"/>
        <w:ind w:left="0" w:firstLine="0"/>
      </w:pPr>
      <w:r w:rsidRPr="0076280D">
        <w:rPr>
          <w:position w:val="-12"/>
        </w:rPr>
        <w:object w:dxaOrig="3920" w:dyaOrig="380">
          <v:shape id="_x0000_i1083" type="#_x0000_t75" style="width:195.75pt;height:18.75pt" o:ole="">
            <v:imagedata r:id="rId108" o:title=""/>
          </v:shape>
          <o:OLEObject Type="Embed" ProgID="Equation.3" ShapeID="_x0000_i1083" DrawAspect="Content" ObjectID="_1394296564" r:id="rId109"/>
        </w:object>
      </w:r>
      <w:r w:rsidRPr="0076280D">
        <w:t>,</w:t>
      </w:r>
      <w:r w:rsidRPr="0076280D">
        <w:tab/>
      </w:r>
      <w:r w:rsidRPr="0076280D">
        <w:tab/>
      </w:r>
      <w:r w:rsidRPr="0076280D">
        <w:tab/>
      </w:r>
      <w:r w:rsidRPr="0076280D">
        <w:tab/>
      </w:r>
      <w:r w:rsidRPr="0076280D">
        <w:tab/>
      </w:r>
      <w:r w:rsidRPr="0076280D">
        <w:tab/>
      </w:r>
      <w:r w:rsidR="009F6B1A" w:rsidRPr="0076280D">
        <w:t xml:space="preserve">   </w:t>
      </w:r>
      <w:r w:rsidRPr="0076280D">
        <w:t>(6)</w:t>
      </w:r>
      <w:r w:rsidRPr="0076280D">
        <w:tab/>
      </w:r>
    </w:p>
    <w:p w:rsidR="00D67FD4" w:rsidRDefault="00D67FD4" w:rsidP="005A0A33">
      <w:pPr>
        <w:pStyle w:val="BodyTextIndent"/>
        <w:ind w:left="0" w:firstLine="0"/>
      </w:pPr>
      <w:r>
        <w:t>W</w:t>
      </w:r>
      <w:r w:rsidR="00B0116B" w:rsidRPr="0076280D">
        <w:t xml:space="preserve">here </w:t>
      </w:r>
      <w:r w:rsidR="00B0116B" w:rsidRPr="0076280D">
        <w:rPr>
          <w:position w:val="-12"/>
        </w:rPr>
        <w:object w:dxaOrig="440" w:dyaOrig="380">
          <v:shape id="_x0000_i1084" type="#_x0000_t75" style="width:21.75pt;height:18.75pt" o:ole="">
            <v:imagedata r:id="rId110" o:title=""/>
          </v:shape>
          <o:OLEObject Type="Embed" ProgID="Equation.3" ShapeID="_x0000_i1084" DrawAspect="Content" ObjectID="_1394296565" r:id="rId111"/>
        </w:object>
      </w:r>
      <w:r w:rsidR="00B0116B" w:rsidRPr="0076280D">
        <w:t xml:space="preserve"> is the minimal </w:t>
      </w:r>
      <w:r w:rsidR="00B0116B" w:rsidRPr="0076280D">
        <w:rPr>
          <w:position w:val="-12"/>
        </w:rPr>
        <w:object w:dxaOrig="279" w:dyaOrig="360">
          <v:shape id="_x0000_i1085" type="#_x0000_t75" style="width:14.25pt;height:18pt" o:ole="">
            <v:imagedata r:id="rId103" o:title=""/>
          </v:shape>
          <o:OLEObject Type="Embed" ProgID="Equation.3" ShapeID="_x0000_i1085" DrawAspect="Content" ObjectID="_1394296566" r:id="rId112"/>
        </w:object>
      </w:r>
      <w:r w:rsidR="00B0116B" w:rsidRPr="0076280D">
        <w:t xml:space="preserve"> and is used as the benchmark to calculate the comparative efficiency for t=1</w:t>
      </w:r>
      <w:proofErr w:type="gramStart"/>
      <w:r w:rsidR="00B0116B" w:rsidRPr="0076280D">
        <w:t>, …,</w:t>
      </w:r>
      <w:proofErr w:type="gramEnd"/>
      <w:r w:rsidR="00B0116B" w:rsidRPr="0076280D">
        <w:t xml:space="preserve"> T (periods) and i= 1, …, N (banks). All estimates of the cost efficiency calculated from equation (6) fall between zero and one.</w:t>
      </w:r>
      <w:r>
        <w:t xml:space="preserve"> </w:t>
      </w:r>
      <w:r w:rsidR="00B0116B" w:rsidRPr="0076280D">
        <w:t xml:space="preserve">Similarly, the profit function can be specified: </w:t>
      </w:r>
    </w:p>
    <w:p w:rsidR="00B0116B" w:rsidRPr="0076280D" w:rsidRDefault="00B0116B" w:rsidP="005A0A33">
      <w:pPr>
        <w:pStyle w:val="BodyTextIndent"/>
        <w:ind w:left="0" w:firstLine="0"/>
      </w:pPr>
      <w:r w:rsidRPr="0076280D">
        <w:rPr>
          <w:position w:val="-28"/>
        </w:rPr>
        <w:object w:dxaOrig="6100" w:dyaOrig="680">
          <v:shape id="_x0000_i1086" type="#_x0000_t75" style="width:305.25pt;height:33.75pt" o:ole="">
            <v:imagedata r:id="rId113" o:title=""/>
          </v:shape>
          <o:OLEObject Type="Embed" ProgID="Equation.3" ShapeID="_x0000_i1086" DrawAspect="Content" ObjectID="_1394296567" r:id="rId114"/>
        </w:object>
      </w:r>
    </w:p>
    <w:p w:rsidR="00B0116B" w:rsidRDefault="00B0116B" w:rsidP="00884613">
      <w:pPr>
        <w:pStyle w:val="BodyTextIndent"/>
        <w:ind w:left="0" w:firstLine="0"/>
      </w:pPr>
      <w:r w:rsidRPr="0076280D">
        <w:rPr>
          <w:position w:val="-28"/>
        </w:rPr>
        <w:object w:dxaOrig="5679" w:dyaOrig="680">
          <v:shape id="_x0000_i1087" type="#_x0000_t75" style="width:284.25pt;height:33.75pt" o:ole="">
            <v:imagedata r:id="rId115" o:title=""/>
          </v:shape>
          <o:OLEObject Type="Embed" ProgID="Equation.3" ShapeID="_x0000_i1087" DrawAspect="Content" ObjectID="_1394296568" r:id="rId116"/>
        </w:object>
      </w:r>
      <w:r w:rsidRPr="0076280D">
        <w:t xml:space="preserve">. </w:t>
      </w:r>
      <w:r w:rsidRPr="0076280D">
        <w:tab/>
      </w:r>
      <w:r w:rsidRPr="0076280D">
        <w:tab/>
      </w:r>
      <w:r w:rsidRPr="0076280D">
        <w:tab/>
        <w:t>(</w:t>
      </w:r>
      <w:r w:rsidRPr="0076280D">
        <w:rPr>
          <w:lang w:eastAsia="zh-TW"/>
        </w:rPr>
        <w:t>7</w:t>
      </w:r>
      <w:r w:rsidRPr="0076280D">
        <w:t>)</w:t>
      </w:r>
    </w:p>
    <w:p w:rsidR="003403C1" w:rsidRDefault="00B0116B" w:rsidP="00884613">
      <w:pPr>
        <w:spacing w:line="480" w:lineRule="auto"/>
        <w:jc w:val="both"/>
        <w:rPr>
          <w:rFonts w:ascii="Times New Roman" w:hAnsi="Times New Roman" w:cs="Times New Roman"/>
          <w:szCs w:val="24"/>
        </w:rPr>
      </w:pPr>
      <w:r w:rsidRPr="0076280D">
        <w:rPr>
          <w:rFonts w:ascii="Times New Roman" w:hAnsi="Times New Roman" w:cs="Times New Roman"/>
          <w:szCs w:val="24"/>
        </w:rPr>
        <w:t>The specification (7) has been defined in Berger et al. (2000). Profit efficiency (</w:t>
      </w:r>
      <w:r w:rsidRPr="0076280D">
        <w:rPr>
          <w:rFonts w:ascii="Times New Roman" w:hAnsi="Times New Roman" w:cs="Times New Roman"/>
          <w:position w:val="-12"/>
          <w:szCs w:val="24"/>
        </w:rPr>
        <w:object w:dxaOrig="480" w:dyaOrig="360">
          <v:shape id="_x0000_i1088" type="#_x0000_t75" style="width:24pt;height:18pt" o:ole="">
            <v:imagedata r:id="rId117" o:title=""/>
          </v:shape>
          <o:OLEObject Type="Embed" ProgID="Equation.3" ShapeID="_x0000_i1088" DrawAspect="Content" ObjectID="_1394296569" r:id="rId118"/>
        </w:object>
      </w:r>
      <w:r w:rsidRPr="0076280D">
        <w:rPr>
          <w:rFonts w:ascii="Times New Roman" w:hAnsi="Times New Roman" w:cs="Times New Roman"/>
          <w:szCs w:val="24"/>
        </w:rPr>
        <w:t xml:space="preserve">) is </w:t>
      </w:r>
    </w:p>
    <w:p w:rsidR="00B0116B" w:rsidRPr="0076280D" w:rsidRDefault="00B0116B" w:rsidP="00884613">
      <w:pPr>
        <w:spacing w:line="480" w:lineRule="auto"/>
        <w:jc w:val="both"/>
        <w:rPr>
          <w:rFonts w:ascii="Times New Roman" w:hAnsi="Times New Roman" w:cs="Times New Roman"/>
          <w:szCs w:val="24"/>
        </w:rPr>
      </w:pPr>
      <w:proofErr w:type="gramStart"/>
      <w:r w:rsidRPr="0076280D">
        <w:rPr>
          <w:rFonts w:ascii="Times New Roman" w:hAnsi="Times New Roman" w:cs="Times New Roman"/>
          <w:szCs w:val="24"/>
        </w:rPr>
        <w:t>defined</w:t>
      </w:r>
      <w:proofErr w:type="gramEnd"/>
      <w:r w:rsidRPr="0076280D">
        <w:rPr>
          <w:rFonts w:ascii="Times New Roman" w:hAnsi="Times New Roman" w:cs="Times New Roman"/>
          <w:szCs w:val="24"/>
        </w:rPr>
        <w:t xml:space="preserve"> as: </w:t>
      </w:r>
      <w:r w:rsidRPr="0076280D">
        <w:rPr>
          <w:rFonts w:ascii="Times New Roman" w:hAnsi="Times New Roman" w:cs="Times New Roman"/>
          <w:position w:val="-12"/>
          <w:szCs w:val="24"/>
        </w:rPr>
        <w:object w:dxaOrig="480" w:dyaOrig="360">
          <v:shape id="_x0000_i1089" type="#_x0000_t75" style="width:24pt;height:18pt" o:ole="">
            <v:imagedata r:id="rId117" o:title=""/>
          </v:shape>
          <o:OLEObject Type="Embed" ProgID="Equation.3" ShapeID="_x0000_i1089" DrawAspect="Content" ObjectID="_1394296570" r:id="rId119"/>
        </w:object>
      </w:r>
      <w:r w:rsidRPr="0076280D">
        <w:rPr>
          <w:rFonts w:ascii="Times New Roman" w:hAnsi="Times New Roman" w:cs="Times New Roman"/>
          <w:szCs w:val="24"/>
        </w:rPr>
        <w:t xml:space="preserve">= </w:t>
      </w:r>
      <w:proofErr w:type="spellStart"/>
      <w:r w:rsidRPr="0076280D">
        <w:rPr>
          <w:rFonts w:ascii="Times New Roman" w:hAnsi="Times New Roman" w:cs="Times New Roman"/>
          <w:szCs w:val="24"/>
        </w:rPr>
        <w:t>exp</w:t>
      </w:r>
      <w:proofErr w:type="spellEnd"/>
      <w:r w:rsidRPr="0076280D">
        <w:rPr>
          <w:rFonts w:ascii="Times New Roman" w:hAnsi="Times New Roman" w:cs="Times New Roman"/>
          <w:szCs w:val="24"/>
        </w:rPr>
        <w:t>(-m</w:t>
      </w:r>
      <w:r w:rsidRPr="0076280D">
        <w:rPr>
          <w:rFonts w:ascii="Times New Roman" w:hAnsi="Times New Roman" w:cs="Times New Roman"/>
          <w:position w:val="-12"/>
          <w:szCs w:val="24"/>
        </w:rPr>
        <w:object w:dxaOrig="160" w:dyaOrig="360">
          <v:shape id="_x0000_i1090" type="#_x0000_t75" style="width:8.25pt;height:18pt" o:ole="">
            <v:imagedata r:id="rId120" o:title=""/>
          </v:shape>
          <o:OLEObject Type="Embed" ProgID="Equation.3" ShapeID="_x0000_i1090" DrawAspect="Content" ObjectID="_1394296571" r:id="rId121"/>
        </w:object>
      </w:r>
      <w:r w:rsidRPr="0076280D">
        <w:rPr>
          <w:rFonts w:ascii="Times New Roman" w:hAnsi="Times New Roman" w:cs="Times New Roman"/>
          <w:szCs w:val="24"/>
        </w:rPr>
        <w:t>).</w:t>
      </w:r>
      <w:r w:rsidRPr="0076280D">
        <w:rPr>
          <w:rFonts w:ascii="Times New Roman" w:hAnsi="Times New Roman" w:cs="Times New Roman"/>
          <w:szCs w:val="24"/>
        </w:rPr>
        <w:tab/>
      </w:r>
      <w:r w:rsidRPr="0076280D">
        <w:rPr>
          <w:rFonts w:ascii="Times New Roman" w:hAnsi="Times New Roman" w:cs="Times New Roman"/>
          <w:szCs w:val="24"/>
        </w:rPr>
        <w:tab/>
      </w:r>
      <w:r w:rsidRPr="0076280D">
        <w:rPr>
          <w:rFonts w:ascii="Times New Roman" w:hAnsi="Times New Roman" w:cs="Times New Roman"/>
          <w:szCs w:val="24"/>
        </w:rPr>
        <w:tab/>
      </w:r>
      <w:r w:rsidRPr="0076280D">
        <w:rPr>
          <w:rFonts w:ascii="Times New Roman" w:hAnsi="Times New Roman" w:cs="Times New Roman"/>
          <w:szCs w:val="24"/>
        </w:rPr>
        <w:tab/>
      </w:r>
      <w:r w:rsidRPr="0076280D">
        <w:rPr>
          <w:rFonts w:ascii="Times New Roman" w:hAnsi="Times New Roman" w:cs="Times New Roman"/>
          <w:szCs w:val="24"/>
        </w:rPr>
        <w:tab/>
      </w:r>
      <w:r w:rsidRPr="0076280D">
        <w:rPr>
          <w:rFonts w:ascii="Times New Roman" w:hAnsi="Times New Roman" w:cs="Times New Roman"/>
          <w:szCs w:val="24"/>
        </w:rPr>
        <w:tab/>
      </w:r>
      <w:r w:rsidRPr="0076280D">
        <w:rPr>
          <w:rFonts w:ascii="Times New Roman" w:hAnsi="Times New Roman" w:cs="Times New Roman"/>
          <w:szCs w:val="24"/>
        </w:rPr>
        <w:tab/>
      </w:r>
      <w:r w:rsidRPr="0076280D">
        <w:rPr>
          <w:rFonts w:ascii="Times New Roman" w:hAnsi="Times New Roman" w:cs="Times New Roman"/>
          <w:szCs w:val="24"/>
        </w:rPr>
        <w:tab/>
      </w:r>
      <w:r w:rsidRPr="0076280D">
        <w:rPr>
          <w:rFonts w:ascii="Times New Roman" w:hAnsi="Times New Roman" w:cs="Times New Roman"/>
          <w:szCs w:val="24"/>
        </w:rPr>
        <w:tab/>
      </w:r>
      <w:r w:rsidR="009F6B1A" w:rsidRPr="0076280D">
        <w:rPr>
          <w:rFonts w:ascii="Times New Roman" w:hAnsi="Times New Roman" w:cs="Times New Roman"/>
          <w:szCs w:val="24"/>
        </w:rPr>
        <w:t xml:space="preserve">           </w:t>
      </w:r>
      <w:r w:rsidR="0087298C" w:rsidRPr="0076280D">
        <w:rPr>
          <w:rFonts w:ascii="Times New Roman" w:hAnsi="Times New Roman" w:cs="Times New Roman"/>
          <w:szCs w:val="24"/>
        </w:rPr>
        <w:t xml:space="preserve">    </w:t>
      </w:r>
      <w:r w:rsidR="009F6B1A" w:rsidRPr="0076280D">
        <w:rPr>
          <w:rFonts w:ascii="Times New Roman" w:hAnsi="Times New Roman" w:cs="Times New Roman"/>
          <w:szCs w:val="24"/>
        </w:rPr>
        <w:t xml:space="preserve"> </w:t>
      </w:r>
      <w:r w:rsidRPr="0076280D">
        <w:rPr>
          <w:rFonts w:ascii="Times New Roman" w:hAnsi="Times New Roman" w:cs="Times New Roman"/>
          <w:szCs w:val="24"/>
        </w:rPr>
        <w:t>(8)</w:t>
      </w:r>
    </w:p>
    <w:p w:rsidR="0023308B" w:rsidRDefault="0023308B" w:rsidP="00884613">
      <w:pPr>
        <w:spacing w:line="480" w:lineRule="auto"/>
        <w:ind w:firstLine="480"/>
        <w:jc w:val="both"/>
        <w:rPr>
          <w:rFonts w:ascii="Times New Roman" w:hAnsi="Times New Roman" w:cs="Times New Roman"/>
          <w:szCs w:val="24"/>
        </w:rPr>
      </w:pPr>
      <w:r>
        <w:rPr>
          <w:rFonts w:ascii="Times New Roman" w:hAnsi="Times New Roman" w:cs="Times New Roman"/>
        </w:rPr>
        <w:t>We pool cross-sectional and time-series data for our sample banks to measure cost and profit efficiency of banks operating in six GCC countries.</w:t>
      </w:r>
      <w:r w:rsidR="00A86E47">
        <w:rPr>
          <w:rFonts w:ascii="Times New Roman" w:hAnsi="Times New Roman" w:cs="Times New Roman"/>
        </w:rPr>
        <w:t xml:space="preserve">  We estimate the</w:t>
      </w:r>
      <w:r>
        <w:rPr>
          <w:rFonts w:ascii="Times New Roman" w:hAnsi="Times New Roman" w:cs="Times New Roman"/>
        </w:rPr>
        <w:t xml:space="preserve"> generalized stochastic cost frontier model (equations 2.1 to 2.6) and the profit frontier model (equations 4.1</w:t>
      </w:r>
      <w:r w:rsidR="00A86E47">
        <w:rPr>
          <w:rFonts w:ascii="Times New Roman" w:hAnsi="Times New Roman" w:cs="Times New Roman"/>
        </w:rPr>
        <w:t xml:space="preserve"> to 4.6) based on a “single-step” method</w:t>
      </w:r>
      <w:r>
        <w:rPr>
          <w:rFonts w:ascii="Times New Roman" w:hAnsi="Times New Roman" w:cs="Times New Roman"/>
        </w:rPr>
        <w:t xml:space="preserve"> using the LIMDEP program developed by Greene (1993) and the STATA program developed by Wang and Schmidt (2002).</w:t>
      </w:r>
    </w:p>
    <w:p w:rsidR="00B0116B" w:rsidRPr="0076280D" w:rsidRDefault="008613C5" w:rsidP="00884613">
      <w:pPr>
        <w:pStyle w:val="BodyTextIndent"/>
        <w:ind w:left="0" w:firstLine="0"/>
        <w:rPr>
          <w:b/>
        </w:rPr>
      </w:pPr>
      <w:r>
        <w:rPr>
          <w:b/>
        </w:rPr>
        <w:t>5.</w:t>
      </w:r>
      <w:r w:rsidR="00B0116B" w:rsidRPr="0076280D">
        <w:rPr>
          <w:b/>
        </w:rPr>
        <w:t xml:space="preserve"> Data </w:t>
      </w:r>
    </w:p>
    <w:p w:rsidR="00B505E1" w:rsidRDefault="0032757A" w:rsidP="005A0A33">
      <w:pPr>
        <w:spacing w:line="480" w:lineRule="auto"/>
        <w:ind w:firstLine="720"/>
        <w:rPr>
          <w:rFonts w:ascii="Times New Roman" w:eastAsia="Times New Roman" w:hAnsi="Times New Roman" w:cs="Times New Roman"/>
          <w:color w:val="000000"/>
          <w:szCs w:val="24"/>
        </w:rPr>
      </w:pPr>
      <w:r>
        <w:rPr>
          <w:rFonts w:ascii="Times New Roman" w:hAnsi="Times New Roman" w:cs="Times New Roman"/>
          <w:szCs w:val="24"/>
        </w:rPr>
        <w:t>Our sample includes data</w:t>
      </w:r>
      <w:r w:rsidR="00EF714A" w:rsidRPr="0076280D">
        <w:rPr>
          <w:rFonts w:ascii="Times New Roman" w:hAnsi="Times New Roman" w:cs="Times New Roman"/>
          <w:szCs w:val="24"/>
        </w:rPr>
        <w:t xml:space="preserve"> </w:t>
      </w:r>
      <w:r w:rsidR="007A56C1" w:rsidRPr="0076280D">
        <w:rPr>
          <w:rFonts w:ascii="Times New Roman" w:hAnsi="Times New Roman" w:cs="Times New Roman"/>
          <w:szCs w:val="24"/>
        </w:rPr>
        <w:t>(en</w:t>
      </w:r>
      <w:r w:rsidR="00C62B56" w:rsidRPr="0076280D">
        <w:rPr>
          <w:rFonts w:ascii="Times New Roman" w:hAnsi="Times New Roman" w:cs="Times New Roman"/>
          <w:szCs w:val="24"/>
        </w:rPr>
        <w:t>ded at December 31 for each ye</w:t>
      </w:r>
      <w:r w:rsidR="00AF3EEE" w:rsidRPr="0076280D">
        <w:rPr>
          <w:rFonts w:ascii="Times New Roman" w:hAnsi="Times New Roman" w:cs="Times New Roman"/>
          <w:szCs w:val="24"/>
        </w:rPr>
        <w:t xml:space="preserve">ar) </w:t>
      </w:r>
      <w:r>
        <w:rPr>
          <w:rFonts w:ascii="Times New Roman" w:hAnsi="Times New Roman" w:cs="Times New Roman"/>
          <w:szCs w:val="24"/>
        </w:rPr>
        <w:t>for 45</w:t>
      </w:r>
      <w:r w:rsidR="00EF714A" w:rsidRPr="0076280D">
        <w:rPr>
          <w:rFonts w:ascii="Times New Roman" w:hAnsi="Times New Roman" w:cs="Times New Roman"/>
          <w:szCs w:val="24"/>
        </w:rPr>
        <w:t xml:space="preserve"> bank</w:t>
      </w:r>
      <w:r w:rsidR="00DD5F95" w:rsidRPr="0076280D">
        <w:rPr>
          <w:rFonts w:ascii="Times New Roman" w:hAnsi="Times New Roman" w:cs="Times New Roman"/>
          <w:szCs w:val="24"/>
        </w:rPr>
        <w:t xml:space="preserve">s </w:t>
      </w:r>
      <w:r>
        <w:rPr>
          <w:rFonts w:ascii="Times New Roman" w:hAnsi="Times New Roman" w:cs="Times New Roman"/>
          <w:szCs w:val="24"/>
        </w:rPr>
        <w:t>from six GCC countries (</w:t>
      </w:r>
      <w:r w:rsidRPr="0076280D">
        <w:rPr>
          <w:rFonts w:ascii="Times New Roman" w:hAnsi="Times New Roman" w:cs="Times New Roman"/>
          <w:szCs w:val="24"/>
        </w:rPr>
        <w:t>Bahrain, Kuwait, Omen, Qatar, Saudi Arabia, and t</w:t>
      </w:r>
      <w:r>
        <w:rPr>
          <w:rFonts w:ascii="Times New Roman" w:hAnsi="Times New Roman" w:cs="Times New Roman"/>
          <w:szCs w:val="24"/>
        </w:rPr>
        <w:t xml:space="preserve">he United Emirates of Arab). Annual bank-level data </w:t>
      </w:r>
      <w:r w:rsidR="00DD5F95" w:rsidRPr="0076280D">
        <w:rPr>
          <w:rFonts w:ascii="Times New Roman" w:hAnsi="Times New Roman" w:cs="Times New Roman"/>
          <w:szCs w:val="24"/>
        </w:rPr>
        <w:t xml:space="preserve">are collected </w:t>
      </w:r>
      <w:r w:rsidR="00EF714A" w:rsidRPr="0076280D">
        <w:rPr>
          <w:rFonts w:ascii="Times New Roman" w:hAnsi="Times New Roman" w:cs="Times New Roman"/>
          <w:szCs w:val="24"/>
        </w:rPr>
        <w:t xml:space="preserve">from </w:t>
      </w:r>
      <w:r>
        <w:rPr>
          <w:rFonts w:ascii="Times New Roman" w:hAnsi="Times New Roman" w:cs="Times New Roman"/>
          <w:szCs w:val="24"/>
        </w:rPr>
        <w:t xml:space="preserve">the </w:t>
      </w:r>
      <w:proofErr w:type="spellStart"/>
      <w:r w:rsidR="00EF714A" w:rsidRPr="0032757A">
        <w:rPr>
          <w:rFonts w:ascii="Times New Roman" w:hAnsi="Times New Roman" w:cs="Times New Roman"/>
          <w:i/>
          <w:szCs w:val="24"/>
        </w:rPr>
        <w:t>Bank</w:t>
      </w:r>
      <w:r>
        <w:rPr>
          <w:rFonts w:ascii="Times New Roman" w:hAnsi="Times New Roman" w:cs="Times New Roman"/>
          <w:i/>
          <w:szCs w:val="24"/>
        </w:rPr>
        <w:t>S</w:t>
      </w:r>
      <w:r w:rsidR="00EF714A" w:rsidRPr="0032757A">
        <w:rPr>
          <w:rFonts w:ascii="Times New Roman" w:hAnsi="Times New Roman" w:cs="Times New Roman"/>
          <w:i/>
          <w:szCs w:val="24"/>
        </w:rPr>
        <w:t>cope</w:t>
      </w:r>
      <w:proofErr w:type="spellEnd"/>
      <w:r>
        <w:rPr>
          <w:rFonts w:ascii="Times New Roman" w:hAnsi="Times New Roman" w:cs="Times New Roman"/>
          <w:szCs w:val="24"/>
        </w:rPr>
        <w:t xml:space="preserve"> database for the period 1999-2010 resulting in an unbalanced panel of 504 observations</w:t>
      </w:r>
      <w:r w:rsidR="0093441F">
        <w:rPr>
          <w:rFonts w:ascii="Times New Roman" w:hAnsi="Times New Roman" w:cs="Times New Roman"/>
          <w:i/>
          <w:szCs w:val="24"/>
        </w:rPr>
        <w:t xml:space="preserve">, </w:t>
      </w:r>
      <w:r w:rsidR="0093441F">
        <w:rPr>
          <w:rFonts w:ascii="Times New Roman" w:hAnsi="Times New Roman" w:cs="Times New Roman"/>
          <w:szCs w:val="24"/>
        </w:rPr>
        <w:t>with 42 of these observations being for Islamic banks.</w:t>
      </w:r>
      <w:r w:rsidR="0093441F">
        <w:rPr>
          <w:rStyle w:val="FootnoteReference"/>
          <w:rFonts w:ascii="Times New Roman" w:hAnsi="Times New Roman" w:cs="Times New Roman"/>
          <w:szCs w:val="24"/>
        </w:rPr>
        <w:footnoteReference w:id="16"/>
      </w:r>
      <w:r w:rsidR="0093441F">
        <w:rPr>
          <w:rFonts w:ascii="Times New Roman" w:hAnsi="Times New Roman" w:cs="Times New Roman"/>
          <w:szCs w:val="24"/>
        </w:rPr>
        <w:t xml:space="preserve"> </w:t>
      </w:r>
      <w:r w:rsidR="00877BD8">
        <w:rPr>
          <w:rFonts w:ascii="Times New Roman" w:hAnsi="Times New Roman" w:cs="Times New Roman"/>
          <w:szCs w:val="24"/>
        </w:rPr>
        <w:t>However, the length of the time period for individual bank</w:t>
      </w:r>
      <w:r w:rsidRPr="0076280D">
        <w:rPr>
          <w:rFonts w:ascii="Times New Roman" w:hAnsi="Times New Roman" w:cs="Times New Roman"/>
          <w:szCs w:val="24"/>
        </w:rPr>
        <w:t xml:space="preserve"> varies from bank to bank </w:t>
      </w:r>
      <w:r w:rsidR="00877BD8">
        <w:rPr>
          <w:rFonts w:ascii="Times New Roman" w:hAnsi="Times New Roman" w:cs="Times New Roman"/>
          <w:szCs w:val="24"/>
        </w:rPr>
        <w:t xml:space="preserve">depending on the availability of data. </w:t>
      </w:r>
      <w:r w:rsidR="00A12119">
        <w:rPr>
          <w:rFonts w:ascii="Times New Roman" w:hAnsi="Times New Roman" w:cs="Times New Roman"/>
          <w:szCs w:val="24"/>
        </w:rPr>
        <w:t xml:space="preserve">Table 1 lists the sample distribution of banks by type of bank (Islamic, conventional or mixed), and by type of ownership (private, government, or mixed) for each of the </w:t>
      </w:r>
      <w:r w:rsidR="00A12119">
        <w:rPr>
          <w:rFonts w:ascii="Times New Roman" w:hAnsi="Times New Roman" w:cs="Times New Roman"/>
          <w:szCs w:val="24"/>
        </w:rPr>
        <w:lastRenderedPageBreak/>
        <w:t>six gulf countries</w:t>
      </w:r>
      <w:r w:rsidR="00EF714A" w:rsidRPr="0076280D">
        <w:rPr>
          <w:rFonts w:ascii="Times New Roman" w:hAnsi="Times New Roman" w:cs="Times New Roman"/>
          <w:szCs w:val="24"/>
        </w:rPr>
        <w:t>.</w:t>
      </w:r>
      <w:r w:rsidR="007B2E37" w:rsidRPr="007B2E37">
        <w:rPr>
          <w:rFonts w:ascii="Times New Roman" w:hAnsi="Times New Roman" w:cs="Times New Roman"/>
          <w:szCs w:val="24"/>
        </w:rPr>
        <w:t xml:space="preserve"> </w:t>
      </w:r>
      <w:r w:rsidR="007B2E37">
        <w:rPr>
          <w:rFonts w:ascii="Times New Roman" w:hAnsi="Times New Roman" w:cs="Times New Roman"/>
          <w:szCs w:val="24"/>
        </w:rPr>
        <w:t xml:space="preserve">In our </w:t>
      </w:r>
      <w:r w:rsidR="007B2E37" w:rsidRPr="0076280D">
        <w:rPr>
          <w:rFonts w:ascii="Times New Roman" w:hAnsi="Times New Roman" w:cs="Times New Roman"/>
          <w:szCs w:val="24"/>
        </w:rPr>
        <w:t xml:space="preserve">sample, only Bahrain Saudi </w:t>
      </w:r>
      <w:proofErr w:type="gramStart"/>
      <w:r w:rsidR="007B2E37" w:rsidRPr="0076280D">
        <w:rPr>
          <w:rFonts w:ascii="Times New Roman" w:hAnsi="Times New Roman" w:cs="Times New Roman"/>
          <w:szCs w:val="24"/>
        </w:rPr>
        <w:t>Bank ,</w:t>
      </w:r>
      <w:proofErr w:type="gramEnd"/>
      <w:r w:rsidR="007B2E37" w:rsidRPr="0076280D">
        <w:rPr>
          <w:rFonts w:ascii="Times New Roman" w:hAnsi="Times New Roman" w:cs="Times New Roman"/>
          <w:szCs w:val="24"/>
        </w:rPr>
        <w:t xml:space="preserve"> Qatar International Islamic Bank, Bank Al-</w:t>
      </w:r>
      <w:proofErr w:type="spellStart"/>
      <w:r w:rsidR="007B2E37" w:rsidRPr="0076280D">
        <w:rPr>
          <w:rFonts w:ascii="Times New Roman" w:hAnsi="Times New Roman" w:cs="Times New Roman"/>
          <w:szCs w:val="24"/>
        </w:rPr>
        <w:t>Jazira</w:t>
      </w:r>
      <w:proofErr w:type="spellEnd"/>
      <w:r w:rsidR="007B2E37" w:rsidRPr="0076280D">
        <w:rPr>
          <w:rFonts w:ascii="Times New Roman" w:hAnsi="Times New Roman" w:cs="Times New Roman"/>
          <w:szCs w:val="24"/>
        </w:rPr>
        <w:t xml:space="preserve">, and National Commercial Bank are Islamic, while National bank of Bahrain , </w:t>
      </w:r>
      <w:proofErr w:type="spellStart"/>
      <w:r w:rsidR="007B2E37" w:rsidRPr="0076280D">
        <w:rPr>
          <w:rFonts w:ascii="Times New Roman" w:hAnsi="Times New Roman" w:cs="Times New Roman"/>
          <w:szCs w:val="24"/>
        </w:rPr>
        <w:t>Alahli</w:t>
      </w:r>
      <w:proofErr w:type="spellEnd"/>
      <w:r w:rsidR="007B2E37" w:rsidRPr="0076280D">
        <w:rPr>
          <w:rFonts w:ascii="Times New Roman" w:hAnsi="Times New Roman" w:cs="Times New Roman"/>
          <w:szCs w:val="24"/>
        </w:rPr>
        <w:t xml:space="preserve"> Bank of Kuwait, Burgan Bank, Gulf Bank, National Bank of Kuwait, Bank </w:t>
      </w:r>
      <w:proofErr w:type="spellStart"/>
      <w:r w:rsidR="007B2E37" w:rsidRPr="0076280D">
        <w:rPr>
          <w:rFonts w:ascii="Times New Roman" w:hAnsi="Times New Roman" w:cs="Times New Roman"/>
          <w:szCs w:val="24"/>
        </w:rPr>
        <w:t>Dhofar</w:t>
      </w:r>
      <w:proofErr w:type="spellEnd"/>
      <w:r w:rsidR="007B2E37" w:rsidRPr="0076280D">
        <w:rPr>
          <w:rFonts w:ascii="Times New Roman" w:hAnsi="Times New Roman" w:cs="Times New Roman"/>
          <w:szCs w:val="24"/>
        </w:rPr>
        <w:t xml:space="preserve"> , Bank Muscat, National Bank of Oman, Oman International Bank, </w:t>
      </w:r>
      <w:r w:rsidR="007B2E37" w:rsidRPr="0076280D">
        <w:rPr>
          <w:rFonts w:ascii="Times New Roman" w:eastAsia="Times New Roman" w:hAnsi="Times New Roman" w:cs="Times New Roman"/>
          <w:color w:val="000000"/>
          <w:szCs w:val="24"/>
        </w:rPr>
        <w:t xml:space="preserve">Qatar Development Bank, Arab Bank for Investment &amp; Foreign Trade, and Bank of </w:t>
      </w:r>
      <w:proofErr w:type="spellStart"/>
      <w:r w:rsidR="007B2E37" w:rsidRPr="0076280D">
        <w:rPr>
          <w:rFonts w:ascii="Times New Roman" w:eastAsia="Times New Roman" w:hAnsi="Times New Roman" w:cs="Times New Roman"/>
          <w:color w:val="000000"/>
          <w:szCs w:val="24"/>
        </w:rPr>
        <w:t>Sharjah</w:t>
      </w:r>
      <w:proofErr w:type="spellEnd"/>
      <w:r w:rsidR="007B2E37" w:rsidRPr="0076280D">
        <w:rPr>
          <w:rFonts w:ascii="Times New Roman" w:eastAsia="Times New Roman" w:hAnsi="Times New Roman" w:cs="Times New Roman"/>
          <w:color w:val="000000"/>
          <w:szCs w:val="24"/>
        </w:rPr>
        <w:t xml:space="preserve"> are conventional.  All other banks are</w:t>
      </w:r>
      <w:r w:rsidR="007B2E37">
        <w:rPr>
          <w:rFonts w:ascii="Times New Roman" w:eastAsia="Times New Roman" w:hAnsi="Times New Roman" w:cs="Times New Roman"/>
          <w:color w:val="000000"/>
          <w:szCs w:val="24"/>
        </w:rPr>
        <w:t xml:space="preserve"> mixed with Islamic and conventional banks</w:t>
      </w:r>
      <w:r w:rsidR="007B2E37" w:rsidRPr="0076280D">
        <w:rPr>
          <w:rFonts w:ascii="Times New Roman" w:eastAsia="Times New Roman" w:hAnsi="Times New Roman" w:cs="Times New Roman"/>
          <w:color w:val="000000"/>
          <w:szCs w:val="24"/>
        </w:rPr>
        <w:t>.</w:t>
      </w:r>
      <w:r w:rsidR="007B2E37">
        <w:rPr>
          <w:rFonts w:ascii="Times New Roman" w:eastAsia="Times New Roman" w:hAnsi="Times New Roman" w:cs="Times New Roman"/>
          <w:color w:val="000000"/>
          <w:szCs w:val="24"/>
        </w:rPr>
        <w:t xml:space="preserve">  Most banks in our</w:t>
      </w:r>
      <w:r w:rsidR="007B2E37" w:rsidRPr="0076280D">
        <w:rPr>
          <w:rFonts w:ascii="Times New Roman" w:eastAsia="Times New Roman" w:hAnsi="Times New Roman" w:cs="Times New Roman"/>
          <w:color w:val="000000"/>
          <w:szCs w:val="24"/>
        </w:rPr>
        <w:t xml:space="preserve"> sample are privately owned except Qatar Development Bank. However, the governments (local or central) are major owners for several banks in these </w:t>
      </w:r>
      <w:r w:rsidR="007B2E37">
        <w:rPr>
          <w:rFonts w:ascii="Times New Roman" w:eastAsia="Times New Roman" w:hAnsi="Times New Roman" w:cs="Times New Roman"/>
          <w:color w:val="000000"/>
          <w:szCs w:val="24"/>
        </w:rPr>
        <w:t xml:space="preserve">countries. For instance, </w:t>
      </w:r>
      <w:r w:rsidR="007B2E37" w:rsidRPr="0076280D">
        <w:rPr>
          <w:rFonts w:ascii="Times New Roman" w:eastAsia="Times New Roman" w:hAnsi="Times New Roman" w:cs="Times New Roman"/>
          <w:color w:val="000000"/>
          <w:szCs w:val="24"/>
        </w:rPr>
        <w:t>National Bank of Abu Dhabi is featured with 70.6% government ownership, National Bank of Dubai Public Joint Co. with 55.6%, National Bank of Fujairah with 54.41%, National Bank of Umm Al-</w:t>
      </w:r>
      <w:proofErr w:type="spellStart"/>
      <w:r w:rsidR="007B2E37" w:rsidRPr="0076280D">
        <w:rPr>
          <w:rFonts w:ascii="Times New Roman" w:eastAsia="Times New Roman" w:hAnsi="Times New Roman" w:cs="Times New Roman"/>
          <w:color w:val="000000"/>
          <w:szCs w:val="24"/>
        </w:rPr>
        <w:t>Qaiwain</w:t>
      </w:r>
      <w:proofErr w:type="spellEnd"/>
      <w:r w:rsidR="007B2E37" w:rsidRPr="0076280D">
        <w:rPr>
          <w:rFonts w:ascii="Times New Roman" w:eastAsia="Times New Roman" w:hAnsi="Times New Roman" w:cs="Times New Roman"/>
          <w:color w:val="000000"/>
          <w:szCs w:val="24"/>
        </w:rPr>
        <w:t xml:space="preserve"> with 30%, according to </w:t>
      </w:r>
      <w:proofErr w:type="spellStart"/>
      <w:r w:rsidR="007B2E37" w:rsidRPr="0076280D">
        <w:rPr>
          <w:rFonts w:ascii="Times New Roman" w:eastAsia="Times New Roman" w:hAnsi="Times New Roman" w:cs="Times New Roman"/>
          <w:color w:val="000000"/>
          <w:szCs w:val="24"/>
        </w:rPr>
        <w:t>Bankscope</w:t>
      </w:r>
      <w:proofErr w:type="spellEnd"/>
      <w:r w:rsidR="007B2E37" w:rsidRPr="0076280D">
        <w:rPr>
          <w:rFonts w:ascii="Times New Roman" w:eastAsia="Times New Roman" w:hAnsi="Times New Roman" w:cs="Times New Roman"/>
          <w:color w:val="000000"/>
          <w:szCs w:val="24"/>
        </w:rPr>
        <w:t xml:space="preserve">. </w:t>
      </w:r>
    </w:p>
    <w:p w:rsidR="000F1E38" w:rsidRDefault="007B2E37" w:rsidP="005A0A33">
      <w:pPr>
        <w:spacing w:line="480" w:lineRule="auto"/>
        <w:ind w:firstLine="720"/>
        <w:rPr>
          <w:rFonts w:ascii="Times New Roman" w:hAnsi="Times New Roman" w:cs="Times New Roman"/>
          <w:szCs w:val="24"/>
        </w:rPr>
      </w:pPr>
      <w:r>
        <w:rPr>
          <w:rFonts w:ascii="Times New Roman" w:hAnsi="Times New Roman" w:cs="Times New Roman"/>
          <w:szCs w:val="24"/>
        </w:rPr>
        <w:t xml:space="preserve">                            </w:t>
      </w:r>
      <w:r w:rsidR="000F1E38">
        <w:rPr>
          <w:rFonts w:ascii="Times New Roman" w:hAnsi="Times New Roman" w:cs="Times New Roman"/>
          <w:szCs w:val="24"/>
        </w:rPr>
        <w:t>[Table 1 about here]</w:t>
      </w:r>
    </w:p>
    <w:p w:rsidR="003403C1" w:rsidRDefault="00CC2AA6" w:rsidP="005A0A33">
      <w:pPr>
        <w:spacing w:line="480" w:lineRule="auto"/>
        <w:ind w:firstLine="720"/>
        <w:rPr>
          <w:rFonts w:ascii="Times New Roman" w:hAnsi="Times New Roman" w:cs="Times New Roman"/>
          <w:szCs w:val="24"/>
        </w:rPr>
      </w:pPr>
      <w:r>
        <w:rPr>
          <w:rFonts w:ascii="Times New Roman" w:hAnsi="Times New Roman" w:cs="Times New Roman"/>
          <w:szCs w:val="24"/>
        </w:rPr>
        <w:t>Table 2 lists dependent variables, input and output variables, bank-specific factors, and dummy variables</w:t>
      </w:r>
      <w:r w:rsidR="003403C1">
        <w:rPr>
          <w:rFonts w:ascii="Times New Roman" w:hAnsi="Times New Roman" w:cs="Times New Roman"/>
          <w:szCs w:val="24"/>
        </w:rPr>
        <w:t xml:space="preserve">. The interaction terms in the </w:t>
      </w:r>
      <w:proofErr w:type="spellStart"/>
      <w:r w:rsidR="003403C1">
        <w:rPr>
          <w:rFonts w:ascii="Times New Roman" w:hAnsi="Times New Roman" w:cs="Times New Roman"/>
          <w:szCs w:val="24"/>
        </w:rPr>
        <w:t>t</w:t>
      </w:r>
      <w:r w:rsidR="00B505E1">
        <w:rPr>
          <w:rFonts w:ascii="Times New Roman" w:hAnsi="Times New Roman" w:cs="Times New Roman"/>
          <w:szCs w:val="24"/>
        </w:rPr>
        <w:t>ranslog</w:t>
      </w:r>
      <w:proofErr w:type="spellEnd"/>
      <w:r w:rsidR="00B505E1">
        <w:rPr>
          <w:rFonts w:ascii="Times New Roman" w:hAnsi="Times New Roman" w:cs="Times New Roman"/>
          <w:szCs w:val="24"/>
        </w:rPr>
        <w:t xml:space="preserve"> functional form are</w:t>
      </w:r>
      <w:r w:rsidR="003403C1">
        <w:rPr>
          <w:rFonts w:ascii="Times New Roman" w:hAnsi="Times New Roman" w:cs="Times New Roman"/>
          <w:szCs w:val="24"/>
        </w:rPr>
        <w:t xml:space="preserve"> provided in Table 2.</w:t>
      </w:r>
    </w:p>
    <w:p w:rsidR="00CC2AA6" w:rsidRDefault="00CC2AA6" w:rsidP="005A0A33">
      <w:pPr>
        <w:spacing w:line="480" w:lineRule="auto"/>
        <w:ind w:firstLine="720"/>
        <w:rPr>
          <w:rFonts w:ascii="Times New Roman" w:hAnsi="Times New Roman" w:cs="Times New Roman"/>
          <w:szCs w:val="24"/>
        </w:rPr>
      </w:pPr>
      <w:r>
        <w:rPr>
          <w:rFonts w:ascii="Times New Roman" w:hAnsi="Times New Roman" w:cs="Times New Roman"/>
          <w:szCs w:val="24"/>
        </w:rPr>
        <w:t xml:space="preserve">                            [Table 2 about here]</w:t>
      </w:r>
    </w:p>
    <w:p w:rsidR="0071477D" w:rsidRPr="0071477D" w:rsidRDefault="0071477D" w:rsidP="005A0A33">
      <w:pPr>
        <w:spacing w:line="480" w:lineRule="auto"/>
        <w:rPr>
          <w:rFonts w:ascii="Times New Roman" w:hAnsi="Times New Roman" w:cs="Times New Roman"/>
          <w:b/>
          <w:szCs w:val="24"/>
        </w:rPr>
      </w:pPr>
      <w:r>
        <w:rPr>
          <w:rFonts w:ascii="Times New Roman" w:hAnsi="Times New Roman" w:cs="Times New Roman"/>
          <w:b/>
          <w:szCs w:val="24"/>
        </w:rPr>
        <w:t xml:space="preserve">6.  </w:t>
      </w:r>
      <w:r w:rsidRPr="0071477D">
        <w:rPr>
          <w:rFonts w:ascii="Times New Roman" w:hAnsi="Times New Roman" w:cs="Times New Roman"/>
          <w:b/>
          <w:szCs w:val="24"/>
        </w:rPr>
        <w:t>Empirical Results</w:t>
      </w:r>
    </w:p>
    <w:p w:rsidR="009C2927" w:rsidRDefault="009C2927" w:rsidP="005A0A33">
      <w:pPr>
        <w:spacing w:line="480" w:lineRule="auto"/>
        <w:ind w:firstLine="720"/>
        <w:rPr>
          <w:rFonts w:ascii="Times New Roman" w:hAnsi="Times New Roman" w:cs="Times New Roman"/>
          <w:szCs w:val="24"/>
        </w:rPr>
      </w:pPr>
      <w:r>
        <w:rPr>
          <w:rFonts w:ascii="Times New Roman" w:hAnsi="Times New Roman" w:cs="Times New Roman"/>
          <w:szCs w:val="24"/>
        </w:rPr>
        <w:t>We find that our sample banks operating in</w:t>
      </w:r>
      <w:r w:rsidRPr="0076280D">
        <w:rPr>
          <w:rFonts w:ascii="Times New Roman" w:hAnsi="Times New Roman" w:cs="Times New Roman"/>
          <w:szCs w:val="24"/>
        </w:rPr>
        <w:t xml:space="preserve"> Gulf countries</w:t>
      </w:r>
      <w:r>
        <w:rPr>
          <w:rFonts w:ascii="Times New Roman" w:hAnsi="Times New Roman" w:cs="Times New Roman"/>
          <w:szCs w:val="24"/>
        </w:rPr>
        <w:t xml:space="preserve"> include</w:t>
      </w:r>
      <w:r w:rsidRPr="0076280D">
        <w:rPr>
          <w:rFonts w:ascii="Times New Roman" w:hAnsi="Times New Roman" w:cs="Times New Roman"/>
          <w:szCs w:val="24"/>
        </w:rPr>
        <w:t xml:space="preserve"> conventional</w:t>
      </w:r>
      <w:r>
        <w:rPr>
          <w:rFonts w:ascii="Times New Roman" w:hAnsi="Times New Roman" w:cs="Times New Roman"/>
          <w:szCs w:val="24"/>
        </w:rPr>
        <w:t xml:space="preserve"> (i.e., </w:t>
      </w:r>
      <w:r>
        <w:rPr>
          <w:rFonts w:ascii="Times New Roman" w:hAnsi="Times New Roman" w:cs="Times New Roman"/>
          <w:szCs w:val="24"/>
        </w:rPr>
        <w:lastRenderedPageBreak/>
        <w:t xml:space="preserve">Western style); Islamic or </w:t>
      </w:r>
      <w:r w:rsidRPr="0076280D">
        <w:rPr>
          <w:rFonts w:ascii="Times New Roman" w:hAnsi="Times New Roman" w:cs="Times New Roman"/>
          <w:szCs w:val="24"/>
        </w:rPr>
        <w:t>mixed</w:t>
      </w:r>
      <w:r>
        <w:rPr>
          <w:rFonts w:ascii="Times New Roman" w:hAnsi="Times New Roman" w:cs="Times New Roman"/>
          <w:szCs w:val="24"/>
        </w:rPr>
        <w:t xml:space="preserve"> banks</w:t>
      </w:r>
      <w:r w:rsidRPr="0076280D">
        <w:rPr>
          <w:rFonts w:ascii="Times New Roman" w:hAnsi="Times New Roman" w:cs="Times New Roman"/>
          <w:szCs w:val="24"/>
        </w:rPr>
        <w:t xml:space="preserve">. </w:t>
      </w:r>
      <w:r>
        <w:rPr>
          <w:rFonts w:ascii="Times New Roman" w:hAnsi="Times New Roman" w:cs="Times New Roman"/>
          <w:szCs w:val="24"/>
        </w:rPr>
        <w:t xml:space="preserve">As mentioned earlier, the major difference between Islamic banking and conventional banking </w:t>
      </w:r>
      <w:r w:rsidRPr="0076280D">
        <w:rPr>
          <w:rFonts w:ascii="Times New Roman" w:hAnsi="Times New Roman" w:cs="Times New Roman"/>
          <w:szCs w:val="24"/>
        </w:rPr>
        <w:t>is the application o</w:t>
      </w:r>
      <w:r>
        <w:rPr>
          <w:rFonts w:ascii="Times New Roman" w:hAnsi="Times New Roman" w:cs="Times New Roman"/>
          <w:szCs w:val="24"/>
        </w:rPr>
        <w:t>f the “usury law”.  Typically, c</w:t>
      </w:r>
      <w:r w:rsidRPr="0076280D">
        <w:rPr>
          <w:rFonts w:ascii="Times New Roman" w:hAnsi="Times New Roman" w:cs="Times New Roman"/>
          <w:szCs w:val="24"/>
        </w:rPr>
        <w:t>onventional banks profit from interest spread between deposits and loans, which is forbidden in the Islamic law.</w:t>
      </w:r>
      <w:r>
        <w:rPr>
          <w:rFonts w:ascii="Times New Roman" w:hAnsi="Times New Roman" w:cs="Times New Roman"/>
          <w:szCs w:val="24"/>
        </w:rPr>
        <w:t xml:space="preserve"> </w:t>
      </w:r>
      <w:r w:rsidRPr="0076280D">
        <w:rPr>
          <w:rFonts w:ascii="Times New Roman" w:hAnsi="Times New Roman" w:cs="Times New Roman"/>
          <w:szCs w:val="24"/>
        </w:rPr>
        <w:t xml:space="preserve"> Islamic law allows banks to collect fees and make profit from the difference of the purchase price and sale price of securities. But it prohibits them from earning money </w:t>
      </w:r>
      <w:r>
        <w:rPr>
          <w:rFonts w:ascii="Times New Roman" w:hAnsi="Times New Roman" w:cs="Times New Roman"/>
          <w:szCs w:val="24"/>
        </w:rPr>
        <w:t>by collecting interest on</w:t>
      </w:r>
      <w:r w:rsidRPr="0076280D">
        <w:rPr>
          <w:rFonts w:ascii="Times New Roman" w:hAnsi="Times New Roman" w:cs="Times New Roman"/>
          <w:szCs w:val="24"/>
        </w:rPr>
        <w:t xml:space="preserve"> loans.</w:t>
      </w:r>
      <w:r>
        <w:rPr>
          <w:rFonts w:ascii="Times New Roman" w:hAnsi="Times New Roman" w:cs="Times New Roman"/>
          <w:szCs w:val="24"/>
        </w:rPr>
        <w:t xml:space="preserve">  Therefore</w:t>
      </w:r>
      <w:r w:rsidR="00EC15CD">
        <w:rPr>
          <w:rFonts w:ascii="Times New Roman" w:hAnsi="Times New Roman" w:cs="Times New Roman"/>
          <w:szCs w:val="24"/>
        </w:rPr>
        <w:t>, it is likely that characteristics of sample banks will vary not only across countries within the Gulf region, but also between sample of Islamic banks and non-Islamic banks.</w:t>
      </w:r>
    </w:p>
    <w:p w:rsidR="00124535" w:rsidRDefault="00F85A3A" w:rsidP="005A0A33">
      <w:pPr>
        <w:spacing w:line="480" w:lineRule="auto"/>
        <w:ind w:firstLine="720"/>
        <w:rPr>
          <w:rFonts w:ascii="Times New Roman" w:hAnsi="Times New Roman" w:cs="Times New Roman"/>
          <w:szCs w:val="24"/>
        </w:rPr>
      </w:pPr>
      <w:r>
        <w:rPr>
          <w:rFonts w:ascii="Times New Roman" w:hAnsi="Times New Roman" w:cs="Times New Roman"/>
          <w:szCs w:val="24"/>
        </w:rPr>
        <w:t xml:space="preserve">Table 3 presents means and standard deviations of selected output and input variables, input prices and bank-specific characteristics for all GCC banks as well as individual GCC countries. The average size of banks measured by total assets differs considerably across GCC countries. Saudi banks are the </w:t>
      </w:r>
      <w:r w:rsidR="005A1498">
        <w:rPr>
          <w:rFonts w:ascii="Times New Roman" w:hAnsi="Times New Roman" w:cs="Times New Roman"/>
          <w:szCs w:val="24"/>
        </w:rPr>
        <w:t xml:space="preserve">largest among GCC countries followed by Bahrain, and UAE. </w:t>
      </w:r>
      <w:r w:rsidR="007D7FEF">
        <w:rPr>
          <w:rFonts w:ascii="Times New Roman" w:hAnsi="Times New Roman" w:cs="Times New Roman"/>
          <w:szCs w:val="24"/>
        </w:rPr>
        <w:t>T</w:t>
      </w:r>
      <w:r w:rsidR="007D7FEF" w:rsidRPr="0076280D">
        <w:rPr>
          <w:rFonts w:ascii="Times New Roman" w:hAnsi="Times New Roman" w:cs="Times New Roman"/>
          <w:szCs w:val="24"/>
        </w:rPr>
        <w:t>he banks in Saudi Arabia</w:t>
      </w:r>
      <w:r w:rsidR="007D7FEF">
        <w:rPr>
          <w:rFonts w:ascii="Times New Roman" w:hAnsi="Times New Roman" w:cs="Times New Roman"/>
          <w:szCs w:val="24"/>
        </w:rPr>
        <w:t xml:space="preserve"> are also largest among banks in our </w:t>
      </w:r>
      <w:r w:rsidR="007D7FEF" w:rsidRPr="0076280D">
        <w:rPr>
          <w:rFonts w:ascii="Times New Roman" w:hAnsi="Times New Roman" w:cs="Times New Roman"/>
          <w:szCs w:val="24"/>
        </w:rPr>
        <w:t xml:space="preserve">sample in terms of outputs and total costs. They also enjoy lowest cost of funds (P1). The </w:t>
      </w:r>
      <w:r w:rsidR="007D7FEF">
        <w:rPr>
          <w:rFonts w:ascii="Times New Roman" w:hAnsi="Times New Roman" w:cs="Times New Roman"/>
          <w:szCs w:val="24"/>
        </w:rPr>
        <w:t xml:space="preserve">average </w:t>
      </w:r>
      <w:r w:rsidR="007D7FEF" w:rsidRPr="0076280D">
        <w:rPr>
          <w:rFonts w:ascii="Times New Roman" w:hAnsi="Times New Roman" w:cs="Times New Roman"/>
          <w:szCs w:val="24"/>
        </w:rPr>
        <w:t>cost of funds</w:t>
      </w:r>
      <w:r w:rsidR="007D7FEF">
        <w:rPr>
          <w:rFonts w:ascii="Times New Roman" w:hAnsi="Times New Roman" w:cs="Times New Roman"/>
          <w:szCs w:val="24"/>
        </w:rPr>
        <w:t xml:space="preserve"> for Saudi</w:t>
      </w:r>
      <w:r w:rsidR="00124535">
        <w:rPr>
          <w:rFonts w:ascii="Times New Roman" w:hAnsi="Times New Roman" w:cs="Times New Roman"/>
          <w:szCs w:val="24"/>
        </w:rPr>
        <w:t xml:space="preserve"> banks</w:t>
      </w:r>
      <w:r w:rsidR="007D7FEF" w:rsidRPr="0076280D">
        <w:rPr>
          <w:rFonts w:ascii="Times New Roman" w:hAnsi="Times New Roman" w:cs="Times New Roman"/>
          <w:szCs w:val="24"/>
        </w:rPr>
        <w:t xml:space="preserve"> is 2.68% while </w:t>
      </w:r>
      <w:r w:rsidR="00124535">
        <w:rPr>
          <w:rFonts w:ascii="Times New Roman" w:hAnsi="Times New Roman" w:cs="Times New Roman"/>
          <w:szCs w:val="24"/>
        </w:rPr>
        <w:t>the average cost of funds for banks in</w:t>
      </w:r>
      <w:r w:rsidR="007D7FEF" w:rsidRPr="0076280D">
        <w:rPr>
          <w:rFonts w:ascii="Times New Roman" w:hAnsi="Times New Roman" w:cs="Times New Roman"/>
          <w:szCs w:val="24"/>
        </w:rPr>
        <w:t xml:space="preserve"> Bahrain is </w:t>
      </w:r>
      <w:r w:rsidR="007D7FEF">
        <w:rPr>
          <w:rFonts w:ascii="Times New Roman" w:hAnsi="Times New Roman" w:cs="Times New Roman"/>
          <w:szCs w:val="24"/>
        </w:rPr>
        <w:t>5.20%</w:t>
      </w:r>
      <w:r w:rsidR="00124535">
        <w:rPr>
          <w:rFonts w:ascii="Times New Roman" w:hAnsi="Times New Roman" w:cs="Times New Roman"/>
          <w:szCs w:val="24"/>
        </w:rPr>
        <w:t>, highest among all GCC countries.</w:t>
      </w:r>
      <w:r w:rsidR="00124535" w:rsidRPr="00124535">
        <w:rPr>
          <w:rFonts w:ascii="Times New Roman" w:hAnsi="Times New Roman" w:cs="Times New Roman"/>
          <w:szCs w:val="24"/>
        </w:rPr>
        <w:t xml:space="preserve"> </w:t>
      </w:r>
      <w:proofErr w:type="gramStart"/>
      <w:r w:rsidR="00124535" w:rsidRPr="0076280D">
        <w:rPr>
          <w:rFonts w:ascii="Times New Roman" w:hAnsi="Times New Roman" w:cs="Times New Roman"/>
          <w:szCs w:val="24"/>
        </w:rPr>
        <w:t>NPL(</w:t>
      </w:r>
      <w:proofErr w:type="gramEnd"/>
      <w:r w:rsidR="00124535" w:rsidRPr="0076280D">
        <w:rPr>
          <w:rFonts w:ascii="Times New Roman" w:hAnsi="Times New Roman" w:cs="Times New Roman"/>
          <w:szCs w:val="24"/>
        </w:rPr>
        <w:t>non-performing loan ratio) represents the</w:t>
      </w:r>
      <w:r w:rsidR="00124535">
        <w:rPr>
          <w:rFonts w:ascii="Times New Roman" w:hAnsi="Times New Roman" w:cs="Times New Roman"/>
          <w:szCs w:val="24"/>
        </w:rPr>
        <w:t xml:space="preserve"> credit</w:t>
      </w:r>
      <w:r w:rsidR="00124535" w:rsidRPr="0076280D">
        <w:rPr>
          <w:rFonts w:ascii="Times New Roman" w:hAnsi="Times New Roman" w:cs="Times New Roman"/>
          <w:szCs w:val="24"/>
        </w:rPr>
        <w:t xml:space="preserve"> risk of the loan assets. Banks in Saudi Arabia</w:t>
      </w:r>
      <w:r w:rsidR="00124535">
        <w:rPr>
          <w:rFonts w:ascii="Times New Roman" w:hAnsi="Times New Roman" w:cs="Times New Roman"/>
          <w:szCs w:val="24"/>
        </w:rPr>
        <w:t xml:space="preserve"> also enjoys lowest NPL(5.07%) among six nations while Oman has highest NPL </w:t>
      </w:r>
      <w:r w:rsidR="00124535">
        <w:rPr>
          <w:rFonts w:ascii="Times New Roman" w:hAnsi="Times New Roman" w:cs="Times New Roman"/>
          <w:szCs w:val="24"/>
        </w:rPr>
        <w:lastRenderedPageBreak/>
        <w:t>(13.27%) followed by Bahrain (9.05%) indicating that on average, banks in Oman have the highest level of credit risk exposure among six GCC countries.</w:t>
      </w:r>
    </w:p>
    <w:p w:rsidR="00124535" w:rsidRDefault="00124535" w:rsidP="005A0A33">
      <w:pPr>
        <w:spacing w:line="480" w:lineRule="auto"/>
        <w:ind w:firstLine="480"/>
        <w:rPr>
          <w:rFonts w:ascii="Times New Roman" w:hAnsi="Times New Roman" w:cs="Times New Roman"/>
          <w:szCs w:val="24"/>
        </w:rPr>
      </w:pPr>
      <w:r w:rsidRPr="0076280D">
        <w:rPr>
          <w:rFonts w:ascii="Times New Roman" w:hAnsi="Times New Roman" w:cs="Times New Roman"/>
          <w:szCs w:val="24"/>
        </w:rPr>
        <w:t xml:space="preserve">Saudi Arabia also has highest EQUITY, BORROW and NI. </w:t>
      </w:r>
      <w:r>
        <w:rPr>
          <w:rFonts w:ascii="Times New Roman" w:hAnsi="Times New Roman" w:cs="Times New Roman"/>
          <w:szCs w:val="24"/>
        </w:rPr>
        <w:t xml:space="preserve"> These results</w:t>
      </w:r>
      <w:r w:rsidRPr="0076280D">
        <w:rPr>
          <w:rFonts w:ascii="Times New Roman" w:hAnsi="Times New Roman" w:cs="Times New Roman"/>
          <w:szCs w:val="24"/>
        </w:rPr>
        <w:t xml:space="preserve"> indicate that th</w:t>
      </w:r>
      <w:r>
        <w:rPr>
          <w:rFonts w:ascii="Times New Roman" w:hAnsi="Times New Roman" w:cs="Times New Roman"/>
          <w:szCs w:val="24"/>
        </w:rPr>
        <w:t xml:space="preserve">e bank size is correlated with higher level of equity participation, borrowed funds, </w:t>
      </w:r>
      <w:proofErr w:type="gramStart"/>
      <w:r>
        <w:rPr>
          <w:rFonts w:ascii="Times New Roman" w:hAnsi="Times New Roman" w:cs="Times New Roman"/>
          <w:szCs w:val="24"/>
        </w:rPr>
        <w:t>net</w:t>
      </w:r>
      <w:proofErr w:type="gramEnd"/>
      <w:r>
        <w:rPr>
          <w:rFonts w:ascii="Times New Roman" w:hAnsi="Times New Roman" w:cs="Times New Roman"/>
          <w:szCs w:val="24"/>
        </w:rPr>
        <w:t xml:space="preserve"> income</w:t>
      </w:r>
      <w:r w:rsidR="00BE7367">
        <w:rPr>
          <w:rFonts w:ascii="Times New Roman" w:hAnsi="Times New Roman" w:cs="Times New Roman"/>
          <w:szCs w:val="24"/>
        </w:rPr>
        <w:t xml:space="preserve">. </w:t>
      </w:r>
      <w:r w:rsidRPr="0076280D">
        <w:rPr>
          <w:rFonts w:ascii="Times New Roman" w:hAnsi="Times New Roman" w:cs="Times New Roman"/>
          <w:szCs w:val="24"/>
        </w:rPr>
        <w:t xml:space="preserve"> Qatar is featured</w:t>
      </w:r>
      <w:r w:rsidR="00BE7367">
        <w:rPr>
          <w:rFonts w:ascii="Times New Roman" w:hAnsi="Times New Roman" w:cs="Times New Roman"/>
          <w:szCs w:val="24"/>
        </w:rPr>
        <w:t xml:space="preserve"> with highest CAPITAL and TIER1. These results suggest that on average, the loan and securities portfolio held by banks in Qatar are the riskiest among all six countries. Results reported in Table 3 suggest that on average, banks in Oman have the</w:t>
      </w:r>
      <w:r w:rsidRPr="0076280D">
        <w:rPr>
          <w:rFonts w:ascii="Times New Roman" w:hAnsi="Times New Roman" w:cs="Times New Roman"/>
          <w:szCs w:val="24"/>
        </w:rPr>
        <w:t xml:space="preserve"> lowest </w:t>
      </w:r>
      <w:r w:rsidR="00BE7367">
        <w:rPr>
          <w:rFonts w:ascii="Times New Roman" w:hAnsi="Times New Roman" w:cs="Times New Roman"/>
          <w:szCs w:val="24"/>
        </w:rPr>
        <w:t>loan loss reserve ratio (</w:t>
      </w:r>
      <w:r w:rsidRPr="0076280D">
        <w:rPr>
          <w:rFonts w:ascii="Times New Roman" w:hAnsi="Times New Roman" w:cs="Times New Roman"/>
          <w:szCs w:val="24"/>
        </w:rPr>
        <w:t>CAPITAL</w:t>
      </w:r>
      <w:r w:rsidR="00BE7367">
        <w:rPr>
          <w:rFonts w:ascii="Times New Roman" w:hAnsi="Times New Roman" w:cs="Times New Roman"/>
          <w:szCs w:val="24"/>
        </w:rPr>
        <w:t>)</w:t>
      </w:r>
      <w:r w:rsidRPr="0076280D">
        <w:rPr>
          <w:rFonts w:ascii="Times New Roman" w:hAnsi="Times New Roman" w:cs="Times New Roman"/>
          <w:szCs w:val="24"/>
        </w:rPr>
        <w:t xml:space="preserve"> and</w:t>
      </w:r>
      <w:r w:rsidR="00BE7367">
        <w:rPr>
          <w:rFonts w:ascii="Times New Roman" w:hAnsi="Times New Roman" w:cs="Times New Roman"/>
          <w:szCs w:val="24"/>
        </w:rPr>
        <w:t xml:space="preserve"> the lowest tier1 risk-based capital ratio (</w:t>
      </w:r>
      <w:r w:rsidRPr="0076280D">
        <w:rPr>
          <w:rFonts w:ascii="Times New Roman" w:hAnsi="Times New Roman" w:cs="Times New Roman"/>
          <w:szCs w:val="24"/>
        </w:rPr>
        <w:t>TIER1</w:t>
      </w:r>
      <w:r w:rsidR="00BE7367">
        <w:rPr>
          <w:rFonts w:ascii="Times New Roman" w:hAnsi="Times New Roman" w:cs="Times New Roman"/>
          <w:szCs w:val="24"/>
        </w:rPr>
        <w:t>) sample. Overall,</w:t>
      </w:r>
      <w:r w:rsidR="002272A6">
        <w:rPr>
          <w:rFonts w:ascii="Times New Roman" w:hAnsi="Times New Roman" w:cs="Times New Roman"/>
          <w:szCs w:val="24"/>
        </w:rPr>
        <w:t xml:space="preserve"> banks in Oman appear to be riskiest because they have the highest NPL with the least Tier1 risk-based capital ratio and the least loan loss reserve ratio among all GCC countries.</w:t>
      </w:r>
    </w:p>
    <w:p w:rsidR="00124535" w:rsidRDefault="00124535" w:rsidP="00884613">
      <w:pPr>
        <w:spacing w:line="480" w:lineRule="auto"/>
        <w:jc w:val="center"/>
        <w:rPr>
          <w:rFonts w:ascii="Times New Roman" w:hAnsi="Times New Roman" w:cs="Times New Roman"/>
          <w:szCs w:val="24"/>
        </w:rPr>
      </w:pPr>
      <w:r>
        <w:rPr>
          <w:rFonts w:ascii="Times New Roman" w:hAnsi="Times New Roman" w:cs="Times New Roman"/>
          <w:szCs w:val="24"/>
        </w:rPr>
        <w:t xml:space="preserve">  </w:t>
      </w:r>
      <w:proofErr w:type="gramStart"/>
      <w:r w:rsidRPr="0076280D">
        <w:rPr>
          <w:rFonts w:ascii="Times New Roman" w:hAnsi="Times New Roman" w:cs="Times New Roman"/>
          <w:szCs w:val="24"/>
        </w:rPr>
        <w:t>[</w:t>
      </w:r>
      <w:r>
        <w:rPr>
          <w:rFonts w:ascii="Times New Roman" w:hAnsi="Times New Roman" w:cs="Times New Roman"/>
          <w:szCs w:val="24"/>
        </w:rPr>
        <w:t xml:space="preserve"> </w:t>
      </w:r>
      <w:r w:rsidR="00B505E1">
        <w:rPr>
          <w:rFonts w:ascii="Times New Roman" w:hAnsi="Times New Roman" w:cs="Times New Roman"/>
          <w:szCs w:val="24"/>
        </w:rPr>
        <w:t>T</w:t>
      </w:r>
      <w:r>
        <w:rPr>
          <w:rFonts w:ascii="Times New Roman" w:hAnsi="Times New Roman" w:cs="Times New Roman"/>
          <w:szCs w:val="24"/>
        </w:rPr>
        <w:t>able</w:t>
      </w:r>
      <w:proofErr w:type="gramEnd"/>
      <w:r>
        <w:rPr>
          <w:rFonts w:ascii="Times New Roman" w:hAnsi="Times New Roman" w:cs="Times New Roman"/>
          <w:szCs w:val="24"/>
        </w:rPr>
        <w:t xml:space="preserve"> 3</w:t>
      </w:r>
      <w:r w:rsidRPr="0076280D">
        <w:rPr>
          <w:rFonts w:ascii="Times New Roman" w:hAnsi="Times New Roman" w:cs="Times New Roman"/>
          <w:szCs w:val="24"/>
        </w:rPr>
        <w:t xml:space="preserve"> about here ]</w:t>
      </w:r>
    </w:p>
    <w:p w:rsidR="00124535" w:rsidRDefault="002272A6" w:rsidP="005A0A33">
      <w:pPr>
        <w:spacing w:line="480" w:lineRule="auto"/>
        <w:ind w:firstLine="480"/>
        <w:rPr>
          <w:rFonts w:ascii="Times New Roman" w:hAnsi="Times New Roman" w:cs="Times New Roman"/>
          <w:szCs w:val="24"/>
        </w:rPr>
      </w:pPr>
      <w:r>
        <w:rPr>
          <w:rFonts w:ascii="Times New Roman" w:hAnsi="Times New Roman" w:cs="Times New Roman"/>
          <w:szCs w:val="24"/>
        </w:rPr>
        <w:t>The average s</w:t>
      </w:r>
      <w:r w:rsidR="00CF226F">
        <w:rPr>
          <w:rFonts w:ascii="Times New Roman" w:hAnsi="Times New Roman" w:cs="Times New Roman"/>
          <w:szCs w:val="24"/>
        </w:rPr>
        <w:t xml:space="preserve">ize </w:t>
      </w:r>
      <w:r>
        <w:rPr>
          <w:rFonts w:ascii="Times New Roman" w:hAnsi="Times New Roman" w:cs="Times New Roman"/>
          <w:szCs w:val="24"/>
        </w:rPr>
        <w:t>of banks in Oman is the smallest among six GCC countries. Oman has the lowest</w:t>
      </w:r>
      <w:r w:rsidR="00124535" w:rsidRPr="0076280D">
        <w:rPr>
          <w:rFonts w:ascii="Times New Roman" w:hAnsi="Times New Roman" w:cs="Times New Roman"/>
          <w:szCs w:val="24"/>
        </w:rPr>
        <w:t xml:space="preserve"> mean of TC ($153.05 million) and </w:t>
      </w:r>
      <w:r w:rsidR="00CF226F">
        <w:rPr>
          <w:rFonts w:ascii="Times New Roman" w:hAnsi="Times New Roman" w:cs="Times New Roman"/>
          <w:szCs w:val="24"/>
        </w:rPr>
        <w:t xml:space="preserve">the </w:t>
      </w:r>
      <w:r w:rsidR="00124535" w:rsidRPr="0076280D">
        <w:rPr>
          <w:rFonts w:ascii="Times New Roman" w:hAnsi="Times New Roman" w:cs="Times New Roman"/>
          <w:szCs w:val="24"/>
        </w:rPr>
        <w:t>lowest mean o</w:t>
      </w:r>
      <w:r>
        <w:rPr>
          <w:rFonts w:ascii="Times New Roman" w:hAnsi="Times New Roman" w:cs="Times New Roman"/>
          <w:szCs w:val="24"/>
        </w:rPr>
        <w:t>f NI ($68.31 million). Also, output variables (</w:t>
      </w:r>
      <w:r w:rsidR="00124535" w:rsidRPr="0076280D">
        <w:rPr>
          <w:rFonts w:ascii="Times New Roman" w:hAnsi="Times New Roman" w:cs="Times New Roman"/>
          <w:szCs w:val="24"/>
        </w:rPr>
        <w:t>Y1, Y2 and Y3</w:t>
      </w:r>
      <w:r>
        <w:rPr>
          <w:rFonts w:ascii="Times New Roman" w:hAnsi="Times New Roman" w:cs="Times New Roman"/>
          <w:szCs w:val="24"/>
        </w:rPr>
        <w:t>) for Oman</w:t>
      </w:r>
      <w:r w:rsidR="00124535" w:rsidRPr="0076280D">
        <w:rPr>
          <w:rFonts w:ascii="Times New Roman" w:hAnsi="Times New Roman" w:cs="Times New Roman"/>
          <w:szCs w:val="24"/>
        </w:rPr>
        <w:t xml:space="preserve"> are </w:t>
      </w:r>
      <w:r w:rsidR="00CF226F">
        <w:rPr>
          <w:rFonts w:ascii="Times New Roman" w:hAnsi="Times New Roman" w:cs="Times New Roman"/>
          <w:szCs w:val="24"/>
        </w:rPr>
        <w:t xml:space="preserve">the </w:t>
      </w:r>
      <w:r w:rsidR="00124535" w:rsidRPr="0076280D">
        <w:rPr>
          <w:rFonts w:ascii="Times New Roman" w:hAnsi="Times New Roman" w:cs="Times New Roman"/>
          <w:szCs w:val="24"/>
        </w:rPr>
        <w:t>smallest. Its ASSETS is $1377.16 million, which is also the lowest across these six Gulf nations.</w:t>
      </w:r>
      <w:r w:rsidR="00CF226F">
        <w:rPr>
          <w:rFonts w:ascii="Times New Roman" w:hAnsi="Times New Roman" w:cs="Times New Roman"/>
          <w:szCs w:val="24"/>
        </w:rPr>
        <w:t xml:space="preserve"> The</w:t>
      </w:r>
      <w:r w:rsidR="00124535" w:rsidRPr="0076280D">
        <w:rPr>
          <w:rFonts w:ascii="Times New Roman" w:hAnsi="Times New Roman" w:cs="Times New Roman"/>
          <w:szCs w:val="24"/>
        </w:rPr>
        <w:t xml:space="preserve"> UAE is the “average” country in this study. Its means of the output variables, TC, and input prices are very close to those variables for the whole sample. </w:t>
      </w:r>
    </w:p>
    <w:p w:rsidR="00124535" w:rsidRDefault="00124535" w:rsidP="005A0A33">
      <w:pPr>
        <w:spacing w:line="480" w:lineRule="auto"/>
        <w:rPr>
          <w:rFonts w:ascii="Times New Roman" w:hAnsi="Times New Roman" w:cs="Times New Roman"/>
          <w:szCs w:val="24"/>
        </w:rPr>
      </w:pPr>
      <w:r w:rsidRPr="0076280D">
        <w:rPr>
          <w:rFonts w:ascii="Times New Roman" w:hAnsi="Times New Roman" w:cs="Times New Roman"/>
          <w:szCs w:val="24"/>
        </w:rPr>
        <w:lastRenderedPageBreak/>
        <w:tab/>
        <w:t>Table 3 also compares the differences between Islamic banks and non-Islamic banks. The mean of TC for Islamic banks is $518 million over that for non-Islamic banks. For the three output variables, the means of them in the Islamic bank group are more than those in the non-Islamic bank group (Y1, 8467.01 vs. 4447.23; Y2, 8067.31 vs. 4786.12; and Y3, 5241.59 vs. 1518.37; all in million dollars). In addition, Islamic banks enjoy lower cost of funds, cost of labor</w:t>
      </w:r>
      <w:r w:rsidR="00F4141C">
        <w:rPr>
          <w:rFonts w:ascii="Times New Roman" w:hAnsi="Times New Roman" w:cs="Times New Roman"/>
          <w:szCs w:val="24"/>
        </w:rPr>
        <w:t>, and cost of fixed assets (P1</w:t>
      </w:r>
      <w:r w:rsidRPr="0076280D">
        <w:rPr>
          <w:rFonts w:ascii="Times New Roman" w:hAnsi="Times New Roman" w:cs="Times New Roman"/>
          <w:szCs w:val="24"/>
        </w:rPr>
        <w:t>, P2, and P3). For P1, Islamic bank claims lower cost at 3.53% below the counter part of non-Islamic ba</w:t>
      </w:r>
      <w:r w:rsidR="00CF226F">
        <w:rPr>
          <w:rFonts w:ascii="Times New Roman" w:hAnsi="Times New Roman" w:cs="Times New Roman"/>
          <w:szCs w:val="24"/>
        </w:rPr>
        <w:t>nk, 3.96%. Nevertheless,</w:t>
      </w:r>
      <w:r w:rsidRPr="0076280D">
        <w:rPr>
          <w:rFonts w:ascii="Times New Roman" w:hAnsi="Times New Roman" w:cs="Times New Roman"/>
          <w:szCs w:val="24"/>
        </w:rPr>
        <w:t xml:space="preserve"> the standard deviations </w:t>
      </w:r>
      <w:r w:rsidR="00CF226F">
        <w:rPr>
          <w:rFonts w:ascii="Times New Roman" w:hAnsi="Times New Roman" w:cs="Times New Roman"/>
          <w:szCs w:val="24"/>
        </w:rPr>
        <w:t xml:space="preserve">for both bank groups are large and </w:t>
      </w:r>
      <w:r w:rsidRPr="0076280D">
        <w:rPr>
          <w:rFonts w:ascii="Times New Roman" w:hAnsi="Times New Roman" w:cs="Times New Roman"/>
          <w:szCs w:val="24"/>
        </w:rPr>
        <w:t>the difference of means between them is insign</w:t>
      </w:r>
      <w:r w:rsidR="00CF226F">
        <w:rPr>
          <w:rFonts w:ascii="Times New Roman" w:hAnsi="Times New Roman" w:cs="Times New Roman"/>
          <w:szCs w:val="24"/>
        </w:rPr>
        <w:t>ificant. The cost of labor (</w:t>
      </w:r>
      <w:r w:rsidRPr="0076280D">
        <w:rPr>
          <w:rFonts w:ascii="Times New Roman" w:hAnsi="Times New Roman" w:cs="Times New Roman"/>
          <w:szCs w:val="24"/>
        </w:rPr>
        <w:t>p2</w:t>
      </w:r>
      <w:r w:rsidR="00CF226F">
        <w:rPr>
          <w:rFonts w:ascii="Times New Roman" w:hAnsi="Times New Roman" w:cs="Times New Roman"/>
          <w:szCs w:val="24"/>
        </w:rPr>
        <w:t>)</w:t>
      </w:r>
      <w:r w:rsidRPr="0076280D">
        <w:rPr>
          <w:rFonts w:ascii="Times New Roman" w:hAnsi="Times New Roman" w:cs="Times New Roman"/>
          <w:szCs w:val="24"/>
        </w:rPr>
        <w:t xml:space="preserve"> for the Islamic bank is in general lower (1.26% vs. 2.42%) than that of non-Islamic banks. </w:t>
      </w:r>
    </w:p>
    <w:p w:rsidR="00D67FD4" w:rsidRDefault="00124535" w:rsidP="005A0A33">
      <w:pPr>
        <w:spacing w:line="480" w:lineRule="auto"/>
        <w:ind w:firstLine="480"/>
        <w:rPr>
          <w:rFonts w:ascii="Times New Roman" w:hAnsi="Times New Roman" w:cs="Times New Roman"/>
          <w:szCs w:val="24"/>
        </w:rPr>
      </w:pPr>
      <w:r w:rsidRPr="0076280D">
        <w:rPr>
          <w:rFonts w:ascii="Times New Roman" w:hAnsi="Times New Roman" w:cs="Times New Roman"/>
          <w:szCs w:val="24"/>
        </w:rPr>
        <w:t>The comparison between government-owned and non-government owned banks is also displayed</w:t>
      </w:r>
      <w:r w:rsidR="00CF226F">
        <w:rPr>
          <w:rFonts w:ascii="Times New Roman" w:hAnsi="Times New Roman" w:cs="Times New Roman"/>
          <w:szCs w:val="24"/>
        </w:rPr>
        <w:t xml:space="preserve"> in Table 3</w:t>
      </w:r>
      <w:r w:rsidRPr="0076280D">
        <w:rPr>
          <w:rFonts w:ascii="Times New Roman" w:hAnsi="Times New Roman" w:cs="Times New Roman"/>
          <w:szCs w:val="24"/>
        </w:rPr>
        <w:t>. In terms of TC, Y1, Y2 and Y3, government-owned banks are smaller than the non-government counterpa</w:t>
      </w:r>
      <w:r w:rsidR="00CF226F">
        <w:rPr>
          <w:rFonts w:ascii="Times New Roman" w:hAnsi="Times New Roman" w:cs="Times New Roman"/>
          <w:szCs w:val="24"/>
        </w:rPr>
        <w:t>rts. In other words, in the GCC</w:t>
      </w:r>
      <w:r w:rsidRPr="0076280D">
        <w:rPr>
          <w:rFonts w:ascii="Times New Roman" w:hAnsi="Times New Roman" w:cs="Times New Roman"/>
          <w:szCs w:val="24"/>
        </w:rPr>
        <w:t xml:space="preserve"> countries, non-government owned banks may have on average higher total costs, total loans and security investments than the government owned ones. Nevertheless, among government owned banks, the amounts of TC, Y1 and Y2 vary a lot when the standard deviations of these three variables are pretty large. Similarly, the ASSET, BORROW and NI for government owned banks are smaller than those for non-go</w:t>
      </w:r>
      <w:r>
        <w:rPr>
          <w:rFonts w:ascii="Times New Roman" w:hAnsi="Times New Roman" w:cs="Times New Roman"/>
          <w:szCs w:val="24"/>
        </w:rPr>
        <w:t>vernment owned ones. Overall</w:t>
      </w:r>
      <w:r w:rsidRPr="0076280D">
        <w:rPr>
          <w:rFonts w:ascii="Times New Roman" w:hAnsi="Times New Roman" w:cs="Times New Roman"/>
          <w:szCs w:val="24"/>
        </w:rPr>
        <w:t>, government</w:t>
      </w:r>
      <w:r w:rsidR="00D67FD4">
        <w:rPr>
          <w:rFonts w:ascii="Times New Roman" w:hAnsi="Times New Roman" w:cs="Times New Roman"/>
          <w:szCs w:val="24"/>
        </w:rPr>
        <w:t>-</w:t>
      </w:r>
      <w:r w:rsidRPr="0076280D">
        <w:rPr>
          <w:rFonts w:ascii="Times New Roman" w:hAnsi="Times New Roman" w:cs="Times New Roman"/>
          <w:szCs w:val="24"/>
        </w:rPr>
        <w:t xml:space="preserve">owned banks are smaller than </w:t>
      </w:r>
      <w:r w:rsidRPr="0076280D">
        <w:rPr>
          <w:rFonts w:ascii="Times New Roman" w:hAnsi="Times New Roman" w:cs="Times New Roman"/>
          <w:szCs w:val="24"/>
        </w:rPr>
        <w:lastRenderedPageBreak/>
        <w:t xml:space="preserve">non-government owned banks in those variables. </w:t>
      </w:r>
    </w:p>
    <w:p w:rsidR="00124535" w:rsidRDefault="00124535" w:rsidP="005A0A33">
      <w:pPr>
        <w:spacing w:line="480" w:lineRule="auto"/>
        <w:ind w:firstLine="480"/>
        <w:rPr>
          <w:rFonts w:ascii="Times New Roman" w:hAnsi="Times New Roman" w:cs="Times New Roman"/>
          <w:szCs w:val="24"/>
        </w:rPr>
      </w:pPr>
      <w:r w:rsidRPr="0076280D">
        <w:rPr>
          <w:rFonts w:ascii="Times New Roman" w:hAnsi="Times New Roman" w:cs="Times New Roman"/>
          <w:szCs w:val="24"/>
        </w:rPr>
        <w:t xml:space="preserve">In addition, the government owned banks are featured with higher NPL (8.20% vs. 7.47%) and higher TIER1 and CAPITAL (32.40% and 33.46% vs. 16.07% and 18.67% for non-government ones). That is, </w:t>
      </w:r>
      <w:r w:rsidR="00CF226F">
        <w:rPr>
          <w:rFonts w:ascii="Times New Roman" w:hAnsi="Times New Roman" w:cs="Times New Roman"/>
          <w:szCs w:val="24"/>
        </w:rPr>
        <w:t>in comparison with</w:t>
      </w:r>
      <w:r w:rsidRPr="0076280D">
        <w:rPr>
          <w:rFonts w:ascii="Times New Roman" w:hAnsi="Times New Roman" w:cs="Times New Roman"/>
          <w:szCs w:val="24"/>
        </w:rPr>
        <w:t xml:space="preserve"> non-government owned banks, go</w:t>
      </w:r>
      <w:r w:rsidR="00CF226F">
        <w:rPr>
          <w:rFonts w:ascii="Times New Roman" w:hAnsi="Times New Roman" w:cs="Times New Roman"/>
          <w:szCs w:val="24"/>
        </w:rPr>
        <w:t>vernment</w:t>
      </w:r>
      <w:r w:rsidR="00D67FD4">
        <w:rPr>
          <w:rFonts w:ascii="Times New Roman" w:hAnsi="Times New Roman" w:cs="Times New Roman"/>
          <w:szCs w:val="24"/>
        </w:rPr>
        <w:t>-</w:t>
      </w:r>
      <w:r w:rsidR="00CF226F">
        <w:rPr>
          <w:rFonts w:ascii="Times New Roman" w:hAnsi="Times New Roman" w:cs="Times New Roman"/>
          <w:szCs w:val="24"/>
        </w:rPr>
        <w:t>owned banks are likely to have</w:t>
      </w:r>
      <w:r w:rsidRPr="0076280D">
        <w:rPr>
          <w:rFonts w:ascii="Times New Roman" w:hAnsi="Times New Roman" w:cs="Times New Roman"/>
          <w:szCs w:val="24"/>
        </w:rPr>
        <w:t xml:space="preserve"> higher proportion of non</w:t>
      </w:r>
      <w:r w:rsidR="00CF226F">
        <w:rPr>
          <w:rFonts w:ascii="Times New Roman" w:hAnsi="Times New Roman" w:cs="Times New Roman"/>
          <w:szCs w:val="24"/>
        </w:rPr>
        <w:t>-performing loans, but</w:t>
      </w:r>
      <w:r w:rsidRPr="0076280D">
        <w:rPr>
          <w:rFonts w:ascii="Times New Roman" w:hAnsi="Times New Roman" w:cs="Times New Roman"/>
          <w:szCs w:val="24"/>
        </w:rPr>
        <w:t xml:space="preserve"> they keep the high capital reserves to buffer for the p</w:t>
      </w:r>
      <w:r w:rsidR="00CF226F">
        <w:rPr>
          <w:rFonts w:ascii="Times New Roman" w:hAnsi="Times New Roman" w:cs="Times New Roman"/>
          <w:szCs w:val="24"/>
        </w:rPr>
        <w:t xml:space="preserve">otential credit </w:t>
      </w:r>
      <w:r w:rsidRPr="0076280D">
        <w:rPr>
          <w:rFonts w:ascii="Times New Roman" w:hAnsi="Times New Roman" w:cs="Times New Roman"/>
          <w:szCs w:val="24"/>
        </w:rPr>
        <w:t>risks.</w:t>
      </w:r>
      <w:r w:rsidR="00CF226F">
        <w:rPr>
          <w:rFonts w:ascii="Times New Roman" w:hAnsi="Times New Roman" w:cs="Times New Roman"/>
          <w:szCs w:val="24"/>
        </w:rPr>
        <w:t xml:space="preserve"> This result is not surprising because the </w:t>
      </w:r>
      <w:r w:rsidR="0047453F">
        <w:rPr>
          <w:rFonts w:ascii="Times New Roman" w:hAnsi="Times New Roman" w:cs="Times New Roman"/>
          <w:szCs w:val="24"/>
        </w:rPr>
        <w:t xml:space="preserve">objective function of </w:t>
      </w:r>
      <w:r w:rsidR="00CF226F">
        <w:rPr>
          <w:rFonts w:ascii="Times New Roman" w:hAnsi="Times New Roman" w:cs="Times New Roman"/>
          <w:szCs w:val="24"/>
        </w:rPr>
        <w:t>government</w:t>
      </w:r>
      <w:r w:rsidR="00D67FD4">
        <w:rPr>
          <w:rFonts w:ascii="Times New Roman" w:hAnsi="Times New Roman" w:cs="Times New Roman"/>
          <w:szCs w:val="24"/>
        </w:rPr>
        <w:t>-</w:t>
      </w:r>
      <w:r w:rsidR="00CF226F">
        <w:rPr>
          <w:rFonts w:ascii="Times New Roman" w:hAnsi="Times New Roman" w:cs="Times New Roman"/>
          <w:szCs w:val="24"/>
        </w:rPr>
        <w:t>owned banks</w:t>
      </w:r>
      <w:r w:rsidR="0047453F">
        <w:rPr>
          <w:rFonts w:ascii="Times New Roman" w:hAnsi="Times New Roman" w:cs="Times New Roman"/>
          <w:szCs w:val="24"/>
        </w:rPr>
        <w:t xml:space="preserve"> is likely to be different from private on non-government owned banks.</w:t>
      </w:r>
    </w:p>
    <w:p w:rsidR="00B505E1" w:rsidRDefault="00EC15CD" w:rsidP="00B505E1">
      <w:pPr>
        <w:spacing w:line="480" w:lineRule="auto"/>
        <w:ind w:firstLine="480"/>
        <w:rPr>
          <w:rFonts w:ascii="Times New Roman" w:hAnsi="Times New Roman" w:cs="Times New Roman"/>
          <w:szCs w:val="24"/>
        </w:rPr>
      </w:pPr>
      <w:r>
        <w:rPr>
          <w:rFonts w:ascii="Times New Roman" w:hAnsi="Times New Roman" w:cs="Times New Roman"/>
          <w:szCs w:val="24"/>
        </w:rPr>
        <w:t>Table 4 presents a summary</w:t>
      </w:r>
      <w:r w:rsidR="00094B30">
        <w:rPr>
          <w:rFonts w:ascii="Times New Roman" w:hAnsi="Times New Roman" w:cs="Times New Roman"/>
          <w:szCs w:val="24"/>
        </w:rPr>
        <w:t xml:space="preserve"> statistics of cost efficiency indices for e</w:t>
      </w:r>
      <w:r w:rsidR="00F4141C">
        <w:rPr>
          <w:rFonts w:ascii="Times New Roman" w:hAnsi="Times New Roman" w:cs="Times New Roman"/>
          <w:szCs w:val="24"/>
        </w:rPr>
        <w:t>ach of the six GCC countries in</w:t>
      </w:r>
      <w:r w:rsidR="00094B30">
        <w:rPr>
          <w:rFonts w:ascii="Times New Roman" w:hAnsi="Times New Roman" w:cs="Times New Roman"/>
          <w:szCs w:val="24"/>
        </w:rPr>
        <w:t xml:space="preserve"> each year over the 1999-2010 </w:t>
      </w:r>
      <w:proofErr w:type="gramStart"/>
      <w:r w:rsidR="00094B30">
        <w:rPr>
          <w:rFonts w:ascii="Times New Roman" w:hAnsi="Times New Roman" w:cs="Times New Roman"/>
          <w:szCs w:val="24"/>
        </w:rPr>
        <w:t>period</w:t>
      </w:r>
      <w:proofErr w:type="gramEnd"/>
      <w:r w:rsidR="00094B30">
        <w:rPr>
          <w:rFonts w:ascii="Times New Roman" w:hAnsi="Times New Roman" w:cs="Times New Roman"/>
          <w:szCs w:val="24"/>
        </w:rPr>
        <w:t>. Over the same period, the Table 4 also displays the mean of cost efficiency indices for all six countries in the Gulf region for each year. For example, the mean of overall efficiency scores for all banks in GCC countries in 1999 was 79.16</w:t>
      </w:r>
      <w:r w:rsidR="00884613">
        <w:rPr>
          <w:rFonts w:ascii="Times New Roman" w:hAnsi="Times New Roman" w:cs="Times New Roman"/>
          <w:szCs w:val="24"/>
        </w:rPr>
        <w:t>%</w:t>
      </w:r>
      <w:r w:rsidR="00094B30">
        <w:rPr>
          <w:rFonts w:ascii="Times New Roman" w:hAnsi="Times New Roman" w:cs="Times New Roman"/>
          <w:szCs w:val="24"/>
        </w:rPr>
        <w:t xml:space="preserve">, while the same </w:t>
      </w:r>
      <w:r w:rsidR="00884613">
        <w:rPr>
          <w:rFonts w:ascii="Times New Roman" w:hAnsi="Times New Roman" w:cs="Times New Roman"/>
          <w:szCs w:val="24"/>
        </w:rPr>
        <w:t xml:space="preserve">in </w:t>
      </w:r>
      <w:r w:rsidR="00094B30">
        <w:rPr>
          <w:rFonts w:ascii="Times New Roman" w:hAnsi="Times New Roman" w:cs="Times New Roman"/>
          <w:szCs w:val="24"/>
        </w:rPr>
        <w:t>2010 was 73.56</w:t>
      </w:r>
      <w:r w:rsidR="00884613">
        <w:rPr>
          <w:rFonts w:ascii="Times New Roman" w:hAnsi="Times New Roman" w:cs="Times New Roman"/>
          <w:szCs w:val="24"/>
        </w:rPr>
        <w:t>%</w:t>
      </w:r>
      <w:r w:rsidR="00094B30">
        <w:rPr>
          <w:rFonts w:ascii="Times New Roman" w:hAnsi="Times New Roman" w:cs="Times New Roman"/>
          <w:szCs w:val="24"/>
        </w:rPr>
        <w:t>, indicating that GCC banks on average could have saved</w:t>
      </w:r>
      <w:r w:rsidR="008B2B53">
        <w:rPr>
          <w:rFonts w:ascii="Times New Roman" w:hAnsi="Times New Roman" w:cs="Times New Roman"/>
          <w:szCs w:val="24"/>
        </w:rPr>
        <w:t xml:space="preserve"> </w:t>
      </w:r>
      <w:r w:rsidR="00094B30">
        <w:rPr>
          <w:rFonts w:ascii="Times New Roman" w:hAnsi="Times New Roman" w:cs="Times New Roman"/>
          <w:szCs w:val="24"/>
        </w:rPr>
        <w:t>26.44</w:t>
      </w:r>
      <w:r w:rsidR="00884613">
        <w:rPr>
          <w:rFonts w:ascii="Times New Roman" w:hAnsi="Times New Roman" w:cs="Times New Roman"/>
          <w:szCs w:val="24"/>
        </w:rPr>
        <w:t>%</w:t>
      </w:r>
      <w:r w:rsidR="00094B30">
        <w:rPr>
          <w:rFonts w:ascii="Times New Roman" w:hAnsi="Times New Roman" w:cs="Times New Roman"/>
          <w:szCs w:val="24"/>
        </w:rPr>
        <w:t xml:space="preserve"> of their actual total cost</w:t>
      </w:r>
      <w:r w:rsidR="008B2B53">
        <w:rPr>
          <w:rFonts w:ascii="Times New Roman" w:hAnsi="Times New Roman" w:cs="Times New Roman"/>
          <w:szCs w:val="24"/>
        </w:rPr>
        <w:t xml:space="preserve">s in the year 2010 had they have been operating on the common efficient frontier. Cost efficiency scores reported in panel A of Table 4 suggest that cost efficiency of banks vary across six countries and over time </w:t>
      </w:r>
      <w:r w:rsidR="005B7F87">
        <w:rPr>
          <w:rFonts w:ascii="Times New Roman" w:hAnsi="Times New Roman" w:cs="Times New Roman"/>
          <w:szCs w:val="24"/>
        </w:rPr>
        <w:t>during 1999-2010</w:t>
      </w:r>
      <w:r w:rsidR="008B2B53">
        <w:rPr>
          <w:rFonts w:ascii="Times New Roman" w:hAnsi="Times New Roman" w:cs="Times New Roman"/>
          <w:szCs w:val="24"/>
        </w:rPr>
        <w:t>.</w:t>
      </w:r>
      <w:r w:rsidR="005B7F87">
        <w:rPr>
          <w:rFonts w:ascii="Times New Roman" w:hAnsi="Times New Roman" w:cs="Times New Roman"/>
          <w:szCs w:val="24"/>
        </w:rPr>
        <w:t xml:space="preserve"> </w:t>
      </w:r>
      <w:r w:rsidR="00F4141C">
        <w:rPr>
          <w:rFonts w:ascii="Times New Roman" w:hAnsi="Times New Roman" w:cs="Times New Roman"/>
          <w:szCs w:val="24"/>
        </w:rPr>
        <w:t xml:space="preserve"> However, w</w:t>
      </w:r>
      <w:r w:rsidR="002D1C71">
        <w:rPr>
          <w:rFonts w:ascii="Times New Roman" w:hAnsi="Times New Roman" w:cs="Times New Roman"/>
          <w:szCs w:val="24"/>
        </w:rPr>
        <w:t>e do not observe a discernible trend (upward or downward) in cost efficiency scores of any of the six GCC countries</w:t>
      </w:r>
      <w:r w:rsidR="00F4141C">
        <w:rPr>
          <w:rFonts w:ascii="Times New Roman" w:hAnsi="Times New Roman" w:cs="Times New Roman"/>
          <w:szCs w:val="24"/>
        </w:rPr>
        <w:t xml:space="preserve"> </w:t>
      </w:r>
      <w:r w:rsidR="00F4141C">
        <w:rPr>
          <w:rFonts w:ascii="Times New Roman" w:hAnsi="Times New Roman" w:cs="Times New Roman"/>
          <w:szCs w:val="24"/>
        </w:rPr>
        <w:lastRenderedPageBreak/>
        <w:t xml:space="preserve">over the 1999-2010 </w:t>
      </w:r>
      <w:proofErr w:type="gramStart"/>
      <w:r w:rsidR="00F4141C">
        <w:rPr>
          <w:rFonts w:ascii="Times New Roman" w:hAnsi="Times New Roman" w:cs="Times New Roman"/>
          <w:szCs w:val="24"/>
        </w:rPr>
        <w:t>period</w:t>
      </w:r>
      <w:proofErr w:type="gramEnd"/>
      <w:r w:rsidR="002D1C71">
        <w:rPr>
          <w:rFonts w:ascii="Times New Roman" w:hAnsi="Times New Roman" w:cs="Times New Roman"/>
          <w:szCs w:val="24"/>
        </w:rPr>
        <w:t>.</w:t>
      </w:r>
      <w:r w:rsidR="00094B30">
        <w:rPr>
          <w:rFonts w:ascii="Times New Roman" w:hAnsi="Times New Roman" w:cs="Times New Roman"/>
          <w:szCs w:val="24"/>
        </w:rPr>
        <w:t xml:space="preserve"> </w:t>
      </w:r>
    </w:p>
    <w:p w:rsidR="005A0A33" w:rsidRDefault="005A0A33" w:rsidP="00B505E1">
      <w:pPr>
        <w:spacing w:line="480" w:lineRule="auto"/>
        <w:ind w:firstLine="480"/>
        <w:jc w:val="center"/>
        <w:rPr>
          <w:rFonts w:ascii="Times New Roman" w:hAnsi="Times New Roman" w:cs="Times New Roman"/>
          <w:szCs w:val="24"/>
        </w:rPr>
      </w:pPr>
      <w:proofErr w:type="gramStart"/>
      <w:r w:rsidRPr="0076280D">
        <w:rPr>
          <w:rFonts w:ascii="Times New Roman" w:hAnsi="Times New Roman" w:cs="Times New Roman"/>
          <w:szCs w:val="24"/>
        </w:rPr>
        <w:t>[</w:t>
      </w:r>
      <w:r>
        <w:rPr>
          <w:rFonts w:ascii="Times New Roman" w:hAnsi="Times New Roman" w:cs="Times New Roman"/>
          <w:szCs w:val="24"/>
        </w:rPr>
        <w:t xml:space="preserve"> </w:t>
      </w:r>
      <w:r w:rsidR="00B505E1">
        <w:rPr>
          <w:rFonts w:ascii="Times New Roman" w:hAnsi="Times New Roman" w:cs="Times New Roman"/>
          <w:szCs w:val="24"/>
        </w:rPr>
        <w:t>T</w:t>
      </w:r>
      <w:r>
        <w:rPr>
          <w:rFonts w:ascii="Times New Roman" w:hAnsi="Times New Roman" w:cs="Times New Roman"/>
          <w:szCs w:val="24"/>
        </w:rPr>
        <w:t>able</w:t>
      </w:r>
      <w:proofErr w:type="gramEnd"/>
      <w:r>
        <w:rPr>
          <w:rFonts w:ascii="Times New Roman" w:hAnsi="Times New Roman" w:cs="Times New Roman"/>
          <w:szCs w:val="24"/>
        </w:rPr>
        <w:t xml:space="preserve"> 4</w:t>
      </w:r>
      <w:r w:rsidRPr="0076280D">
        <w:rPr>
          <w:rFonts w:ascii="Times New Roman" w:hAnsi="Times New Roman" w:cs="Times New Roman"/>
          <w:szCs w:val="24"/>
        </w:rPr>
        <w:t xml:space="preserve"> about here ]</w:t>
      </w:r>
    </w:p>
    <w:p w:rsidR="0047453F" w:rsidRPr="0076280D" w:rsidRDefault="0047453F" w:rsidP="005A0A33">
      <w:pPr>
        <w:spacing w:line="480" w:lineRule="auto"/>
        <w:ind w:firstLine="480"/>
        <w:rPr>
          <w:rFonts w:ascii="Times New Roman" w:hAnsi="Times New Roman" w:cs="Times New Roman"/>
          <w:szCs w:val="24"/>
        </w:rPr>
      </w:pPr>
      <w:r w:rsidRPr="0076280D">
        <w:rPr>
          <w:rFonts w:ascii="Times New Roman" w:hAnsi="Times New Roman" w:cs="Times New Roman"/>
          <w:szCs w:val="24"/>
        </w:rPr>
        <w:t>In Panel B</w:t>
      </w:r>
      <w:r w:rsidR="00D851E5">
        <w:rPr>
          <w:rFonts w:ascii="Times New Roman" w:hAnsi="Times New Roman" w:cs="Times New Roman"/>
          <w:szCs w:val="24"/>
        </w:rPr>
        <w:t xml:space="preserve"> (Table 4)</w:t>
      </w:r>
      <w:r w:rsidRPr="0076280D">
        <w:rPr>
          <w:rFonts w:ascii="Times New Roman" w:hAnsi="Times New Roman" w:cs="Times New Roman"/>
          <w:szCs w:val="24"/>
        </w:rPr>
        <w:t xml:space="preserve">, we </w:t>
      </w:r>
      <w:r w:rsidR="002D1C71">
        <w:rPr>
          <w:rFonts w:ascii="Times New Roman" w:hAnsi="Times New Roman" w:cs="Times New Roman"/>
          <w:szCs w:val="24"/>
        </w:rPr>
        <w:t xml:space="preserve">also </w:t>
      </w:r>
      <w:r w:rsidRPr="0076280D">
        <w:rPr>
          <w:rFonts w:ascii="Times New Roman" w:hAnsi="Times New Roman" w:cs="Times New Roman"/>
          <w:szCs w:val="24"/>
        </w:rPr>
        <w:t xml:space="preserve">observe mixed patterns among Islamic, conventional, and mixed bank groups. From 1999 to 2001 and 2006 </w:t>
      </w:r>
      <w:r w:rsidR="00884613">
        <w:rPr>
          <w:rFonts w:ascii="Times New Roman" w:hAnsi="Times New Roman" w:cs="Times New Roman"/>
          <w:szCs w:val="24"/>
        </w:rPr>
        <w:t>to</w:t>
      </w:r>
      <w:r w:rsidR="00884613" w:rsidRPr="0076280D">
        <w:rPr>
          <w:rFonts w:ascii="Times New Roman" w:hAnsi="Times New Roman" w:cs="Times New Roman"/>
          <w:szCs w:val="24"/>
        </w:rPr>
        <w:t xml:space="preserve"> </w:t>
      </w:r>
      <w:r w:rsidRPr="0076280D">
        <w:rPr>
          <w:rFonts w:ascii="Times New Roman" w:hAnsi="Times New Roman" w:cs="Times New Roman"/>
          <w:szCs w:val="24"/>
        </w:rPr>
        <w:t>2007, Islamic banks are more cost efficient than the conventional and mixed banks. However, from 2008 to 2010, conventional banks become the most cost-</w:t>
      </w:r>
      <w:r w:rsidR="00F4141C">
        <w:rPr>
          <w:rFonts w:ascii="Times New Roman" w:hAnsi="Times New Roman" w:cs="Times New Roman"/>
          <w:szCs w:val="24"/>
        </w:rPr>
        <w:t>efficient among three groups. The results reported in</w:t>
      </w:r>
      <w:r w:rsidRPr="0076280D">
        <w:rPr>
          <w:rFonts w:ascii="Times New Roman" w:hAnsi="Times New Roman" w:cs="Times New Roman"/>
          <w:szCs w:val="24"/>
        </w:rPr>
        <w:t xml:space="preserve"> Panel C</w:t>
      </w:r>
      <w:r w:rsidR="00F4141C">
        <w:rPr>
          <w:rFonts w:ascii="Times New Roman" w:hAnsi="Times New Roman" w:cs="Times New Roman"/>
          <w:szCs w:val="24"/>
        </w:rPr>
        <w:t xml:space="preserve"> of Table 4 show that</w:t>
      </w:r>
      <w:r w:rsidRPr="0076280D">
        <w:rPr>
          <w:rFonts w:ascii="Times New Roman" w:hAnsi="Times New Roman" w:cs="Times New Roman"/>
          <w:szCs w:val="24"/>
        </w:rPr>
        <w:t xml:space="preserve"> government owned banks outperform non-government owned ones in terms of cost efficiency except </w:t>
      </w:r>
      <w:r w:rsidR="00EC15CD">
        <w:rPr>
          <w:rFonts w:ascii="Times New Roman" w:hAnsi="Times New Roman" w:cs="Times New Roman"/>
          <w:szCs w:val="24"/>
        </w:rPr>
        <w:t>for the</w:t>
      </w:r>
      <w:r w:rsidRPr="0076280D">
        <w:rPr>
          <w:rFonts w:ascii="Times New Roman" w:hAnsi="Times New Roman" w:cs="Times New Roman"/>
          <w:szCs w:val="24"/>
        </w:rPr>
        <w:t xml:space="preserve"> year 2000.</w:t>
      </w:r>
    </w:p>
    <w:p w:rsidR="001522AF" w:rsidRDefault="001522AF" w:rsidP="005A0A33">
      <w:pPr>
        <w:widowControl/>
        <w:spacing w:line="480" w:lineRule="auto"/>
        <w:ind w:firstLine="480"/>
        <w:rPr>
          <w:rFonts w:ascii="Times New Roman" w:hAnsi="Times New Roman" w:cs="Times New Roman"/>
          <w:szCs w:val="24"/>
        </w:rPr>
      </w:pPr>
      <w:r>
        <w:rPr>
          <w:rFonts w:ascii="Times New Roman" w:hAnsi="Times New Roman" w:cs="Times New Roman"/>
          <w:szCs w:val="24"/>
        </w:rPr>
        <w:t xml:space="preserve">Table 5 </w:t>
      </w:r>
      <w:r w:rsidR="002D1C71">
        <w:rPr>
          <w:rFonts w:ascii="Times New Roman" w:hAnsi="Times New Roman" w:cs="Times New Roman"/>
          <w:szCs w:val="24"/>
        </w:rPr>
        <w:t>displays</w:t>
      </w:r>
      <w:r w:rsidR="00305137" w:rsidRPr="0076280D">
        <w:rPr>
          <w:rFonts w:ascii="Times New Roman" w:hAnsi="Times New Roman" w:cs="Times New Roman"/>
          <w:szCs w:val="24"/>
        </w:rPr>
        <w:t xml:space="preserve"> the time varying patterns of profit efficiencies </w:t>
      </w:r>
      <w:r w:rsidR="002D1C71">
        <w:rPr>
          <w:rFonts w:ascii="Times New Roman" w:hAnsi="Times New Roman" w:cs="Times New Roman"/>
          <w:szCs w:val="24"/>
        </w:rPr>
        <w:t xml:space="preserve">of banks </w:t>
      </w:r>
      <w:r w:rsidR="00305137" w:rsidRPr="0076280D">
        <w:rPr>
          <w:rFonts w:ascii="Times New Roman" w:hAnsi="Times New Roman" w:cs="Times New Roman"/>
          <w:szCs w:val="24"/>
        </w:rPr>
        <w:t>for each country</w:t>
      </w:r>
      <w:r w:rsidR="002D1C71">
        <w:rPr>
          <w:rFonts w:ascii="Times New Roman" w:hAnsi="Times New Roman" w:cs="Times New Roman"/>
          <w:szCs w:val="24"/>
        </w:rPr>
        <w:t xml:space="preserve"> and for the Gulf region</w:t>
      </w:r>
      <w:r w:rsidR="00305137" w:rsidRPr="0076280D">
        <w:rPr>
          <w:rFonts w:ascii="Times New Roman" w:hAnsi="Times New Roman" w:cs="Times New Roman"/>
          <w:szCs w:val="24"/>
        </w:rPr>
        <w:t xml:space="preserve">. </w:t>
      </w:r>
      <w:r>
        <w:rPr>
          <w:rFonts w:ascii="Times New Roman" w:hAnsi="Times New Roman" w:cs="Times New Roman"/>
          <w:szCs w:val="24"/>
        </w:rPr>
        <w:t>Cost efficie</w:t>
      </w:r>
      <w:r w:rsidR="00F4141C">
        <w:rPr>
          <w:rFonts w:ascii="Times New Roman" w:hAnsi="Times New Roman" w:cs="Times New Roman"/>
          <w:szCs w:val="24"/>
        </w:rPr>
        <w:t xml:space="preserve">ncy indices reported in </w:t>
      </w:r>
      <w:r>
        <w:rPr>
          <w:rFonts w:ascii="Times New Roman" w:hAnsi="Times New Roman" w:cs="Times New Roman"/>
          <w:szCs w:val="24"/>
        </w:rPr>
        <w:t>Table 5</w:t>
      </w:r>
      <w:r w:rsidR="00F4141C">
        <w:rPr>
          <w:rFonts w:ascii="Times New Roman" w:hAnsi="Times New Roman" w:cs="Times New Roman"/>
          <w:szCs w:val="24"/>
        </w:rPr>
        <w:t xml:space="preserve"> (Panel A)</w:t>
      </w:r>
      <w:r>
        <w:rPr>
          <w:rFonts w:ascii="Times New Roman" w:hAnsi="Times New Roman" w:cs="Times New Roman"/>
          <w:szCs w:val="24"/>
        </w:rPr>
        <w:t xml:space="preserve"> indicate that banks in Oman have been the most profit efficient among GCC countries </w:t>
      </w:r>
      <w:r w:rsidR="00B357A9">
        <w:rPr>
          <w:rFonts w:ascii="Times New Roman" w:hAnsi="Times New Roman" w:cs="Times New Roman"/>
          <w:szCs w:val="24"/>
        </w:rPr>
        <w:t>during 1999-2010. Over the same period, Saudi banks have been the least profit efficient among six Gulf nations.</w:t>
      </w:r>
    </w:p>
    <w:p w:rsidR="005A0A33" w:rsidRDefault="005A0A33" w:rsidP="005A0A33">
      <w:pPr>
        <w:spacing w:line="480" w:lineRule="auto"/>
        <w:jc w:val="center"/>
        <w:rPr>
          <w:rFonts w:ascii="Times New Roman" w:hAnsi="Times New Roman" w:cs="Times New Roman"/>
          <w:szCs w:val="24"/>
        </w:rPr>
      </w:pPr>
      <w:r>
        <w:rPr>
          <w:rFonts w:ascii="Times New Roman" w:hAnsi="Times New Roman" w:cs="Times New Roman"/>
          <w:szCs w:val="24"/>
        </w:rPr>
        <w:t xml:space="preserve">  </w:t>
      </w:r>
      <w:proofErr w:type="gramStart"/>
      <w:r w:rsidRPr="0076280D">
        <w:rPr>
          <w:rFonts w:ascii="Times New Roman" w:hAnsi="Times New Roman" w:cs="Times New Roman"/>
          <w:szCs w:val="24"/>
        </w:rPr>
        <w:t>[</w:t>
      </w:r>
      <w:r>
        <w:rPr>
          <w:rFonts w:ascii="Times New Roman" w:hAnsi="Times New Roman" w:cs="Times New Roman"/>
          <w:szCs w:val="24"/>
        </w:rPr>
        <w:t xml:space="preserve"> Table</w:t>
      </w:r>
      <w:proofErr w:type="gramEnd"/>
      <w:r>
        <w:rPr>
          <w:rFonts w:ascii="Times New Roman" w:hAnsi="Times New Roman" w:cs="Times New Roman"/>
          <w:szCs w:val="24"/>
        </w:rPr>
        <w:t xml:space="preserve"> 5</w:t>
      </w:r>
      <w:r w:rsidRPr="0076280D">
        <w:rPr>
          <w:rFonts w:ascii="Times New Roman" w:hAnsi="Times New Roman" w:cs="Times New Roman"/>
          <w:szCs w:val="24"/>
        </w:rPr>
        <w:t xml:space="preserve"> about here ]</w:t>
      </w:r>
    </w:p>
    <w:p w:rsidR="007613BF" w:rsidRPr="0076280D" w:rsidRDefault="00807EF3" w:rsidP="00B505E1">
      <w:pPr>
        <w:widowControl/>
        <w:spacing w:line="480" w:lineRule="auto"/>
        <w:ind w:firstLine="480"/>
        <w:rPr>
          <w:rFonts w:ascii="Times New Roman" w:hAnsi="Times New Roman" w:cs="Times New Roman"/>
          <w:szCs w:val="24"/>
        </w:rPr>
      </w:pPr>
      <w:r w:rsidRPr="0076280D">
        <w:rPr>
          <w:rFonts w:ascii="Times New Roman" w:hAnsi="Times New Roman" w:cs="Times New Roman"/>
          <w:szCs w:val="24"/>
        </w:rPr>
        <w:t xml:space="preserve">Panel B </w:t>
      </w:r>
      <w:r w:rsidR="00B357A9">
        <w:rPr>
          <w:rFonts w:ascii="Times New Roman" w:hAnsi="Times New Roman" w:cs="Times New Roman"/>
          <w:szCs w:val="24"/>
        </w:rPr>
        <w:t xml:space="preserve">in Table 5 </w:t>
      </w:r>
      <w:r w:rsidRPr="0076280D">
        <w:rPr>
          <w:rFonts w:ascii="Times New Roman" w:hAnsi="Times New Roman" w:cs="Times New Roman"/>
          <w:szCs w:val="24"/>
        </w:rPr>
        <w:t xml:space="preserve">depicts the differences among Islamic and conventional banks and mixed banks. </w:t>
      </w:r>
      <w:r w:rsidR="004F5358" w:rsidRPr="0076280D">
        <w:rPr>
          <w:rFonts w:ascii="Times New Roman" w:hAnsi="Times New Roman" w:cs="Times New Roman"/>
          <w:szCs w:val="24"/>
        </w:rPr>
        <w:t xml:space="preserve">Conventional banks are the most profit efficient group among these three except for the years 2006 and 2008. </w:t>
      </w:r>
      <w:r w:rsidRPr="0076280D">
        <w:rPr>
          <w:rFonts w:ascii="Times New Roman" w:hAnsi="Times New Roman" w:cs="Times New Roman"/>
          <w:szCs w:val="24"/>
        </w:rPr>
        <w:t>Most banks profitability as well as their profit efficiencies declined from 2007 to 2008 because of the occurrence and the spillover of the financial crisis from the US</w:t>
      </w:r>
      <w:r w:rsidR="004F5358" w:rsidRPr="0076280D">
        <w:rPr>
          <w:rFonts w:ascii="Times New Roman" w:hAnsi="Times New Roman" w:cs="Times New Roman"/>
          <w:szCs w:val="24"/>
        </w:rPr>
        <w:t xml:space="preserve"> in </w:t>
      </w:r>
      <w:r w:rsidR="004F5358" w:rsidRPr="0076280D">
        <w:rPr>
          <w:rFonts w:ascii="Times New Roman" w:hAnsi="Times New Roman" w:cs="Times New Roman"/>
          <w:szCs w:val="24"/>
        </w:rPr>
        <w:lastRenderedPageBreak/>
        <w:t>2008</w:t>
      </w:r>
      <w:r w:rsidR="00F4141C">
        <w:rPr>
          <w:rFonts w:ascii="Times New Roman" w:hAnsi="Times New Roman" w:cs="Times New Roman"/>
          <w:szCs w:val="24"/>
        </w:rPr>
        <w:t>. As can be seen in Table 5 (Panel B),</w:t>
      </w:r>
      <w:r w:rsidRPr="0076280D">
        <w:rPr>
          <w:rFonts w:ascii="Times New Roman" w:hAnsi="Times New Roman" w:cs="Times New Roman"/>
          <w:szCs w:val="24"/>
        </w:rPr>
        <w:t xml:space="preserve"> the profit efficiency of conventional banks fell quickly from </w:t>
      </w:r>
      <w:r w:rsidR="00FD0EFD">
        <w:rPr>
          <w:rFonts w:ascii="Times New Roman" w:hAnsi="Times New Roman" w:cs="Times New Roman"/>
          <w:szCs w:val="24"/>
        </w:rPr>
        <w:t>94</w:t>
      </w:r>
      <w:r w:rsidR="00884613">
        <w:rPr>
          <w:rFonts w:ascii="Times New Roman" w:hAnsi="Times New Roman" w:cs="Times New Roman"/>
          <w:szCs w:val="24"/>
        </w:rPr>
        <w:t xml:space="preserve">% </w:t>
      </w:r>
      <w:r w:rsidR="00FD0EFD">
        <w:rPr>
          <w:rFonts w:ascii="Times New Roman" w:hAnsi="Times New Roman" w:cs="Times New Roman"/>
          <w:szCs w:val="24"/>
        </w:rPr>
        <w:t xml:space="preserve">to </w:t>
      </w:r>
      <w:r w:rsidRPr="0076280D">
        <w:rPr>
          <w:rFonts w:ascii="Times New Roman" w:hAnsi="Times New Roman" w:cs="Times New Roman"/>
          <w:szCs w:val="24"/>
        </w:rPr>
        <w:t>4</w:t>
      </w:r>
      <w:r w:rsidR="00FD0EFD">
        <w:rPr>
          <w:rFonts w:ascii="Times New Roman" w:hAnsi="Times New Roman" w:cs="Times New Roman"/>
          <w:szCs w:val="24"/>
        </w:rPr>
        <w:t>1</w:t>
      </w:r>
      <w:r w:rsidR="00884613">
        <w:rPr>
          <w:rFonts w:ascii="Times New Roman" w:hAnsi="Times New Roman" w:cs="Times New Roman"/>
          <w:szCs w:val="24"/>
        </w:rPr>
        <w:t>% between</w:t>
      </w:r>
      <w:r w:rsidR="00FD0EFD">
        <w:rPr>
          <w:rFonts w:ascii="Times New Roman" w:hAnsi="Times New Roman" w:cs="Times New Roman"/>
          <w:szCs w:val="24"/>
        </w:rPr>
        <w:t xml:space="preserve"> 2006</w:t>
      </w:r>
      <w:r w:rsidR="00884613">
        <w:rPr>
          <w:rFonts w:ascii="Times New Roman" w:hAnsi="Times New Roman" w:cs="Times New Roman"/>
          <w:szCs w:val="24"/>
        </w:rPr>
        <w:t xml:space="preserve"> and </w:t>
      </w:r>
      <w:r w:rsidR="00FD0EFD">
        <w:rPr>
          <w:rFonts w:ascii="Times New Roman" w:hAnsi="Times New Roman" w:cs="Times New Roman"/>
          <w:szCs w:val="24"/>
        </w:rPr>
        <w:t>2008</w:t>
      </w:r>
      <w:r w:rsidR="00884613">
        <w:rPr>
          <w:rFonts w:ascii="Times New Roman" w:hAnsi="Times New Roman" w:cs="Times New Roman"/>
          <w:szCs w:val="24"/>
        </w:rPr>
        <w:t>,</w:t>
      </w:r>
      <w:r w:rsidRPr="0076280D">
        <w:rPr>
          <w:rFonts w:ascii="Times New Roman" w:hAnsi="Times New Roman" w:cs="Times New Roman"/>
          <w:szCs w:val="24"/>
        </w:rPr>
        <w:t xml:space="preserve"> and </w:t>
      </w:r>
      <w:r w:rsidR="00FD0EFD">
        <w:rPr>
          <w:rFonts w:ascii="Times New Roman" w:hAnsi="Times New Roman" w:cs="Times New Roman"/>
          <w:szCs w:val="24"/>
        </w:rPr>
        <w:t>then recovered back to 90</w:t>
      </w:r>
      <w:r w:rsidR="00884613">
        <w:rPr>
          <w:rFonts w:ascii="Times New Roman" w:hAnsi="Times New Roman" w:cs="Times New Roman"/>
          <w:szCs w:val="24"/>
        </w:rPr>
        <w:t xml:space="preserve">% </w:t>
      </w:r>
      <w:r w:rsidR="00FD0EFD">
        <w:rPr>
          <w:rFonts w:ascii="Times New Roman" w:hAnsi="Times New Roman" w:cs="Times New Roman"/>
          <w:szCs w:val="24"/>
        </w:rPr>
        <w:t>during 2009-2010</w:t>
      </w:r>
      <w:r w:rsidRPr="0076280D">
        <w:rPr>
          <w:rFonts w:ascii="Times New Roman" w:hAnsi="Times New Roman" w:cs="Times New Roman"/>
          <w:szCs w:val="24"/>
        </w:rPr>
        <w:t>. Both Islamic and mixed banks</w:t>
      </w:r>
      <w:r w:rsidR="00FD0EFD">
        <w:rPr>
          <w:rFonts w:ascii="Times New Roman" w:hAnsi="Times New Roman" w:cs="Times New Roman"/>
          <w:szCs w:val="24"/>
        </w:rPr>
        <w:t xml:space="preserve"> also suffered from the decline</w:t>
      </w:r>
      <w:r w:rsidR="004343AC">
        <w:rPr>
          <w:rFonts w:ascii="Times New Roman" w:hAnsi="Times New Roman" w:cs="Times New Roman"/>
          <w:szCs w:val="24"/>
        </w:rPr>
        <w:t xml:space="preserve"> in lending due to global financial crisis, but</w:t>
      </w:r>
      <w:r w:rsidR="001543B0" w:rsidRPr="0076280D">
        <w:rPr>
          <w:rFonts w:ascii="Times New Roman" w:hAnsi="Times New Roman" w:cs="Times New Roman"/>
          <w:szCs w:val="24"/>
        </w:rPr>
        <w:t xml:space="preserve"> </w:t>
      </w:r>
      <w:r w:rsidR="004343AC" w:rsidRPr="0076280D">
        <w:rPr>
          <w:rFonts w:ascii="Times New Roman" w:hAnsi="Times New Roman" w:cs="Times New Roman"/>
          <w:szCs w:val="24"/>
        </w:rPr>
        <w:t xml:space="preserve">the profit efficiency </w:t>
      </w:r>
      <w:r w:rsidR="001543B0" w:rsidRPr="0076280D">
        <w:rPr>
          <w:rFonts w:ascii="Times New Roman" w:hAnsi="Times New Roman" w:cs="Times New Roman"/>
          <w:szCs w:val="24"/>
        </w:rPr>
        <w:t>bounced back</w:t>
      </w:r>
      <w:r w:rsidR="004343AC">
        <w:rPr>
          <w:rFonts w:ascii="Times New Roman" w:hAnsi="Times New Roman" w:cs="Times New Roman"/>
          <w:szCs w:val="24"/>
        </w:rPr>
        <w:t xml:space="preserve"> during</w:t>
      </w:r>
      <w:r w:rsidR="00FD0EFD">
        <w:rPr>
          <w:rFonts w:ascii="Times New Roman" w:hAnsi="Times New Roman" w:cs="Times New Roman"/>
          <w:szCs w:val="24"/>
        </w:rPr>
        <w:t xml:space="preserve"> 2009-2010</w:t>
      </w:r>
      <w:r w:rsidRPr="0076280D">
        <w:rPr>
          <w:rFonts w:ascii="Times New Roman" w:hAnsi="Times New Roman" w:cs="Times New Roman"/>
          <w:szCs w:val="24"/>
        </w:rPr>
        <w:t xml:space="preserve">. </w:t>
      </w:r>
      <w:r w:rsidR="00FD0EFD">
        <w:rPr>
          <w:rFonts w:ascii="Times New Roman" w:hAnsi="Times New Roman" w:cs="Times New Roman"/>
          <w:szCs w:val="24"/>
        </w:rPr>
        <w:t>Nevertheless,</w:t>
      </w:r>
      <w:r w:rsidR="005E24C5" w:rsidRPr="0076280D">
        <w:rPr>
          <w:rFonts w:ascii="Times New Roman" w:hAnsi="Times New Roman" w:cs="Times New Roman"/>
          <w:szCs w:val="24"/>
        </w:rPr>
        <w:t xml:space="preserve"> profit efficiencies </w:t>
      </w:r>
      <w:r w:rsidR="00FD0EFD">
        <w:rPr>
          <w:rFonts w:ascii="Times New Roman" w:hAnsi="Times New Roman" w:cs="Times New Roman"/>
          <w:szCs w:val="24"/>
        </w:rPr>
        <w:t xml:space="preserve">of Islamic banks </w:t>
      </w:r>
      <w:r w:rsidR="005E24C5" w:rsidRPr="0076280D">
        <w:rPr>
          <w:rFonts w:ascii="Times New Roman" w:hAnsi="Times New Roman" w:cs="Times New Roman"/>
          <w:szCs w:val="24"/>
        </w:rPr>
        <w:t xml:space="preserve">did not fall as deeply as that of the conventional banks. </w:t>
      </w:r>
      <w:r w:rsidR="00305137" w:rsidRPr="0076280D">
        <w:rPr>
          <w:rFonts w:ascii="Times New Roman" w:hAnsi="Times New Roman" w:cs="Times New Roman"/>
          <w:szCs w:val="24"/>
        </w:rPr>
        <w:t xml:space="preserve">Panel C </w:t>
      </w:r>
      <w:r w:rsidR="00B357A9">
        <w:rPr>
          <w:rFonts w:ascii="Times New Roman" w:hAnsi="Times New Roman" w:cs="Times New Roman"/>
          <w:szCs w:val="24"/>
        </w:rPr>
        <w:t xml:space="preserve">in Table 5 shows that </w:t>
      </w:r>
      <w:r w:rsidR="00305137" w:rsidRPr="0076280D">
        <w:rPr>
          <w:rFonts w:ascii="Times New Roman" w:hAnsi="Times New Roman" w:cs="Times New Roman"/>
          <w:szCs w:val="24"/>
        </w:rPr>
        <w:t xml:space="preserve">government owned banks are more profit efficient than </w:t>
      </w:r>
      <w:r w:rsidR="000F2159" w:rsidRPr="0076280D">
        <w:rPr>
          <w:rFonts w:ascii="Times New Roman" w:hAnsi="Times New Roman" w:cs="Times New Roman"/>
          <w:szCs w:val="24"/>
        </w:rPr>
        <w:t xml:space="preserve">non-government owned banks. It is worth noting that the profit efficiency of the </w:t>
      </w:r>
      <w:r w:rsidR="0087298C" w:rsidRPr="0076280D">
        <w:rPr>
          <w:rFonts w:ascii="Times New Roman" w:hAnsi="Times New Roman" w:cs="Times New Roman"/>
          <w:szCs w:val="24"/>
        </w:rPr>
        <w:t>non-government</w:t>
      </w:r>
      <w:r w:rsidR="000F2159" w:rsidRPr="0076280D">
        <w:rPr>
          <w:rFonts w:ascii="Times New Roman" w:hAnsi="Times New Roman" w:cs="Times New Roman"/>
          <w:szCs w:val="24"/>
        </w:rPr>
        <w:t xml:space="preserve"> owned banks dropped dramatically d</w:t>
      </w:r>
      <w:r w:rsidR="004343AC">
        <w:rPr>
          <w:rFonts w:ascii="Times New Roman" w:hAnsi="Times New Roman" w:cs="Times New Roman"/>
          <w:szCs w:val="24"/>
        </w:rPr>
        <w:t>uring 2007-</w:t>
      </w:r>
      <w:r w:rsidR="000F2159" w:rsidRPr="0076280D">
        <w:rPr>
          <w:rFonts w:ascii="Times New Roman" w:hAnsi="Times New Roman" w:cs="Times New Roman"/>
          <w:szCs w:val="24"/>
        </w:rPr>
        <w:t xml:space="preserve"> 2008 </w:t>
      </w:r>
      <w:r w:rsidR="004343AC">
        <w:rPr>
          <w:rFonts w:ascii="Times New Roman" w:hAnsi="Times New Roman" w:cs="Times New Roman"/>
          <w:szCs w:val="24"/>
        </w:rPr>
        <w:t xml:space="preserve">crisis </w:t>
      </w:r>
      <w:r w:rsidR="000F2159" w:rsidRPr="0076280D">
        <w:rPr>
          <w:rFonts w:ascii="Times New Roman" w:hAnsi="Times New Roman" w:cs="Times New Roman"/>
          <w:szCs w:val="24"/>
        </w:rPr>
        <w:t xml:space="preserve">period from </w:t>
      </w:r>
      <w:r w:rsidR="00884613">
        <w:rPr>
          <w:rFonts w:ascii="Times New Roman" w:hAnsi="Times New Roman" w:cs="Times New Roman"/>
          <w:szCs w:val="24"/>
        </w:rPr>
        <w:t>87%</w:t>
      </w:r>
      <w:r w:rsidR="00FD0EFD">
        <w:rPr>
          <w:rFonts w:ascii="Times New Roman" w:hAnsi="Times New Roman" w:cs="Times New Roman"/>
          <w:szCs w:val="24"/>
        </w:rPr>
        <w:t xml:space="preserve"> to </w:t>
      </w:r>
      <w:r w:rsidR="00884613">
        <w:rPr>
          <w:rFonts w:ascii="Times New Roman" w:hAnsi="Times New Roman" w:cs="Times New Roman"/>
          <w:szCs w:val="24"/>
        </w:rPr>
        <w:t>63%</w:t>
      </w:r>
      <w:r w:rsidR="000F2159" w:rsidRPr="0076280D">
        <w:rPr>
          <w:rFonts w:ascii="Times New Roman" w:hAnsi="Times New Roman" w:cs="Times New Roman"/>
          <w:szCs w:val="24"/>
        </w:rPr>
        <w:t xml:space="preserve"> while the profit efficiency of the government owned banks are quite stable over the whole time period under study.</w:t>
      </w:r>
    </w:p>
    <w:p w:rsidR="007613BF" w:rsidRDefault="007613BF" w:rsidP="005A0A33">
      <w:pPr>
        <w:widowControl/>
        <w:spacing w:line="480" w:lineRule="auto"/>
        <w:ind w:firstLine="480"/>
        <w:rPr>
          <w:rFonts w:ascii="Times New Roman" w:hAnsi="Times New Roman" w:cs="Times New Roman"/>
          <w:szCs w:val="24"/>
        </w:rPr>
      </w:pPr>
      <w:r w:rsidRPr="0076280D">
        <w:rPr>
          <w:rFonts w:ascii="Times New Roman" w:hAnsi="Times New Roman" w:cs="Times New Roman"/>
          <w:szCs w:val="24"/>
        </w:rPr>
        <w:t>Table 6 shows the single step het</w:t>
      </w:r>
      <w:r w:rsidR="00B357A9">
        <w:rPr>
          <w:rFonts w:ascii="Times New Roman" w:hAnsi="Times New Roman" w:cs="Times New Roman"/>
          <w:szCs w:val="24"/>
        </w:rPr>
        <w:t>eroskedastic SF results. Since</w:t>
      </w:r>
      <w:r w:rsidRPr="0076280D">
        <w:rPr>
          <w:rFonts w:ascii="Times New Roman" w:hAnsi="Times New Roman" w:cs="Times New Roman"/>
          <w:szCs w:val="24"/>
        </w:rPr>
        <w:t xml:space="preserve"> the estimation of frontiers is sensitive to the specifications of the models, two d</w:t>
      </w:r>
      <w:r w:rsidR="00AA6F3D">
        <w:rPr>
          <w:rFonts w:ascii="Times New Roman" w:hAnsi="Times New Roman" w:cs="Times New Roman"/>
          <w:szCs w:val="24"/>
        </w:rPr>
        <w:t xml:space="preserve">ifferent sets of variables in z </w:t>
      </w:r>
      <w:r w:rsidRPr="0076280D">
        <w:rPr>
          <w:rFonts w:ascii="Times New Roman" w:hAnsi="Times New Roman" w:cs="Times New Roman"/>
          <w:szCs w:val="24"/>
        </w:rPr>
        <w:t xml:space="preserve">are used </w:t>
      </w:r>
      <w:r w:rsidR="00B357A9">
        <w:rPr>
          <w:rFonts w:ascii="Times New Roman" w:hAnsi="Times New Roman" w:cs="Times New Roman"/>
          <w:szCs w:val="24"/>
        </w:rPr>
        <w:t xml:space="preserve">with a common stochastic </w:t>
      </w:r>
      <w:r w:rsidRPr="0076280D">
        <w:rPr>
          <w:rFonts w:ascii="Times New Roman" w:hAnsi="Times New Roman" w:cs="Times New Roman"/>
          <w:szCs w:val="24"/>
        </w:rPr>
        <w:t>frontier. Except for the constant terms, the lnP3 is the only common significant estimator among output variables. That is, the total cost</w:t>
      </w:r>
      <w:r w:rsidR="00B357A9">
        <w:rPr>
          <w:rFonts w:ascii="Times New Roman" w:hAnsi="Times New Roman" w:cs="Times New Roman"/>
          <w:szCs w:val="24"/>
        </w:rPr>
        <w:t xml:space="preserve"> increases </w:t>
      </w:r>
      <w:r w:rsidRPr="0076280D">
        <w:rPr>
          <w:rFonts w:ascii="Times New Roman" w:hAnsi="Times New Roman" w:cs="Times New Roman"/>
          <w:szCs w:val="24"/>
        </w:rPr>
        <w:t>with</w:t>
      </w:r>
      <w:r w:rsidR="00B357A9">
        <w:rPr>
          <w:rFonts w:ascii="Times New Roman" w:hAnsi="Times New Roman" w:cs="Times New Roman"/>
          <w:szCs w:val="24"/>
        </w:rPr>
        <w:t xml:space="preserve"> an</w:t>
      </w:r>
      <w:r w:rsidRPr="0076280D">
        <w:rPr>
          <w:rFonts w:ascii="Times New Roman" w:hAnsi="Times New Roman" w:cs="Times New Roman"/>
          <w:szCs w:val="24"/>
        </w:rPr>
        <w:t xml:space="preserve"> increase in the amount of total loans. Generally speaking, even though the estimators from the first specification differ from the secon</w:t>
      </w:r>
      <w:r w:rsidR="00B357A9">
        <w:rPr>
          <w:rFonts w:ascii="Times New Roman" w:hAnsi="Times New Roman" w:cs="Times New Roman"/>
          <w:szCs w:val="24"/>
        </w:rPr>
        <w:t>d one, the directions of impact</w:t>
      </w:r>
      <w:r w:rsidRPr="0076280D">
        <w:rPr>
          <w:rFonts w:ascii="Times New Roman" w:hAnsi="Times New Roman" w:cs="Times New Roman"/>
          <w:szCs w:val="24"/>
        </w:rPr>
        <w:t xml:space="preserve"> and statistical significance are the same for the cost functions. The major differences between two specifications exist in the country dummies and the z variables (i.e., components of the mean of u and components of the variance of u).</w:t>
      </w:r>
    </w:p>
    <w:p w:rsidR="005A0A33" w:rsidRDefault="005A0A33" w:rsidP="005A0A33">
      <w:pPr>
        <w:spacing w:line="480" w:lineRule="auto"/>
        <w:jc w:val="center"/>
        <w:rPr>
          <w:rFonts w:ascii="Times New Roman" w:hAnsi="Times New Roman" w:cs="Times New Roman"/>
          <w:szCs w:val="24"/>
        </w:rPr>
      </w:pPr>
      <w:r>
        <w:rPr>
          <w:rFonts w:ascii="Times New Roman" w:hAnsi="Times New Roman" w:cs="Times New Roman"/>
          <w:szCs w:val="24"/>
        </w:rPr>
        <w:lastRenderedPageBreak/>
        <w:t xml:space="preserve">  </w:t>
      </w:r>
      <w:proofErr w:type="gramStart"/>
      <w:r w:rsidRPr="0076280D">
        <w:rPr>
          <w:rFonts w:ascii="Times New Roman" w:hAnsi="Times New Roman" w:cs="Times New Roman"/>
          <w:szCs w:val="24"/>
        </w:rPr>
        <w:t>[</w:t>
      </w:r>
      <w:r>
        <w:rPr>
          <w:rFonts w:ascii="Times New Roman" w:hAnsi="Times New Roman" w:cs="Times New Roman"/>
          <w:szCs w:val="24"/>
        </w:rPr>
        <w:t xml:space="preserve"> Table</w:t>
      </w:r>
      <w:proofErr w:type="gramEnd"/>
      <w:r>
        <w:rPr>
          <w:rFonts w:ascii="Times New Roman" w:hAnsi="Times New Roman" w:cs="Times New Roman"/>
          <w:szCs w:val="24"/>
        </w:rPr>
        <w:t xml:space="preserve"> 6</w:t>
      </w:r>
      <w:r w:rsidRPr="0076280D">
        <w:rPr>
          <w:rFonts w:ascii="Times New Roman" w:hAnsi="Times New Roman" w:cs="Times New Roman"/>
          <w:szCs w:val="24"/>
        </w:rPr>
        <w:t xml:space="preserve"> about here ]</w:t>
      </w:r>
    </w:p>
    <w:p w:rsidR="007613BF" w:rsidRPr="0076280D" w:rsidRDefault="007613BF" w:rsidP="005A0A33">
      <w:pPr>
        <w:widowControl/>
        <w:spacing w:line="480" w:lineRule="auto"/>
        <w:ind w:firstLine="480"/>
        <w:rPr>
          <w:rFonts w:ascii="Times New Roman" w:hAnsi="Times New Roman" w:cs="Times New Roman"/>
          <w:szCs w:val="24"/>
        </w:rPr>
      </w:pPr>
      <w:r w:rsidRPr="0076280D">
        <w:rPr>
          <w:rFonts w:ascii="Times New Roman" w:hAnsi="Times New Roman" w:cs="Times New Roman"/>
          <w:szCs w:val="24"/>
        </w:rPr>
        <w:t xml:space="preserve">In the first specification, EA (equity to asset ratio) is negatively related to the cost inefficiency u. Hence, the higher EA </w:t>
      </w:r>
      <w:r w:rsidR="00825C20" w:rsidRPr="0076280D">
        <w:rPr>
          <w:rFonts w:ascii="Times New Roman" w:hAnsi="Times New Roman" w:cs="Times New Roman"/>
          <w:szCs w:val="24"/>
        </w:rPr>
        <w:t>a firm has</w:t>
      </w:r>
      <w:r w:rsidRPr="0076280D">
        <w:rPr>
          <w:rFonts w:ascii="Times New Roman" w:hAnsi="Times New Roman" w:cs="Times New Roman"/>
          <w:szCs w:val="24"/>
        </w:rPr>
        <w:t xml:space="preserve">, the </w:t>
      </w:r>
      <w:r w:rsidR="00825C20" w:rsidRPr="0076280D">
        <w:rPr>
          <w:rFonts w:ascii="Times New Roman" w:hAnsi="Times New Roman" w:cs="Times New Roman"/>
          <w:szCs w:val="24"/>
        </w:rPr>
        <w:t>less</w:t>
      </w:r>
      <w:r w:rsidRPr="0076280D">
        <w:rPr>
          <w:rFonts w:ascii="Times New Roman" w:hAnsi="Times New Roman" w:cs="Times New Roman"/>
          <w:szCs w:val="24"/>
        </w:rPr>
        <w:t xml:space="preserve"> the cost efficiency </w:t>
      </w:r>
      <w:r w:rsidR="00825C20" w:rsidRPr="0076280D">
        <w:rPr>
          <w:rFonts w:ascii="Times New Roman" w:hAnsi="Times New Roman" w:cs="Times New Roman"/>
          <w:szCs w:val="24"/>
        </w:rPr>
        <w:t>a firm will enjoy.</w:t>
      </w:r>
      <w:r w:rsidRPr="0076280D">
        <w:rPr>
          <w:rFonts w:ascii="Times New Roman" w:hAnsi="Times New Roman" w:cs="Times New Roman"/>
          <w:szCs w:val="24"/>
        </w:rPr>
        <w:t xml:space="preserve"> </w:t>
      </w:r>
      <w:r w:rsidR="00AA6F3D">
        <w:rPr>
          <w:rFonts w:ascii="Times New Roman" w:hAnsi="Times New Roman" w:cs="Times New Roman"/>
          <w:szCs w:val="24"/>
        </w:rPr>
        <w:t>The equity-to-asset ratio (</w:t>
      </w:r>
      <w:r w:rsidR="00825C20" w:rsidRPr="0076280D">
        <w:rPr>
          <w:rFonts w:ascii="Times New Roman" w:hAnsi="Times New Roman" w:cs="Times New Roman"/>
          <w:szCs w:val="24"/>
        </w:rPr>
        <w:t>EA</w:t>
      </w:r>
      <w:r w:rsidR="00AA6F3D">
        <w:rPr>
          <w:rFonts w:ascii="Times New Roman" w:hAnsi="Times New Roman" w:cs="Times New Roman"/>
          <w:szCs w:val="24"/>
        </w:rPr>
        <w:t>)</w:t>
      </w:r>
      <w:r w:rsidR="00825C20" w:rsidRPr="0076280D">
        <w:rPr>
          <w:rFonts w:ascii="Times New Roman" w:hAnsi="Times New Roman" w:cs="Times New Roman"/>
          <w:szCs w:val="24"/>
        </w:rPr>
        <w:t xml:space="preserve"> is also</w:t>
      </w:r>
      <w:r w:rsidR="00AA6F3D">
        <w:rPr>
          <w:rFonts w:ascii="Times New Roman" w:hAnsi="Times New Roman" w:cs="Times New Roman"/>
          <w:szCs w:val="24"/>
        </w:rPr>
        <w:t xml:space="preserve"> significantly positively related to</w:t>
      </w:r>
      <w:r w:rsidR="00825C20" w:rsidRPr="0076280D">
        <w:rPr>
          <w:rFonts w:ascii="Times New Roman" w:hAnsi="Times New Roman" w:cs="Times New Roman"/>
          <w:szCs w:val="24"/>
        </w:rPr>
        <w:t xml:space="preserve"> variance of</w:t>
      </w:r>
      <w:r w:rsidR="00AA6F3D">
        <w:rPr>
          <w:rFonts w:ascii="Times New Roman" w:hAnsi="Times New Roman" w:cs="Times New Roman"/>
          <w:szCs w:val="24"/>
        </w:rPr>
        <w:t xml:space="preserve"> inefficiency,</w:t>
      </w:r>
      <w:r w:rsidR="00825C20" w:rsidRPr="0076280D">
        <w:rPr>
          <w:rFonts w:ascii="Times New Roman" w:hAnsi="Times New Roman" w:cs="Times New Roman"/>
          <w:szCs w:val="24"/>
        </w:rPr>
        <w:t xml:space="preserve"> </w:t>
      </w:r>
      <w:r w:rsidR="00AA6F3D">
        <w:rPr>
          <w:rFonts w:ascii="Times New Roman" w:hAnsi="Times New Roman" w:cs="Times New Roman"/>
          <w:szCs w:val="24"/>
        </w:rPr>
        <w:t>(u)</w:t>
      </w:r>
      <w:r w:rsidR="00825C20" w:rsidRPr="0076280D">
        <w:rPr>
          <w:rFonts w:ascii="Times New Roman" w:hAnsi="Times New Roman" w:cs="Times New Roman"/>
          <w:szCs w:val="24"/>
        </w:rPr>
        <w:t xml:space="preserve">. Among the country dummies, only SA (Saudi Arabia) is positively related to the variance of u, </w:t>
      </w:r>
      <w:r w:rsidR="00AA6F3D">
        <w:rPr>
          <w:rFonts w:ascii="Times New Roman" w:hAnsi="Times New Roman" w:cs="Times New Roman"/>
          <w:szCs w:val="24"/>
        </w:rPr>
        <w:t xml:space="preserve">indicating </w:t>
      </w:r>
      <w:r w:rsidR="00825C20" w:rsidRPr="0076280D">
        <w:rPr>
          <w:rFonts w:ascii="Times New Roman" w:hAnsi="Times New Roman" w:cs="Times New Roman"/>
          <w:szCs w:val="24"/>
        </w:rPr>
        <w:t>greater volatility</w:t>
      </w:r>
      <w:r w:rsidR="00AA6F3D">
        <w:rPr>
          <w:rFonts w:ascii="Times New Roman" w:hAnsi="Times New Roman" w:cs="Times New Roman"/>
          <w:szCs w:val="24"/>
        </w:rPr>
        <w:t xml:space="preserve"> of the cost inefficiency of Saudi banks.</w:t>
      </w:r>
      <w:r w:rsidR="00825C20" w:rsidRPr="0076280D">
        <w:rPr>
          <w:rFonts w:ascii="Times New Roman" w:hAnsi="Times New Roman" w:cs="Times New Roman"/>
          <w:szCs w:val="24"/>
        </w:rPr>
        <w:t xml:space="preserve"> In addition, the size proxy is negatively related to the variance of</w:t>
      </w:r>
      <w:r w:rsidR="00AA6F3D">
        <w:rPr>
          <w:rFonts w:ascii="Times New Roman" w:hAnsi="Times New Roman" w:cs="Times New Roman"/>
          <w:szCs w:val="24"/>
        </w:rPr>
        <w:t xml:space="preserve"> cost inefficiency (u), </w:t>
      </w:r>
      <w:r w:rsidR="00825C20" w:rsidRPr="0076280D">
        <w:rPr>
          <w:rFonts w:ascii="Times New Roman" w:hAnsi="Times New Roman" w:cs="Times New Roman"/>
          <w:szCs w:val="24"/>
        </w:rPr>
        <w:t>so larger firm</w:t>
      </w:r>
      <w:r w:rsidR="00AA6F3D">
        <w:rPr>
          <w:rFonts w:ascii="Times New Roman" w:hAnsi="Times New Roman" w:cs="Times New Roman"/>
          <w:szCs w:val="24"/>
        </w:rPr>
        <w:t>s more likely to enjoy lower</w:t>
      </w:r>
      <w:r w:rsidR="00825C20" w:rsidRPr="0076280D">
        <w:rPr>
          <w:rFonts w:ascii="Times New Roman" w:hAnsi="Times New Roman" w:cs="Times New Roman"/>
          <w:szCs w:val="24"/>
        </w:rPr>
        <w:t xml:space="preserve"> volatility in cost inefficiency.</w:t>
      </w:r>
    </w:p>
    <w:p w:rsidR="008514F9" w:rsidRPr="0076280D" w:rsidRDefault="00825C20" w:rsidP="005A0A33">
      <w:pPr>
        <w:widowControl/>
        <w:spacing w:line="480" w:lineRule="auto"/>
        <w:ind w:firstLine="480"/>
        <w:rPr>
          <w:rFonts w:ascii="Times New Roman" w:hAnsi="Times New Roman" w:cs="Times New Roman"/>
          <w:szCs w:val="24"/>
        </w:rPr>
      </w:pPr>
      <w:r w:rsidRPr="0076280D">
        <w:rPr>
          <w:rFonts w:ascii="Times New Roman" w:hAnsi="Times New Roman" w:cs="Times New Roman"/>
          <w:szCs w:val="24"/>
        </w:rPr>
        <w:t>The second specification shows</w:t>
      </w:r>
      <w:r w:rsidR="00AA6F3D">
        <w:rPr>
          <w:rFonts w:ascii="Times New Roman" w:hAnsi="Times New Roman" w:cs="Times New Roman"/>
          <w:szCs w:val="24"/>
        </w:rPr>
        <w:t xml:space="preserve"> ISLAM (proxy for</w:t>
      </w:r>
      <w:r w:rsidR="00DB194F" w:rsidRPr="0076280D">
        <w:rPr>
          <w:rFonts w:ascii="Times New Roman" w:hAnsi="Times New Roman" w:cs="Times New Roman"/>
          <w:szCs w:val="24"/>
        </w:rPr>
        <w:t xml:space="preserve"> Islamic bank</w:t>
      </w:r>
      <w:r w:rsidR="00AA6F3D">
        <w:rPr>
          <w:rFonts w:ascii="Times New Roman" w:hAnsi="Times New Roman" w:cs="Times New Roman"/>
          <w:szCs w:val="24"/>
        </w:rPr>
        <w:t>s)</w:t>
      </w:r>
      <w:r w:rsidR="00DB194F" w:rsidRPr="0076280D">
        <w:rPr>
          <w:rFonts w:ascii="Times New Roman" w:hAnsi="Times New Roman" w:cs="Times New Roman"/>
          <w:szCs w:val="24"/>
        </w:rPr>
        <w:t xml:space="preserve"> is positively related to the mean of</w:t>
      </w:r>
      <w:r w:rsidR="00AA6F3D">
        <w:rPr>
          <w:rFonts w:ascii="Times New Roman" w:hAnsi="Times New Roman" w:cs="Times New Roman"/>
          <w:szCs w:val="24"/>
        </w:rPr>
        <w:t xml:space="preserve"> cost inefficiency (</w:t>
      </w:r>
      <w:r w:rsidR="00DB194F" w:rsidRPr="0076280D">
        <w:rPr>
          <w:rFonts w:ascii="Times New Roman" w:hAnsi="Times New Roman" w:cs="Times New Roman"/>
          <w:szCs w:val="24"/>
        </w:rPr>
        <w:t>u</w:t>
      </w:r>
      <w:r w:rsidR="00AA6F3D">
        <w:rPr>
          <w:rFonts w:ascii="Times New Roman" w:hAnsi="Times New Roman" w:cs="Times New Roman"/>
          <w:szCs w:val="24"/>
        </w:rPr>
        <w:t xml:space="preserve">) and it is </w:t>
      </w:r>
      <w:r w:rsidR="00D40307">
        <w:rPr>
          <w:rFonts w:ascii="Times New Roman" w:hAnsi="Times New Roman" w:cs="Times New Roman"/>
          <w:szCs w:val="24"/>
        </w:rPr>
        <w:t>significant</w:t>
      </w:r>
      <w:r w:rsidR="00DB194F" w:rsidRPr="0076280D">
        <w:rPr>
          <w:rFonts w:ascii="Times New Roman" w:hAnsi="Times New Roman" w:cs="Times New Roman"/>
          <w:szCs w:val="24"/>
        </w:rPr>
        <w:t xml:space="preserve"> at 1% level</w:t>
      </w:r>
      <w:r w:rsidR="00A65ADC">
        <w:rPr>
          <w:rFonts w:ascii="Times New Roman" w:hAnsi="Times New Roman" w:cs="Times New Roman"/>
          <w:szCs w:val="24"/>
        </w:rPr>
        <w:t>.  While the</w:t>
      </w:r>
      <w:r w:rsidR="00DB194F" w:rsidRPr="0076280D">
        <w:rPr>
          <w:rFonts w:ascii="Times New Roman" w:hAnsi="Times New Roman" w:cs="Times New Roman"/>
          <w:szCs w:val="24"/>
        </w:rPr>
        <w:t xml:space="preserve"> </w:t>
      </w:r>
      <w:r w:rsidR="00A65ADC">
        <w:rPr>
          <w:rFonts w:ascii="Times New Roman" w:hAnsi="Times New Roman" w:cs="Times New Roman"/>
          <w:szCs w:val="24"/>
        </w:rPr>
        <w:t>use of Islamic banking may lead to</w:t>
      </w:r>
      <w:r w:rsidR="00DB194F" w:rsidRPr="0076280D">
        <w:rPr>
          <w:rFonts w:ascii="Times New Roman" w:hAnsi="Times New Roman" w:cs="Times New Roman"/>
          <w:szCs w:val="24"/>
        </w:rPr>
        <w:t xml:space="preserve"> higher cost efficiency</w:t>
      </w:r>
      <w:r w:rsidR="00A65ADC">
        <w:rPr>
          <w:rFonts w:ascii="Times New Roman" w:hAnsi="Times New Roman" w:cs="Times New Roman"/>
          <w:szCs w:val="24"/>
        </w:rPr>
        <w:t xml:space="preserve">, </w:t>
      </w:r>
      <w:r w:rsidR="00D40307">
        <w:rPr>
          <w:rFonts w:ascii="Times New Roman" w:hAnsi="Times New Roman" w:cs="Times New Roman"/>
          <w:szCs w:val="24"/>
        </w:rPr>
        <w:t>it may not significantly increase</w:t>
      </w:r>
      <w:r w:rsidR="00A65ADC">
        <w:rPr>
          <w:rFonts w:ascii="Times New Roman" w:hAnsi="Times New Roman" w:cs="Times New Roman"/>
          <w:szCs w:val="24"/>
        </w:rPr>
        <w:t xml:space="preserve"> its</w:t>
      </w:r>
      <w:r w:rsidR="00DB194F" w:rsidRPr="0076280D">
        <w:rPr>
          <w:rFonts w:ascii="Times New Roman" w:hAnsi="Times New Roman" w:cs="Times New Roman"/>
          <w:szCs w:val="24"/>
        </w:rPr>
        <w:t xml:space="preserve"> volatility of the cost inefficiency. Moreover, SA (Saudi Arabia) is significantly negatively related to the mean of u (at the 1% level) so the cost efficiency of the banks in SA may be higher than those from the other five countries.</w:t>
      </w:r>
      <w:r w:rsidR="008514F9" w:rsidRPr="0076280D">
        <w:rPr>
          <w:rFonts w:ascii="Times New Roman" w:hAnsi="Times New Roman" w:cs="Times New Roman"/>
          <w:szCs w:val="24"/>
        </w:rPr>
        <w:t xml:space="preserve"> Lambda and Sigma, both the main parameters of u, are also significant at the 5% and 1% </w:t>
      </w:r>
      <w:r w:rsidR="004343AC" w:rsidRPr="0076280D">
        <w:rPr>
          <w:rFonts w:ascii="Times New Roman" w:hAnsi="Times New Roman" w:cs="Times New Roman"/>
          <w:szCs w:val="24"/>
        </w:rPr>
        <w:t>level of significance, which signals</w:t>
      </w:r>
      <w:r w:rsidR="008514F9" w:rsidRPr="0076280D">
        <w:rPr>
          <w:rFonts w:ascii="Times New Roman" w:hAnsi="Times New Roman" w:cs="Times New Roman"/>
          <w:szCs w:val="24"/>
        </w:rPr>
        <w:t xml:space="preserve"> the cost inefficiency term u is well defined.</w:t>
      </w:r>
    </w:p>
    <w:p w:rsidR="005A0A33" w:rsidRDefault="008514F9" w:rsidP="005A0A33">
      <w:pPr>
        <w:widowControl/>
        <w:spacing w:line="480" w:lineRule="auto"/>
        <w:rPr>
          <w:rFonts w:ascii="Times New Roman" w:hAnsi="Times New Roman" w:cs="Times New Roman"/>
          <w:szCs w:val="24"/>
        </w:rPr>
      </w:pPr>
      <w:r w:rsidRPr="0076280D">
        <w:rPr>
          <w:rFonts w:ascii="Times New Roman" w:hAnsi="Times New Roman" w:cs="Times New Roman"/>
          <w:szCs w:val="24"/>
        </w:rPr>
        <w:tab/>
        <w:t>The profit frontiers and efficiencies are estimated via the single step heteroskedastic stochastic frontier approach. The results are displayed in Table 7. In t</w:t>
      </w:r>
      <w:r w:rsidR="00A65ADC">
        <w:rPr>
          <w:rFonts w:ascii="Times New Roman" w:hAnsi="Times New Roman" w:cs="Times New Roman"/>
          <w:szCs w:val="24"/>
        </w:rPr>
        <w:t xml:space="preserve">he first specification, we </w:t>
      </w:r>
      <w:r w:rsidR="00A65ADC">
        <w:rPr>
          <w:rFonts w:ascii="Times New Roman" w:hAnsi="Times New Roman" w:cs="Times New Roman"/>
          <w:szCs w:val="24"/>
        </w:rPr>
        <w:lastRenderedPageBreak/>
        <w:t>observe that</w:t>
      </w:r>
      <w:r w:rsidRPr="0076280D">
        <w:rPr>
          <w:rFonts w:ascii="Times New Roman" w:hAnsi="Times New Roman" w:cs="Times New Roman"/>
          <w:szCs w:val="24"/>
        </w:rPr>
        <w:t xml:space="preserve"> the mean of</w:t>
      </w:r>
      <w:r w:rsidR="00A65ADC">
        <w:rPr>
          <w:rFonts w:ascii="Times New Roman" w:hAnsi="Times New Roman" w:cs="Times New Roman"/>
          <w:szCs w:val="24"/>
        </w:rPr>
        <w:t xml:space="preserve"> profit inefficiency (</w:t>
      </w:r>
      <w:r w:rsidRPr="0076280D">
        <w:rPr>
          <w:rFonts w:ascii="Times New Roman" w:hAnsi="Times New Roman" w:cs="Times New Roman"/>
          <w:szCs w:val="24"/>
        </w:rPr>
        <w:t>u</w:t>
      </w:r>
      <w:r w:rsidR="00A65ADC">
        <w:rPr>
          <w:rFonts w:ascii="Times New Roman" w:hAnsi="Times New Roman" w:cs="Times New Roman"/>
          <w:szCs w:val="24"/>
        </w:rPr>
        <w:t>)</w:t>
      </w:r>
      <w:r w:rsidRPr="0076280D">
        <w:rPr>
          <w:rFonts w:ascii="Times New Roman" w:hAnsi="Times New Roman" w:cs="Times New Roman"/>
          <w:szCs w:val="24"/>
        </w:rPr>
        <w:t xml:space="preserve"> is negatively associated with </w:t>
      </w:r>
      <w:r w:rsidR="00A65ADC">
        <w:rPr>
          <w:rFonts w:ascii="Times New Roman" w:hAnsi="Times New Roman" w:cs="Times New Roman"/>
          <w:szCs w:val="24"/>
        </w:rPr>
        <w:t>equity-to-asset ratio (</w:t>
      </w:r>
      <w:r w:rsidRPr="0076280D">
        <w:rPr>
          <w:rFonts w:ascii="Times New Roman" w:hAnsi="Times New Roman" w:cs="Times New Roman"/>
          <w:szCs w:val="24"/>
        </w:rPr>
        <w:t>EA</w:t>
      </w:r>
      <w:r w:rsidR="005D746B">
        <w:rPr>
          <w:rFonts w:ascii="Times New Roman" w:hAnsi="Times New Roman" w:cs="Times New Roman"/>
          <w:szCs w:val="24"/>
        </w:rPr>
        <w:t>)</w:t>
      </w:r>
      <w:r w:rsidRPr="0076280D">
        <w:rPr>
          <w:rFonts w:ascii="Times New Roman" w:hAnsi="Times New Roman" w:cs="Times New Roman"/>
          <w:szCs w:val="24"/>
        </w:rPr>
        <w:t xml:space="preserve"> and positively related to the TIER1.  </w:t>
      </w:r>
      <w:r w:rsidR="005D746B">
        <w:rPr>
          <w:rFonts w:ascii="Times New Roman" w:hAnsi="Times New Roman" w:cs="Times New Roman"/>
          <w:szCs w:val="24"/>
        </w:rPr>
        <w:t>That is, the higher EA helps increase the profit efficiency and the core capital risk-based ratio (</w:t>
      </w:r>
      <w:r w:rsidRPr="0076280D">
        <w:rPr>
          <w:rFonts w:ascii="Times New Roman" w:hAnsi="Times New Roman" w:cs="Times New Roman"/>
          <w:szCs w:val="24"/>
        </w:rPr>
        <w:t>TIER1</w:t>
      </w:r>
      <w:r w:rsidR="005D746B">
        <w:rPr>
          <w:rFonts w:ascii="Times New Roman" w:hAnsi="Times New Roman" w:cs="Times New Roman"/>
          <w:szCs w:val="24"/>
        </w:rPr>
        <w:t>)</w:t>
      </w:r>
      <w:r w:rsidRPr="0076280D">
        <w:rPr>
          <w:rFonts w:ascii="Times New Roman" w:hAnsi="Times New Roman" w:cs="Times New Roman"/>
          <w:szCs w:val="24"/>
        </w:rPr>
        <w:t xml:space="preserve">. </w:t>
      </w:r>
      <w:r w:rsidR="005D746B">
        <w:rPr>
          <w:rFonts w:ascii="Times New Roman" w:hAnsi="Times New Roman" w:cs="Times New Roman"/>
          <w:szCs w:val="24"/>
        </w:rPr>
        <w:t>Higher equity ratio can lead a bank to achieve</w:t>
      </w:r>
      <w:r w:rsidR="00480322" w:rsidRPr="0076280D">
        <w:rPr>
          <w:rFonts w:ascii="Times New Roman" w:hAnsi="Times New Roman" w:cs="Times New Roman"/>
          <w:szCs w:val="24"/>
        </w:rPr>
        <w:t xml:space="preserve"> low leverage </w:t>
      </w:r>
      <w:r w:rsidR="005D746B">
        <w:rPr>
          <w:rFonts w:ascii="Times New Roman" w:hAnsi="Times New Roman" w:cs="Times New Roman"/>
          <w:szCs w:val="24"/>
        </w:rPr>
        <w:t>risk, and greater</w:t>
      </w:r>
      <w:r w:rsidR="00480322" w:rsidRPr="0076280D">
        <w:rPr>
          <w:rFonts w:ascii="Times New Roman" w:hAnsi="Times New Roman" w:cs="Times New Roman"/>
          <w:szCs w:val="24"/>
        </w:rPr>
        <w:t xml:space="preserve"> profit efficiency. NPL and SIZE </w:t>
      </w:r>
      <w:r w:rsidR="005D746B">
        <w:rPr>
          <w:rFonts w:ascii="Times New Roman" w:hAnsi="Times New Roman" w:cs="Times New Roman"/>
          <w:szCs w:val="24"/>
        </w:rPr>
        <w:t xml:space="preserve">variables </w:t>
      </w:r>
      <w:r w:rsidR="00480322" w:rsidRPr="0076280D">
        <w:rPr>
          <w:rFonts w:ascii="Times New Roman" w:hAnsi="Times New Roman" w:cs="Times New Roman"/>
          <w:szCs w:val="24"/>
        </w:rPr>
        <w:t xml:space="preserve">are </w:t>
      </w:r>
      <w:r w:rsidR="005D746B">
        <w:rPr>
          <w:rFonts w:ascii="Times New Roman" w:hAnsi="Times New Roman" w:cs="Times New Roman"/>
          <w:szCs w:val="24"/>
        </w:rPr>
        <w:t xml:space="preserve">significantly </w:t>
      </w:r>
      <w:r w:rsidR="003548B1" w:rsidRPr="0076280D">
        <w:rPr>
          <w:rFonts w:ascii="Times New Roman" w:hAnsi="Times New Roman" w:cs="Times New Roman"/>
          <w:szCs w:val="24"/>
        </w:rPr>
        <w:t xml:space="preserve">positively </w:t>
      </w:r>
      <w:r w:rsidR="00480322" w:rsidRPr="0076280D">
        <w:rPr>
          <w:rFonts w:ascii="Times New Roman" w:hAnsi="Times New Roman" w:cs="Times New Roman"/>
          <w:szCs w:val="24"/>
        </w:rPr>
        <w:t>related to</w:t>
      </w:r>
      <w:r w:rsidR="003548B1" w:rsidRPr="0076280D">
        <w:rPr>
          <w:rFonts w:ascii="Times New Roman" w:hAnsi="Times New Roman" w:cs="Times New Roman"/>
          <w:szCs w:val="24"/>
        </w:rPr>
        <w:t xml:space="preserve"> the variance of </w:t>
      </w:r>
      <w:r w:rsidR="005D746B">
        <w:rPr>
          <w:rFonts w:ascii="Times New Roman" w:hAnsi="Times New Roman" w:cs="Times New Roman"/>
          <w:szCs w:val="24"/>
        </w:rPr>
        <w:t>profit inefficiency, indicating that larger banks with higher credit risk are more likely to experience high volatility in their profit inefficiency.</w:t>
      </w:r>
      <w:r w:rsidR="003548B1" w:rsidRPr="0076280D">
        <w:rPr>
          <w:rFonts w:ascii="Times New Roman" w:hAnsi="Times New Roman" w:cs="Times New Roman"/>
          <w:szCs w:val="24"/>
        </w:rPr>
        <w:t xml:space="preserve"> On the other hand, </w:t>
      </w:r>
      <w:r w:rsidR="005E0E22">
        <w:rPr>
          <w:rFonts w:ascii="Times New Roman" w:hAnsi="Times New Roman" w:cs="Times New Roman"/>
          <w:szCs w:val="24"/>
        </w:rPr>
        <w:t>the</w:t>
      </w:r>
      <w:r w:rsidR="005D746B">
        <w:rPr>
          <w:rFonts w:ascii="Times New Roman" w:hAnsi="Times New Roman" w:cs="Times New Roman"/>
          <w:szCs w:val="24"/>
        </w:rPr>
        <w:t xml:space="preserve"> equity-to-asset ratio</w:t>
      </w:r>
      <w:r w:rsidR="005E0E22">
        <w:rPr>
          <w:rFonts w:ascii="Times New Roman" w:hAnsi="Times New Roman" w:cs="Times New Roman"/>
          <w:szCs w:val="24"/>
        </w:rPr>
        <w:t xml:space="preserve"> is significantly negatively related to</w:t>
      </w:r>
      <w:r w:rsidR="003548B1" w:rsidRPr="0076280D">
        <w:rPr>
          <w:rFonts w:ascii="Times New Roman" w:hAnsi="Times New Roman" w:cs="Times New Roman"/>
          <w:szCs w:val="24"/>
        </w:rPr>
        <w:t xml:space="preserve"> the variance of </w:t>
      </w:r>
      <w:r w:rsidR="005E0E22">
        <w:rPr>
          <w:rFonts w:ascii="Times New Roman" w:hAnsi="Times New Roman" w:cs="Times New Roman"/>
          <w:szCs w:val="24"/>
        </w:rPr>
        <w:t xml:space="preserve">profit inefficiency. This implies that banks with </w:t>
      </w:r>
      <w:r w:rsidR="003548B1" w:rsidRPr="0076280D">
        <w:rPr>
          <w:rFonts w:ascii="Times New Roman" w:hAnsi="Times New Roman" w:cs="Times New Roman"/>
          <w:szCs w:val="24"/>
        </w:rPr>
        <w:t>high</w:t>
      </w:r>
      <w:r w:rsidR="005E0E22">
        <w:rPr>
          <w:rFonts w:ascii="Times New Roman" w:hAnsi="Times New Roman" w:cs="Times New Roman"/>
          <w:szCs w:val="24"/>
        </w:rPr>
        <w:t>er</w:t>
      </w:r>
      <w:r w:rsidR="003548B1" w:rsidRPr="0076280D">
        <w:rPr>
          <w:rFonts w:ascii="Times New Roman" w:hAnsi="Times New Roman" w:cs="Times New Roman"/>
          <w:szCs w:val="24"/>
        </w:rPr>
        <w:t xml:space="preserve"> EA will </w:t>
      </w:r>
      <w:r w:rsidR="005E0E22">
        <w:rPr>
          <w:rFonts w:ascii="Times New Roman" w:hAnsi="Times New Roman" w:cs="Times New Roman"/>
          <w:szCs w:val="24"/>
        </w:rPr>
        <w:t xml:space="preserve">have </w:t>
      </w:r>
      <w:r w:rsidR="003548B1" w:rsidRPr="0076280D">
        <w:rPr>
          <w:rFonts w:ascii="Times New Roman" w:hAnsi="Times New Roman" w:cs="Times New Roman"/>
          <w:szCs w:val="24"/>
        </w:rPr>
        <w:t>lower risk</w:t>
      </w:r>
      <w:r w:rsidR="005E0E22">
        <w:rPr>
          <w:rFonts w:ascii="Times New Roman" w:hAnsi="Times New Roman" w:cs="Times New Roman"/>
          <w:szCs w:val="24"/>
        </w:rPr>
        <w:t xml:space="preserve"> of insolvency</w:t>
      </w:r>
      <w:r w:rsidR="003548B1" w:rsidRPr="0076280D">
        <w:rPr>
          <w:rFonts w:ascii="Times New Roman" w:hAnsi="Times New Roman" w:cs="Times New Roman"/>
          <w:szCs w:val="24"/>
        </w:rPr>
        <w:t>.</w:t>
      </w:r>
    </w:p>
    <w:p w:rsidR="005A0A33" w:rsidRDefault="00480322" w:rsidP="005A0A33">
      <w:pPr>
        <w:spacing w:line="480" w:lineRule="auto"/>
        <w:jc w:val="center"/>
        <w:rPr>
          <w:rFonts w:ascii="Times New Roman" w:hAnsi="Times New Roman" w:cs="Times New Roman"/>
          <w:szCs w:val="24"/>
        </w:rPr>
      </w:pPr>
      <w:r w:rsidRPr="0076280D">
        <w:rPr>
          <w:rFonts w:ascii="Times New Roman" w:hAnsi="Times New Roman" w:cs="Times New Roman"/>
          <w:szCs w:val="24"/>
        </w:rPr>
        <w:t xml:space="preserve">  </w:t>
      </w:r>
      <w:r w:rsidR="00DB194F" w:rsidRPr="0076280D">
        <w:rPr>
          <w:rFonts w:ascii="Times New Roman" w:hAnsi="Times New Roman" w:cs="Times New Roman"/>
          <w:szCs w:val="24"/>
        </w:rPr>
        <w:t xml:space="preserve">  </w:t>
      </w:r>
      <w:r w:rsidR="005A0A33">
        <w:rPr>
          <w:rFonts w:ascii="Times New Roman" w:hAnsi="Times New Roman" w:cs="Times New Roman"/>
          <w:szCs w:val="24"/>
        </w:rPr>
        <w:t xml:space="preserve">  </w:t>
      </w:r>
      <w:proofErr w:type="gramStart"/>
      <w:r w:rsidR="005A0A33" w:rsidRPr="0076280D">
        <w:rPr>
          <w:rFonts w:ascii="Times New Roman" w:hAnsi="Times New Roman" w:cs="Times New Roman"/>
          <w:szCs w:val="24"/>
        </w:rPr>
        <w:t>[</w:t>
      </w:r>
      <w:r w:rsidR="005A0A33">
        <w:rPr>
          <w:rFonts w:ascii="Times New Roman" w:hAnsi="Times New Roman" w:cs="Times New Roman"/>
          <w:szCs w:val="24"/>
        </w:rPr>
        <w:t xml:space="preserve"> Table</w:t>
      </w:r>
      <w:proofErr w:type="gramEnd"/>
      <w:r w:rsidR="005A0A33">
        <w:rPr>
          <w:rFonts w:ascii="Times New Roman" w:hAnsi="Times New Roman" w:cs="Times New Roman"/>
          <w:szCs w:val="24"/>
        </w:rPr>
        <w:t xml:space="preserve"> 7</w:t>
      </w:r>
      <w:r w:rsidR="005A0A33" w:rsidRPr="0076280D">
        <w:rPr>
          <w:rFonts w:ascii="Times New Roman" w:hAnsi="Times New Roman" w:cs="Times New Roman"/>
          <w:szCs w:val="24"/>
        </w:rPr>
        <w:t xml:space="preserve"> about here ]</w:t>
      </w:r>
    </w:p>
    <w:p w:rsidR="00B505E1" w:rsidRDefault="00147838" w:rsidP="00B505E1">
      <w:pPr>
        <w:pStyle w:val="BodyTextIndent"/>
        <w:ind w:left="0" w:firstLine="0"/>
      </w:pPr>
      <w:r>
        <w:t xml:space="preserve">    </w:t>
      </w:r>
      <w:r w:rsidR="005E0E22">
        <w:t xml:space="preserve">Finally, we estimate </w:t>
      </w:r>
      <w:r w:rsidR="006441AF" w:rsidRPr="0076280D">
        <w:t>cost efficiency and profit efficiency for each bank</w:t>
      </w:r>
      <w:r w:rsidR="005E0E22">
        <w:t xml:space="preserve"> in GCC countries</w:t>
      </w:r>
      <w:r w:rsidR="006441AF" w:rsidRPr="0076280D">
        <w:t xml:space="preserve"> </w:t>
      </w:r>
      <w:r w:rsidR="005E0E22">
        <w:t xml:space="preserve">and list the results </w:t>
      </w:r>
      <w:r w:rsidR="006441AF" w:rsidRPr="0076280D">
        <w:t>in Table 8. The measure of cost efficiency ranges from 0.5645 (National Bank of Dubai Public Joint Co.) to 0.9999 (Arab Bank</w:t>
      </w:r>
      <w:r w:rsidR="005E0E22">
        <w:t xml:space="preserve"> of Investment &amp; Foreign Trade). T</w:t>
      </w:r>
      <w:r w:rsidR="006441AF" w:rsidRPr="0076280D">
        <w:t>he estimation of profit efficiency</w:t>
      </w:r>
      <w:r w:rsidR="005E0E22">
        <w:t xml:space="preserve"> ranges</w:t>
      </w:r>
      <w:r w:rsidR="006441AF" w:rsidRPr="0076280D">
        <w:t xml:space="preserve"> between 0.3547 (Gulf Bank) and 0.9629 (Bank of Sharjah). </w:t>
      </w:r>
      <w:r w:rsidR="005E0E22">
        <w:t xml:space="preserve"> We </w:t>
      </w:r>
      <w:r w:rsidR="00F226C2">
        <w:t>find</w:t>
      </w:r>
      <w:r w:rsidR="0011151A">
        <w:t xml:space="preserve"> that most </w:t>
      </w:r>
      <w:r w:rsidR="005E0E22">
        <w:t>cost efficien</w:t>
      </w:r>
      <w:r w:rsidR="0011151A">
        <w:t>t banks</w:t>
      </w:r>
      <w:r w:rsidR="00D40307">
        <w:t xml:space="preserve"> don’t </w:t>
      </w:r>
      <w:r w:rsidR="0011151A">
        <w:t xml:space="preserve">necessarily </w:t>
      </w:r>
      <w:r w:rsidR="00D40307">
        <w:t>enjoy higher level of</w:t>
      </w:r>
      <w:r w:rsidR="00F226C2">
        <w:t xml:space="preserve"> </w:t>
      </w:r>
      <w:r w:rsidR="005E0E22">
        <w:t xml:space="preserve">profit </w:t>
      </w:r>
      <w:r w:rsidR="00D40307">
        <w:t>efficiency</w:t>
      </w:r>
      <w:r w:rsidR="005E0E22">
        <w:t xml:space="preserve">. </w:t>
      </w:r>
      <w:r>
        <w:t xml:space="preserve"> Table 8 lists</w:t>
      </w:r>
      <w:r w:rsidR="00F226C2">
        <w:t xml:space="preserve"> </w:t>
      </w:r>
      <w:r w:rsidR="006441AF" w:rsidRPr="0076280D">
        <w:t>rankings of banks based on the cost efficiency</w:t>
      </w:r>
      <w:r w:rsidR="00D40307">
        <w:t xml:space="preserve"> (see column 3) as well as</w:t>
      </w:r>
      <w:r w:rsidR="006441AF" w:rsidRPr="0076280D">
        <w:t xml:space="preserve"> on the profit efficiency</w:t>
      </w:r>
      <w:r>
        <w:t xml:space="preserve"> (see column 5)</w:t>
      </w:r>
      <w:r w:rsidR="006441AF" w:rsidRPr="0076280D">
        <w:t xml:space="preserve">. For instance, Ahli United Bank BSC enjoys high profit </w:t>
      </w:r>
      <w:r w:rsidR="006441AF" w:rsidRPr="0076280D">
        <w:lastRenderedPageBreak/>
        <w:t xml:space="preserve">efficiency (0.9323) and is ranked No. 8; but it has much lower cost efficiency (0.7258) </w:t>
      </w:r>
      <w:r>
        <w:t>with</w:t>
      </w:r>
      <w:r w:rsidR="00F226C2">
        <w:t xml:space="preserve"> </w:t>
      </w:r>
      <w:r>
        <w:t xml:space="preserve">a </w:t>
      </w:r>
      <w:r w:rsidR="006441AF" w:rsidRPr="0076280D">
        <w:t>low</w:t>
      </w:r>
      <w:r>
        <w:t xml:space="preserve"> rank</w:t>
      </w:r>
      <w:r w:rsidR="006441AF" w:rsidRPr="0076280D">
        <w:t xml:space="preserve"> (No. 41).</w:t>
      </w:r>
      <w:r w:rsidR="0013303E" w:rsidRPr="0076280D">
        <w:t xml:space="preserve"> </w:t>
      </w:r>
      <w:r w:rsidR="00F226C2">
        <w:t xml:space="preserve"> </w:t>
      </w:r>
    </w:p>
    <w:p w:rsidR="005A0A33" w:rsidRDefault="005A0A33" w:rsidP="00B505E1">
      <w:pPr>
        <w:pStyle w:val="BodyTextIndent"/>
        <w:ind w:left="0" w:firstLine="0"/>
        <w:jc w:val="center"/>
      </w:pPr>
      <w:proofErr w:type="gramStart"/>
      <w:r w:rsidRPr="0076280D">
        <w:t>[</w:t>
      </w:r>
      <w:r>
        <w:t xml:space="preserve"> Table</w:t>
      </w:r>
      <w:proofErr w:type="gramEnd"/>
      <w:r>
        <w:t xml:space="preserve"> 8</w:t>
      </w:r>
      <w:r w:rsidRPr="0076280D">
        <w:t xml:space="preserve"> about here ]</w:t>
      </w:r>
    </w:p>
    <w:p w:rsidR="00AD7D1F" w:rsidRDefault="00F226C2" w:rsidP="00B505E1">
      <w:pPr>
        <w:pStyle w:val="BodyTextIndent"/>
        <w:ind w:left="0" w:firstLine="480"/>
      </w:pPr>
      <w:r>
        <w:t xml:space="preserve">In contrast, </w:t>
      </w:r>
      <w:r w:rsidR="0013303E" w:rsidRPr="0076280D">
        <w:t xml:space="preserve">Gulf bank </w:t>
      </w:r>
      <w:r>
        <w:t xml:space="preserve">which </w:t>
      </w:r>
      <w:r w:rsidR="0013303E" w:rsidRPr="0076280D">
        <w:t>is ranked high (No. 4) in terms of cost efficiency</w:t>
      </w:r>
      <w:r>
        <w:t xml:space="preserve"> is</w:t>
      </w:r>
      <w:r w:rsidR="0013303E" w:rsidRPr="0076280D">
        <w:t xml:space="preserve"> ranked </w:t>
      </w:r>
      <w:r>
        <w:t xml:space="preserve">the </w:t>
      </w:r>
      <w:r w:rsidR="0013303E" w:rsidRPr="0076280D">
        <w:t>lowest (No.</w:t>
      </w:r>
      <w:r w:rsidR="00884613">
        <w:t xml:space="preserve"> </w:t>
      </w:r>
      <w:r w:rsidR="0013303E" w:rsidRPr="0076280D">
        <w:t>45) in terms o</w:t>
      </w:r>
      <w:r>
        <w:t xml:space="preserve">f profit efficiency. </w:t>
      </w:r>
      <w:r w:rsidR="00147838">
        <w:t xml:space="preserve">Prior studies on bank efficiency suggest that it is important to consider rankings of both cost and profit efficiencies </w:t>
      </w:r>
      <w:r w:rsidR="00147838">
        <w:rPr>
          <w:rFonts w:hint="eastAsia"/>
          <w:lang w:eastAsia="zh-TW"/>
        </w:rPr>
        <w:t>(see Berger et al.</w:t>
      </w:r>
      <w:r w:rsidR="00147838">
        <w:rPr>
          <w:lang w:eastAsia="zh-TW"/>
        </w:rPr>
        <w:t>,</w:t>
      </w:r>
      <w:r w:rsidR="00147838">
        <w:rPr>
          <w:rFonts w:hint="eastAsia"/>
          <w:lang w:eastAsia="zh-TW"/>
        </w:rPr>
        <w:t xml:space="preserve"> 2008)</w:t>
      </w:r>
      <w:r w:rsidR="00147838">
        <w:t xml:space="preserve">. For example, some banks can be more profitable by providing financial services that are costly but generate higher net revenue. The </w:t>
      </w:r>
      <w:r w:rsidR="00884613">
        <w:t xml:space="preserve">Column </w:t>
      </w:r>
      <w:r w:rsidR="00147838">
        <w:t xml:space="preserve">(6) in Table 8 shows the rankings of bank efficiency based on the sum of ranks for the cost efficiency and the profit efficiency. As seen in Table 8, considering both profit and cost efficiency, the most efficient bank in the Gulf region is the </w:t>
      </w:r>
      <w:r w:rsidR="00AD7D1F">
        <w:t xml:space="preserve">Bank of </w:t>
      </w:r>
      <w:proofErr w:type="spellStart"/>
      <w:r w:rsidR="00AD7D1F">
        <w:t>Sharjah</w:t>
      </w:r>
      <w:proofErr w:type="spellEnd"/>
      <w:r w:rsidR="00147838">
        <w:t xml:space="preserve">, a </w:t>
      </w:r>
      <w:r w:rsidR="00AD7D1F">
        <w:t xml:space="preserve">conventional </w:t>
      </w:r>
      <w:r w:rsidR="00147838">
        <w:t>bank</w:t>
      </w:r>
      <w:r w:rsidR="00AD7D1F">
        <w:t xml:space="preserve"> located in the UAE</w:t>
      </w:r>
      <w:r w:rsidR="00147838">
        <w:t xml:space="preserve"> with a </w:t>
      </w:r>
      <w:r w:rsidR="00D40307">
        <w:t>combined rank of ‘</w:t>
      </w:r>
      <w:r w:rsidR="00AD7D1F">
        <w:t>6</w:t>
      </w:r>
      <w:r w:rsidR="00D40307">
        <w:t>’</w:t>
      </w:r>
      <w:r w:rsidR="00AD7D1F">
        <w:t xml:space="preserve"> follo</w:t>
      </w:r>
      <w:r w:rsidR="00D40307">
        <w:t>wed by Arab Bank of Investment and</w:t>
      </w:r>
      <w:r w:rsidR="00AD7D1F">
        <w:t xml:space="preserve"> Foreign trade,</w:t>
      </w:r>
      <w:r w:rsidR="00147838">
        <w:t xml:space="preserve"> a</w:t>
      </w:r>
      <w:r w:rsidR="00AD7D1F">
        <w:t>nother conve</w:t>
      </w:r>
      <w:r w:rsidR="00D40307">
        <w:t>ntional bank located in the UAE with a combined rank</w:t>
      </w:r>
      <w:r w:rsidR="00884613">
        <w:t xml:space="preserve"> </w:t>
      </w:r>
      <w:r w:rsidR="00147838">
        <w:t xml:space="preserve">of </w:t>
      </w:r>
      <w:r w:rsidR="00D40307">
        <w:t>‘</w:t>
      </w:r>
      <w:r w:rsidR="00AD7D1F">
        <w:t>10</w:t>
      </w:r>
      <w:r w:rsidR="00D40307">
        <w:t>’</w:t>
      </w:r>
      <w:r w:rsidR="00147838">
        <w:t>.</w:t>
      </w:r>
      <w:r w:rsidR="00D40307">
        <w:t xml:space="preserve"> </w:t>
      </w:r>
    </w:p>
    <w:p w:rsidR="005A0A33" w:rsidRDefault="005A0A33" w:rsidP="00147838">
      <w:pPr>
        <w:pStyle w:val="BodyTextIndent"/>
        <w:ind w:left="0" w:firstLine="0"/>
      </w:pPr>
    </w:p>
    <w:p w:rsidR="00D33B9C" w:rsidRPr="000823A6" w:rsidRDefault="00D33B9C" w:rsidP="00B45A22">
      <w:pPr>
        <w:pStyle w:val="BodyTextIndent"/>
        <w:ind w:left="0" w:firstLine="0"/>
        <w:rPr>
          <w:b/>
        </w:rPr>
      </w:pPr>
      <w:r w:rsidRPr="000823A6">
        <w:rPr>
          <w:b/>
        </w:rPr>
        <w:t>7. Conclusion</w:t>
      </w:r>
    </w:p>
    <w:p w:rsidR="00816D01" w:rsidRPr="000823A6" w:rsidRDefault="00D851E5" w:rsidP="000823A6">
      <w:pPr>
        <w:widowControl/>
        <w:spacing w:line="480" w:lineRule="auto"/>
        <w:ind w:firstLine="480"/>
        <w:rPr>
          <w:rFonts w:ascii="Times New Roman" w:hAnsi="Times New Roman" w:cs="Times New Roman"/>
        </w:rPr>
      </w:pPr>
      <w:r>
        <w:rPr>
          <w:rFonts w:ascii="Times New Roman" w:hAnsi="Times New Roman" w:cs="Times New Roman"/>
        </w:rPr>
        <w:t>We measure</w:t>
      </w:r>
      <w:r w:rsidR="000823A6" w:rsidRPr="000823A6">
        <w:rPr>
          <w:rFonts w:ascii="Times New Roman" w:hAnsi="Times New Roman" w:cs="Times New Roman"/>
        </w:rPr>
        <w:t xml:space="preserve"> </w:t>
      </w:r>
      <w:r w:rsidR="00C279B2" w:rsidRPr="000823A6">
        <w:rPr>
          <w:rFonts w:ascii="Times New Roman" w:hAnsi="Times New Roman" w:cs="Times New Roman"/>
        </w:rPr>
        <w:t>cost and profit efficiency of banks operating in six GCC countries (</w:t>
      </w:r>
      <w:r w:rsidR="00C279B2" w:rsidRPr="000823A6">
        <w:rPr>
          <w:rFonts w:ascii="Times New Roman" w:hAnsi="Times New Roman" w:cs="Times New Roman"/>
          <w:lang w:eastAsia="zh-CN"/>
        </w:rPr>
        <w:t>Bahrain, Kuwait, Oman, Qatar, Saudi Arabia, and the United Arab Emirates)</w:t>
      </w:r>
      <w:r w:rsidR="00C279B2" w:rsidRPr="000823A6">
        <w:rPr>
          <w:rFonts w:ascii="Times New Roman" w:hAnsi="Times New Roman" w:cs="Times New Roman"/>
        </w:rPr>
        <w:t xml:space="preserve"> for the period </w:t>
      </w:r>
      <w:r w:rsidR="00884613">
        <w:rPr>
          <w:rFonts w:ascii="Times New Roman" w:hAnsi="Times New Roman" w:cs="Times New Roman"/>
        </w:rPr>
        <w:t xml:space="preserve">of </w:t>
      </w:r>
      <w:r w:rsidR="00C279B2" w:rsidRPr="000823A6">
        <w:rPr>
          <w:rFonts w:ascii="Times New Roman" w:hAnsi="Times New Roman" w:cs="Times New Roman"/>
        </w:rPr>
        <w:t xml:space="preserve">1999-2010 </w:t>
      </w:r>
      <w:r w:rsidR="00C279B2" w:rsidRPr="000823A6">
        <w:rPr>
          <w:rFonts w:ascii="Times New Roman" w:hAnsi="Times New Roman" w:cs="Times New Roman"/>
        </w:rPr>
        <w:lastRenderedPageBreak/>
        <w:t xml:space="preserve">using heteroskedastic stochastic frontier (HSF) models. </w:t>
      </w:r>
      <w:r>
        <w:rPr>
          <w:rFonts w:ascii="Times New Roman" w:hAnsi="Times New Roman" w:cs="Times New Roman"/>
        </w:rPr>
        <w:t>We</w:t>
      </w:r>
      <w:r w:rsidR="00C279B2" w:rsidRPr="000823A6">
        <w:rPr>
          <w:rFonts w:ascii="Times New Roman" w:hAnsi="Times New Roman" w:cs="Times New Roman"/>
        </w:rPr>
        <w:t xml:space="preserve"> </w:t>
      </w:r>
      <w:r w:rsidR="000823A6" w:rsidRPr="000823A6">
        <w:rPr>
          <w:rFonts w:ascii="Times New Roman" w:hAnsi="Times New Roman" w:cs="Times New Roman"/>
        </w:rPr>
        <w:t xml:space="preserve">also </w:t>
      </w:r>
      <w:r w:rsidR="00C279B2" w:rsidRPr="000823A6">
        <w:rPr>
          <w:rFonts w:ascii="Times New Roman" w:hAnsi="Times New Roman" w:cs="Times New Roman"/>
        </w:rPr>
        <w:t xml:space="preserve">estimate cost and profit </w:t>
      </w:r>
      <w:r w:rsidR="000823A6" w:rsidRPr="000823A6">
        <w:rPr>
          <w:rFonts w:ascii="Times New Roman" w:hAnsi="Times New Roman" w:cs="Times New Roman"/>
        </w:rPr>
        <w:t>efficiency</w:t>
      </w:r>
      <w:r w:rsidR="00C279B2" w:rsidRPr="000823A6">
        <w:rPr>
          <w:rFonts w:ascii="Times New Roman" w:hAnsi="Times New Roman" w:cs="Times New Roman"/>
        </w:rPr>
        <w:t xml:space="preserve"> of Islamic banks, conventional banks, mixed banks, privately</w:t>
      </w:r>
      <w:r w:rsidR="000823A6" w:rsidRPr="000823A6">
        <w:rPr>
          <w:rFonts w:ascii="Times New Roman" w:hAnsi="Times New Roman" w:cs="Times New Roman"/>
        </w:rPr>
        <w:t xml:space="preserve"> </w:t>
      </w:r>
      <w:r w:rsidR="00C279B2" w:rsidRPr="000823A6">
        <w:rPr>
          <w:rFonts w:ascii="Times New Roman" w:hAnsi="Times New Roman" w:cs="Times New Roman"/>
        </w:rPr>
        <w:t>owned and government owned banks operating in GCC countries</w:t>
      </w:r>
      <w:r w:rsidR="000823A6" w:rsidRPr="000823A6">
        <w:rPr>
          <w:rFonts w:ascii="Times New Roman" w:hAnsi="Times New Roman" w:cs="Times New Roman"/>
        </w:rPr>
        <w:t xml:space="preserve">. </w:t>
      </w:r>
      <w:r w:rsidR="00C279B2" w:rsidRPr="000823A6">
        <w:rPr>
          <w:rFonts w:ascii="Times New Roman" w:hAnsi="Times New Roman" w:cs="Times New Roman"/>
        </w:rPr>
        <w:t>The results of our study show that there is no discernible upward trend on cost or profit efficiency of banks</w:t>
      </w:r>
      <w:r w:rsidR="00B505E1">
        <w:rPr>
          <w:rFonts w:ascii="Times New Roman" w:hAnsi="Times New Roman" w:cs="Times New Roman"/>
        </w:rPr>
        <w:t xml:space="preserve"> over the 1999-2010 </w:t>
      </w:r>
      <w:proofErr w:type="gramStart"/>
      <w:r w:rsidR="00B505E1">
        <w:rPr>
          <w:rFonts w:ascii="Times New Roman" w:hAnsi="Times New Roman" w:cs="Times New Roman"/>
        </w:rPr>
        <w:t>period</w:t>
      </w:r>
      <w:proofErr w:type="gramEnd"/>
      <w:r w:rsidR="00B505E1">
        <w:rPr>
          <w:rFonts w:ascii="Times New Roman" w:hAnsi="Times New Roman" w:cs="Times New Roman"/>
        </w:rPr>
        <w:t>.</w:t>
      </w:r>
      <w:r w:rsidR="00C279B2" w:rsidRPr="000823A6">
        <w:rPr>
          <w:rFonts w:ascii="Times New Roman" w:hAnsi="Times New Roman" w:cs="Times New Roman"/>
        </w:rPr>
        <w:t xml:space="preserve"> We analyze the effects of size, equity capital-to-asset ratio, types of banks (Islamic versus non-Islamic banks) and ownership structure </w:t>
      </w:r>
      <w:r w:rsidR="00B505E1">
        <w:rPr>
          <w:rFonts w:ascii="Times New Roman" w:hAnsi="Times New Roman" w:cs="Times New Roman"/>
        </w:rPr>
        <w:t xml:space="preserve">on bank inefficiency </w:t>
      </w:r>
      <w:r w:rsidR="00C279B2" w:rsidRPr="000823A6">
        <w:rPr>
          <w:rFonts w:ascii="Times New Roman" w:hAnsi="Times New Roman" w:cs="Times New Roman"/>
        </w:rPr>
        <w:t>after allowing for differences in the inefficiency due to host countries’ regulatory and macro-enviro</w:t>
      </w:r>
      <w:r w:rsidR="00B505E1">
        <w:rPr>
          <w:rFonts w:ascii="Times New Roman" w:hAnsi="Times New Roman" w:cs="Times New Roman"/>
        </w:rPr>
        <w:t>nmental variables</w:t>
      </w:r>
      <w:r w:rsidR="00C279B2" w:rsidRPr="000823A6">
        <w:rPr>
          <w:rFonts w:ascii="Times New Roman" w:hAnsi="Times New Roman" w:cs="Times New Roman"/>
        </w:rPr>
        <w:t xml:space="preserve"> using country dummies. We </w:t>
      </w:r>
      <w:r w:rsidR="00B505E1">
        <w:rPr>
          <w:rFonts w:ascii="Times New Roman" w:hAnsi="Times New Roman" w:cs="Times New Roman"/>
        </w:rPr>
        <w:t>find that Islamic banks are</w:t>
      </w:r>
      <w:r w:rsidR="00C279B2" w:rsidRPr="000823A6">
        <w:rPr>
          <w:rFonts w:ascii="Times New Roman" w:hAnsi="Times New Roman" w:cs="Times New Roman"/>
        </w:rPr>
        <w:t xml:space="preserve"> likely to be less cost efficient but more profit efficient than non-Islamic banks</w:t>
      </w:r>
      <w:r w:rsidR="00071643">
        <w:rPr>
          <w:rFonts w:ascii="Times New Roman" w:hAnsi="Times New Roman" w:cs="Times New Roman"/>
        </w:rPr>
        <w:t xml:space="preserve">. </w:t>
      </w:r>
      <w:r w:rsidR="00C279B2" w:rsidRPr="000823A6">
        <w:rPr>
          <w:rFonts w:ascii="Times New Roman" w:hAnsi="Times New Roman" w:cs="Times New Roman"/>
        </w:rPr>
        <w:t>Banks operating in Saudi Arabia and Bahrain are more cost efficient than those that operate in Kuwait, Oman, Qatar, and the United Arab Emirates. We also</w:t>
      </w:r>
      <w:r w:rsidR="00816D01" w:rsidRPr="000823A6">
        <w:rPr>
          <w:rFonts w:ascii="Times New Roman" w:hAnsi="Times New Roman" w:cs="Times New Roman"/>
        </w:rPr>
        <w:t xml:space="preserve"> report rankings of both cost and profit efficiencies of our sample ba</w:t>
      </w:r>
      <w:r w:rsidR="00B45A22">
        <w:rPr>
          <w:rFonts w:ascii="Times New Roman" w:hAnsi="Times New Roman" w:cs="Times New Roman"/>
        </w:rPr>
        <w:t>nks operating in the GCC countries</w:t>
      </w:r>
      <w:r w:rsidR="00816D01" w:rsidRPr="000823A6">
        <w:rPr>
          <w:rFonts w:ascii="Times New Roman" w:hAnsi="Times New Roman" w:cs="Times New Roman"/>
        </w:rPr>
        <w:t xml:space="preserve"> over the 1999-2010 period.</w:t>
      </w:r>
      <w:r w:rsidR="00B505E1">
        <w:rPr>
          <w:rFonts w:ascii="Times New Roman" w:hAnsi="Times New Roman" w:cs="Times New Roman"/>
        </w:rPr>
        <w:t xml:space="preserve"> </w:t>
      </w:r>
      <w:r w:rsidR="00B45A22">
        <w:rPr>
          <w:rFonts w:ascii="Times New Roman" w:hAnsi="Times New Roman" w:cs="Times New Roman"/>
        </w:rPr>
        <w:t>From a policy perspective, this study highlights the importance of enhancing cost and profit efficiency of banking industry as well as of individual banks in GCC countries.</w:t>
      </w:r>
    </w:p>
    <w:p w:rsidR="000823A6" w:rsidRDefault="000823A6" w:rsidP="008E3515">
      <w:pPr>
        <w:widowControl/>
        <w:autoSpaceDE w:val="0"/>
        <w:autoSpaceDN w:val="0"/>
        <w:adjustRightInd w:val="0"/>
        <w:spacing w:line="240" w:lineRule="auto"/>
        <w:rPr>
          <w:rFonts w:ascii="Times New Roman" w:hAnsi="Times New Roman" w:cs="Times New Roman"/>
          <w:b/>
          <w:kern w:val="0"/>
          <w:szCs w:val="24"/>
        </w:rPr>
      </w:pPr>
    </w:p>
    <w:p w:rsidR="00884613" w:rsidRDefault="00884613">
      <w:pPr>
        <w:widowControl/>
        <w:rPr>
          <w:rFonts w:ascii="Times New Roman" w:hAnsi="Times New Roman" w:cs="Times New Roman"/>
          <w:b/>
          <w:kern w:val="0"/>
          <w:szCs w:val="24"/>
        </w:rPr>
      </w:pPr>
      <w:r>
        <w:rPr>
          <w:rFonts w:ascii="Times New Roman" w:hAnsi="Times New Roman" w:cs="Times New Roman"/>
          <w:b/>
          <w:kern w:val="0"/>
          <w:szCs w:val="24"/>
        </w:rPr>
        <w:br w:type="page"/>
      </w:r>
    </w:p>
    <w:p w:rsidR="008E3515" w:rsidRPr="008E3515" w:rsidRDefault="008E3515" w:rsidP="008E3515">
      <w:pPr>
        <w:widowControl/>
        <w:autoSpaceDE w:val="0"/>
        <w:autoSpaceDN w:val="0"/>
        <w:adjustRightInd w:val="0"/>
        <w:spacing w:line="240" w:lineRule="auto"/>
        <w:rPr>
          <w:rFonts w:ascii="Times New Roman" w:hAnsi="Times New Roman" w:cs="Times New Roman"/>
          <w:b/>
          <w:kern w:val="0"/>
          <w:szCs w:val="24"/>
        </w:rPr>
      </w:pPr>
      <w:r w:rsidRPr="008E3515">
        <w:rPr>
          <w:rFonts w:ascii="Times New Roman" w:hAnsi="Times New Roman" w:cs="Times New Roman"/>
          <w:b/>
          <w:kern w:val="0"/>
          <w:szCs w:val="24"/>
        </w:rPr>
        <w:lastRenderedPageBreak/>
        <w:t>REFERENCES</w:t>
      </w:r>
    </w:p>
    <w:p w:rsidR="008E3515" w:rsidRPr="00F40C2D" w:rsidRDefault="008E3515" w:rsidP="008E3515">
      <w:pPr>
        <w:widowControl/>
        <w:autoSpaceDE w:val="0"/>
        <w:autoSpaceDN w:val="0"/>
        <w:adjustRightInd w:val="0"/>
        <w:spacing w:line="240" w:lineRule="auto"/>
        <w:rPr>
          <w:rFonts w:ascii="Times New Roman" w:hAnsi="Times New Roman" w:cs="Times New Roman"/>
          <w:kern w:val="0"/>
          <w:szCs w:val="24"/>
        </w:rPr>
      </w:pPr>
    </w:p>
    <w:p w:rsidR="008E3515" w:rsidRPr="0094518D" w:rsidRDefault="008E3515" w:rsidP="008E3515">
      <w:pPr>
        <w:pStyle w:val="NoSpacing"/>
        <w:ind w:left="720" w:hanging="720"/>
      </w:pPr>
      <w:proofErr w:type="spellStart"/>
      <w:r w:rsidRPr="0094518D">
        <w:t>Aigner</w:t>
      </w:r>
      <w:proofErr w:type="spellEnd"/>
      <w:r w:rsidRPr="0094518D">
        <w:t xml:space="preserve">, D. J., </w:t>
      </w:r>
      <w:proofErr w:type="spellStart"/>
      <w:r w:rsidRPr="0094518D">
        <w:t>Lovell</w:t>
      </w:r>
      <w:proofErr w:type="gramStart"/>
      <w:r w:rsidRPr="0094518D">
        <w:rPr>
          <w:lang w:eastAsia="zh-TW"/>
        </w:rPr>
        <w:t>,</w:t>
      </w:r>
      <w:r w:rsidRPr="0094518D">
        <w:t>C</w:t>
      </w:r>
      <w:proofErr w:type="spellEnd"/>
      <w:proofErr w:type="gramEnd"/>
      <w:r w:rsidRPr="0094518D">
        <w:t>. A. K., Schmidt</w:t>
      </w:r>
      <w:r w:rsidRPr="0094518D">
        <w:rPr>
          <w:lang w:eastAsia="zh-TW"/>
        </w:rPr>
        <w:t>,</w:t>
      </w:r>
      <w:r w:rsidRPr="0094518D">
        <w:t xml:space="preserve"> P., 1977</w:t>
      </w:r>
      <w:r w:rsidRPr="0094518D">
        <w:rPr>
          <w:lang w:eastAsia="zh-TW"/>
        </w:rPr>
        <w:t>.</w:t>
      </w:r>
      <w:r w:rsidRPr="0094518D">
        <w:t xml:space="preserve"> Formulation and </w:t>
      </w:r>
      <w:r w:rsidRPr="0094518D">
        <w:rPr>
          <w:lang w:eastAsia="zh-TW"/>
        </w:rPr>
        <w:t>e</w:t>
      </w:r>
      <w:r w:rsidRPr="0094518D">
        <w:t xml:space="preserve">stimation of </w:t>
      </w:r>
      <w:r w:rsidRPr="0094518D">
        <w:rPr>
          <w:lang w:eastAsia="zh-TW"/>
        </w:rPr>
        <w:t>s</w:t>
      </w:r>
      <w:r w:rsidRPr="0094518D">
        <w:t xml:space="preserve">tochastic </w:t>
      </w:r>
      <w:r w:rsidRPr="0094518D">
        <w:rPr>
          <w:lang w:eastAsia="zh-TW"/>
        </w:rPr>
        <w:t>f</w:t>
      </w:r>
      <w:r w:rsidRPr="0094518D">
        <w:t xml:space="preserve">rontier </w:t>
      </w:r>
      <w:r w:rsidRPr="0094518D">
        <w:rPr>
          <w:lang w:eastAsia="zh-TW"/>
        </w:rPr>
        <w:t>p</w:t>
      </w:r>
      <w:r w:rsidRPr="0094518D">
        <w:t xml:space="preserve">roduction </w:t>
      </w:r>
      <w:proofErr w:type="gramStart"/>
      <w:r w:rsidRPr="0094518D">
        <w:rPr>
          <w:lang w:eastAsia="zh-TW"/>
        </w:rPr>
        <w:t>f</w:t>
      </w:r>
      <w:r w:rsidRPr="0094518D">
        <w:t>unction</w:t>
      </w:r>
      <w:proofErr w:type="gramEnd"/>
      <w:r w:rsidRPr="0094518D">
        <w:t xml:space="preserve"> </w:t>
      </w:r>
      <w:r w:rsidRPr="0094518D">
        <w:rPr>
          <w:lang w:eastAsia="zh-TW"/>
        </w:rPr>
        <w:t>m</w:t>
      </w:r>
      <w:r w:rsidRPr="0094518D">
        <w:t xml:space="preserve">odels. </w:t>
      </w:r>
      <w:r w:rsidRPr="0094518D">
        <w:rPr>
          <w:i/>
          <w:iCs/>
        </w:rPr>
        <w:t>Journal of Econometrics</w:t>
      </w:r>
      <w:r w:rsidRPr="0094518D">
        <w:t xml:space="preserve"> 6(1), 21-37.</w:t>
      </w:r>
    </w:p>
    <w:p w:rsidR="008E3515" w:rsidRDefault="008E3515" w:rsidP="008E3515">
      <w:pPr>
        <w:pStyle w:val="NoSpacing"/>
        <w:ind w:left="720" w:hanging="720"/>
      </w:pPr>
      <w:proofErr w:type="spellStart"/>
      <w:r w:rsidRPr="0094518D">
        <w:t>Akhavein</w:t>
      </w:r>
      <w:proofErr w:type="spellEnd"/>
      <w:r w:rsidRPr="0094518D">
        <w:t>, J. D., Berger, A. N.</w:t>
      </w:r>
      <w:r w:rsidRPr="0094518D">
        <w:rPr>
          <w:lang w:eastAsia="zh-TW"/>
        </w:rPr>
        <w:t>,</w:t>
      </w:r>
      <w:r w:rsidRPr="0094518D">
        <w:t xml:space="preserve"> </w:t>
      </w:r>
      <w:proofErr w:type="spellStart"/>
      <w:r w:rsidRPr="0094518D">
        <w:t>Humphrey</w:t>
      </w:r>
      <w:proofErr w:type="gramStart"/>
      <w:r w:rsidRPr="0094518D">
        <w:rPr>
          <w:lang w:eastAsia="zh-TW"/>
        </w:rPr>
        <w:t>,</w:t>
      </w:r>
      <w:r w:rsidRPr="0094518D">
        <w:t>D.B</w:t>
      </w:r>
      <w:proofErr w:type="spellEnd"/>
      <w:proofErr w:type="gramEnd"/>
      <w:r w:rsidRPr="0094518D">
        <w:t>., 1997</w:t>
      </w:r>
      <w:r w:rsidRPr="0094518D">
        <w:rPr>
          <w:lang w:eastAsia="zh-TW"/>
        </w:rPr>
        <w:t>.</w:t>
      </w:r>
      <w:r w:rsidRPr="0094518D">
        <w:t xml:space="preserve"> </w:t>
      </w:r>
      <w:proofErr w:type="gramStart"/>
      <w:r w:rsidRPr="0094518D">
        <w:t xml:space="preserve">A </w:t>
      </w:r>
      <w:r w:rsidRPr="0094518D">
        <w:rPr>
          <w:lang w:eastAsia="zh-TW"/>
        </w:rPr>
        <w:t>g</w:t>
      </w:r>
      <w:r w:rsidRPr="0094518D">
        <w:t xml:space="preserve">eneral </w:t>
      </w:r>
      <w:r w:rsidRPr="0094518D">
        <w:rPr>
          <w:lang w:eastAsia="zh-TW"/>
        </w:rPr>
        <w:t>m</w:t>
      </w:r>
      <w:r w:rsidRPr="0094518D">
        <w:t xml:space="preserve">ethod of </w:t>
      </w:r>
      <w:r w:rsidRPr="0094518D">
        <w:rPr>
          <w:lang w:eastAsia="zh-TW"/>
        </w:rPr>
        <w:t>d</w:t>
      </w:r>
      <w:r w:rsidRPr="0094518D">
        <w:t xml:space="preserve">riving the </w:t>
      </w:r>
      <w:r w:rsidRPr="0094518D">
        <w:rPr>
          <w:lang w:eastAsia="zh-TW"/>
        </w:rPr>
        <w:t>e</w:t>
      </w:r>
      <w:r w:rsidRPr="0094518D">
        <w:t xml:space="preserve">fficiencies of </w:t>
      </w:r>
      <w:r w:rsidRPr="0094518D">
        <w:rPr>
          <w:lang w:eastAsia="zh-TW"/>
        </w:rPr>
        <w:t>b</w:t>
      </w:r>
      <w:r w:rsidRPr="0094518D">
        <w:t xml:space="preserve">anks from a </w:t>
      </w:r>
      <w:r w:rsidRPr="0094518D">
        <w:rPr>
          <w:lang w:eastAsia="zh-TW"/>
        </w:rPr>
        <w:t>p</w:t>
      </w:r>
      <w:r w:rsidRPr="0094518D">
        <w:t xml:space="preserve">rofit </w:t>
      </w:r>
      <w:r w:rsidRPr="0094518D">
        <w:rPr>
          <w:lang w:eastAsia="zh-TW"/>
        </w:rPr>
        <w:t>f</w:t>
      </w:r>
      <w:r w:rsidRPr="0094518D">
        <w:t>unction.</w:t>
      </w:r>
      <w:proofErr w:type="gramEnd"/>
      <w:r w:rsidRPr="0094518D">
        <w:t xml:space="preserve"> </w:t>
      </w:r>
      <w:r w:rsidRPr="0094518D">
        <w:rPr>
          <w:i/>
          <w:iCs/>
        </w:rPr>
        <w:t>Journal of Productivity Analysis</w:t>
      </w:r>
      <w:r w:rsidRPr="0094518D">
        <w:t xml:space="preserve"> 8, 71-93.</w:t>
      </w:r>
    </w:p>
    <w:p w:rsidR="00F2422F" w:rsidRDefault="00F2422F" w:rsidP="00F2422F">
      <w:pPr>
        <w:widowControl/>
        <w:autoSpaceDE w:val="0"/>
        <w:autoSpaceDN w:val="0"/>
        <w:adjustRightInd w:val="0"/>
        <w:spacing w:line="240" w:lineRule="auto"/>
        <w:rPr>
          <w:rFonts w:ascii="Times New Roman" w:hAnsi="Times New Roman" w:cs="Times New Roman"/>
          <w:kern w:val="0"/>
          <w:sz w:val="22"/>
        </w:rPr>
      </w:pPr>
      <w:r w:rsidRPr="0094518D">
        <w:rPr>
          <w:rFonts w:ascii="Times New Roman" w:hAnsi="Times New Roman" w:cs="Times New Roman"/>
          <w:kern w:val="0"/>
          <w:sz w:val="22"/>
        </w:rPr>
        <w:t>Al-</w:t>
      </w:r>
      <w:proofErr w:type="spellStart"/>
      <w:r w:rsidRPr="0094518D">
        <w:rPr>
          <w:rFonts w:ascii="Times New Roman" w:hAnsi="Times New Roman" w:cs="Times New Roman"/>
          <w:kern w:val="0"/>
          <w:sz w:val="22"/>
        </w:rPr>
        <w:t>Muharrami</w:t>
      </w:r>
      <w:proofErr w:type="spellEnd"/>
      <w:r w:rsidRPr="0094518D">
        <w:rPr>
          <w:rFonts w:ascii="Times New Roman" w:hAnsi="Times New Roman" w:cs="Times New Roman"/>
          <w:kern w:val="0"/>
          <w:sz w:val="22"/>
        </w:rPr>
        <w:t>, S</w:t>
      </w:r>
      <w:r>
        <w:rPr>
          <w:rFonts w:ascii="Times New Roman" w:hAnsi="Times New Roman" w:cs="Times New Roman"/>
          <w:kern w:val="0"/>
          <w:sz w:val="22"/>
        </w:rPr>
        <w:t>.</w:t>
      </w:r>
      <w:r w:rsidRPr="0094518D">
        <w:rPr>
          <w:rFonts w:ascii="Times New Roman" w:hAnsi="Times New Roman" w:cs="Times New Roman"/>
          <w:kern w:val="0"/>
          <w:sz w:val="22"/>
        </w:rPr>
        <w:t>, Matthews, K</w:t>
      </w:r>
      <w:r>
        <w:rPr>
          <w:rFonts w:ascii="Times New Roman" w:hAnsi="Times New Roman" w:cs="Times New Roman"/>
          <w:kern w:val="0"/>
          <w:sz w:val="22"/>
        </w:rPr>
        <w:t xml:space="preserve">. &amp; </w:t>
      </w:r>
      <w:proofErr w:type="spellStart"/>
      <w:r>
        <w:rPr>
          <w:rFonts w:ascii="Times New Roman" w:hAnsi="Times New Roman" w:cs="Times New Roman"/>
          <w:kern w:val="0"/>
          <w:sz w:val="22"/>
        </w:rPr>
        <w:t>Khabari</w:t>
      </w:r>
      <w:proofErr w:type="spellEnd"/>
      <w:r>
        <w:rPr>
          <w:rFonts w:ascii="Times New Roman" w:hAnsi="Times New Roman" w:cs="Times New Roman"/>
          <w:kern w:val="0"/>
          <w:sz w:val="22"/>
        </w:rPr>
        <w:t xml:space="preserve">, Y., </w:t>
      </w:r>
      <w:proofErr w:type="gramStart"/>
      <w:r>
        <w:rPr>
          <w:rFonts w:ascii="Times New Roman" w:hAnsi="Times New Roman" w:cs="Times New Roman"/>
          <w:kern w:val="0"/>
          <w:sz w:val="22"/>
        </w:rPr>
        <w:t>2006</w:t>
      </w:r>
      <w:r w:rsidRPr="0094518D">
        <w:rPr>
          <w:rFonts w:ascii="Times New Roman" w:hAnsi="Times New Roman" w:cs="Times New Roman"/>
          <w:kern w:val="0"/>
          <w:sz w:val="22"/>
        </w:rPr>
        <w:t xml:space="preserve"> .</w:t>
      </w:r>
      <w:proofErr w:type="gramEnd"/>
      <w:r>
        <w:rPr>
          <w:rFonts w:ascii="Times New Roman" w:hAnsi="Times New Roman" w:cs="Times New Roman"/>
          <w:kern w:val="0"/>
          <w:sz w:val="22"/>
        </w:rPr>
        <w:t xml:space="preserve">  </w:t>
      </w:r>
      <w:r w:rsidRPr="0094518D">
        <w:rPr>
          <w:rFonts w:ascii="Times New Roman" w:hAnsi="Times New Roman" w:cs="Times New Roman"/>
          <w:kern w:val="0"/>
          <w:sz w:val="22"/>
        </w:rPr>
        <w:t>Market structure</w:t>
      </w:r>
      <w:r>
        <w:rPr>
          <w:rFonts w:ascii="Times New Roman" w:hAnsi="Times New Roman" w:cs="Times New Roman"/>
          <w:kern w:val="0"/>
          <w:sz w:val="22"/>
        </w:rPr>
        <w:t xml:space="preserve"> </w:t>
      </w:r>
      <w:r w:rsidRPr="0094518D">
        <w:rPr>
          <w:rFonts w:ascii="Times New Roman" w:hAnsi="Times New Roman" w:cs="Times New Roman"/>
          <w:kern w:val="0"/>
          <w:sz w:val="22"/>
        </w:rPr>
        <w:t xml:space="preserve">and competitive conditions in </w:t>
      </w:r>
    </w:p>
    <w:p w:rsidR="00F2422F" w:rsidRPr="0094518D" w:rsidRDefault="00F2422F" w:rsidP="00F2422F">
      <w:pPr>
        <w:widowControl/>
        <w:autoSpaceDE w:val="0"/>
        <w:autoSpaceDN w:val="0"/>
        <w:adjustRightInd w:val="0"/>
        <w:spacing w:line="240" w:lineRule="auto"/>
        <w:rPr>
          <w:rFonts w:ascii="Times New Roman" w:hAnsi="Times New Roman" w:cs="Times New Roman"/>
          <w:kern w:val="0"/>
          <w:sz w:val="22"/>
        </w:rPr>
      </w:pPr>
      <w:r>
        <w:rPr>
          <w:rFonts w:ascii="Times New Roman" w:hAnsi="Times New Roman" w:cs="Times New Roman"/>
          <w:kern w:val="0"/>
          <w:sz w:val="22"/>
        </w:rPr>
        <w:t xml:space="preserve">        </w:t>
      </w:r>
      <w:proofErr w:type="gramStart"/>
      <w:r w:rsidRPr="0094518D">
        <w:rPr>
          <w:rFonts w:ascii="Times New Roman" w:hAnsi="Times New Roman" w:cs="Times New Roman"/>
          <w:kern w:val="0"/>
          <w:sz w:val="22"/>
        </w:rPr>
        <w:t>the</w:t>
      </w:r>
      <w:proofErr w:type="gramEnd"/>
      <w:r w:rsidRPr="0094518D">
        <w:rPr>
          <w:rFonts w:ascii="Times New Roman" w:hAnsi="Times New Roman" w:cs="Times New Roman"/>
          <w:kern w:val="0"/>
          <w:sz w:val="22"/>
        </w:rPr>
        <w:t xml:space="preserve"> Arab GCC banking system.</w:t>
      </w:r>
      <w:r>
        <w:rPr>
          <w:rFonts w:ascii="Times New Roman" w:hAnsi="Times New Roman" w:cs="Times New Roman"/>
          <w:kern w:val="0"/>
          <w:sz w:val="22"/>
        </w:rPr>
        <w:t xml:space="preserve"> </w:t>
      </w:r>
      <w:r w:rsidRPr="00F2422F">
        <w:rPr>
          <w:rFonts w:ascii="Times New Roman" w:hAnsi="Times New Roman" w:cs="Times New Roman"/>
          <w:i/>
          <w:kern w:val="0"/>
          <w:sz w:val="22"/>
        </w:rPr>
        <w:t xml:space="preserve">Journal of Banking and </w:t>
      </w:r>
      <w:proofErr w:type="gramStart"/>
      <w:r w:rsidRPr="00F2422F">
        <w:rPr>
          <w:rFonts w:ascii="Times New Roman" w:hAnsi="Times New Roman" w:cs="Times New Roman"/>
          <w:i/>
          <w:kern w:val="0"/>
          <w:sz w:val="22"/>
        </w:rPr>
        <w:t>Finance</w:t>
      </w:r>
      <w:r w:rsidRPr="0094518D">
        <w:rPr>
          <w:rFonts w:ascii="Times New Roman" w:hAnsi="Times New Roman" w:cs="Times New Roman"/>
          <w:kern w:val="0"/>
          <w:sz w:val="22"/>
        </w:rPr>
        <w:t xml:space="preserve"> </w:t>
      </w:r>
      <w:r>
        <w:rPr>
          <w:rFonts w:ascii="Times New Roman" w:hAnsi="Times New Roman" w:cs="Times New Roman"/>
          <w:kern w:val="0"/>
          <w:sz w:val="22"/>
        </w:rPr>
        <w:t xml:space="preserve"> 30</w:t>
      </w:r>
      <w:proofErr w:type="gramEnd"/>
      <w:r>
        <w:rPr>
          <w:rFonts w:ascii="Times New Roman" w:hAnsi="Times New Roman" w:cs="Times New Roman"/>
          <w:kern w:val="0"/>
          <w:sz w:val="22"/>
        </w:rPr>
        <w:t xml:space="preserve">, </w:t>
      </w:r>
      <w:r w:rsidRPr="0094518D">
        <w:rPr>
          <w:rFonts w:ascii="Times New Roman" w:hAnsi="Times New Roman" w:cs="Times New Roman"/>
          <w:kern w:val="0"/>
          <w:sz w:val="22"/>
        </w:rPr>
        <w:t>3487-3501</w:t>
      </w:r>
      <w:r>
        <w:rPr>
          <w:rFonts w:ascii="Times New Roman" w:hAnsi="Times New Roman" w:cs="Times New Roman"/>
          <w:kern w:val="0"/>
          <w:sz w:val="22"/>
        </w:rPr>
        <w:t>.</w:t>
      </w:r>
    </w:p>
    <w:p w:rsidR="008E3515" w:rsidRPr="0094518D" w:rsidRDefault="008E3515" w:rsidP="008E3515">
      <w:pPr>
        <w:pStyle w:val="NoSpacing"/>
        <w:ind w:left="720" w:hanging="720"/>
      </w:pPr>
      <w:r w:rsidRPr="0094518D">
        <w:t>Allen, L.</w:t>
      </w:r>
      <w:r w:rsidRPr="0094518D">
        <w:rPr>
          <w:lang w:eastAsia="zh-TW"/>
        </w:rPr>
        <w:t>,</w:t>
      </w:r>
      <w:r w:rsidRPr="0094518D">
        <w:t xml:space="preserve"> Rai</w:t>
      </w:r>
      <w:r w:rsidRPr="0094518D">
        <w:rPr>
          <w:lang w:eastAsia="zh-TW"/>
        </w:rPr>
        <w:t>,</w:t>
      </w:r>
      <w:r w:rsidRPr="0094518D">
        <w:t xml:space="preserve"> A., 1996</w:t>
      </w:r>
      <w:r w:rsidRPr="0094518D">
        <w:rPr>
          <w:lang w:eastAsia="zh-TW"/>
        </w:rPr>
        <w:t>.</w:t>
      </w:r>
      <w:r w:rsidRPr="0094518D">
        <w:t xml:space="preserve"> </w:t>
      </w:r>
      <w:proofErr w:type="gramStart"/>
      <w:r w:rsidRPr="0094518D">
        <w:t xml:space="preserve">Operating </w:t>
      </w:r>
      <w:r w:rsidRPr="0094518D">
        <w:rPr>
          <w:lang w:eastAsia="zh-TW"/>
        </w:rPr>
        <w:t>e</w:t>
      </w:r>
      <w:r w:rsidRPr="0094518D">
        <w:t xml:space="preserve">fficiency in </w:t>
      </w:r>
      <w:r w:rsidRPr="0094518D">
        <w:rPr>
          <w:lang w:eastAsia="zh-TW"/>
        </w:rPr>
        <w:t>b</w:t>
      </w:r>
      <w:r w:rsidRPr="0094518D">
        <w:t xml:space="preserve">anking: An </w:t>
      </w:r>
      <w:r w:rsidRPr="0094518D">
        <w:rPr>
          <w:lang w:eastAsia="zh-TW"/>
        </w:rPr>
        <w:t>i</w:t>
      </w:r>
      <w:r w:rsidRPr="0094518D">
        <w:t xml:space="preserve">nternational </w:t>
      </w:r>
      <w:r w:rsidRPr="0094518D">
        <w:rPr>
          <w:lang w:eastAsia="zh-TW"/>
        </w:rPr>
        <w:t>c</w:t>
      </w:r>
      <w:r w:rsidRPr="0094518D">
        <w:t>omparison</w:t>
      </w:r>
      <w:r w:rsidRPr="0094518D">
        <w:rPr>
          <w:lang w:eastAsia="zh-TW"/>
        </w:rPr>
        <w:t>.</w:t>
      </w:r>
      <w:proofErr w:type="gramEnd"/>
      <w:r w:rsidRPr="0094518D">
        <w:rPr>
          <w:lang w:eastAsia="zh-TW"/>
        </w:rPr>
        <w:t xml:space="preserve"> </w:t>
      </w:r>
      <w:r w:rsidRPr="0094518D">
        <w:t xml:space="preserve"> </w:t>
      </w:r>
      <w:r w:rsidRPr="0094518D">
        <w:rPr>
          <w:i/>
          <w:iCs/>
        </w:rPr>
        <w:t>Journal of Banking and Finance</w:t>
      </w:r>
      <w:r w:rsidRPr="0094518D">
        <w:t xml:space="preserve"> 20, 655-672.</w:t>
      </w:r>
    </w:p>
    <w:p w:rsidR="008E3515" w:rsidRPr="0094518D" w:rsidRDefault="008E3515" w:rsidP="008E3515">
      <w:pPr>
        <w:pStyle w:val="NoSpacing"/>
        <w:ind w:left="720" w:hanging="720"/>
      </w:pPr>
      <w:proofErr w:type="spellStart"/>
      <w:r w:rsidRPr="0094518D">
        <w:t>Altunbas</w:t>
      </w:r>
      <w:proofErr w:type="spellEnd"/>
      <w:r w:rsidRPr="0094518D">
        <w:t xml:space="preserve">, Y., Evans, L. and </w:t>
      </w:r>
      <w:proofErr w:type="spellStart"/>
      <w:r w:rsidRPr="0094518D">
        <w:t>Molyneux</w:t>
      </w:r>
      <w:proofErr w:type="spellEnd"/>
      <w:r w:rsidRPr="0094518D">
        <w:t>, P., 2001</w:t>
      </w:r>
      <w:r w:rsidRPr="0094518D">
        <w:rPr>
          <w:lang w:eastAsia="zh-TW"/>
        </w:rPr>
        <w:t>.</w:t>
      </w:r>
      <w:r w:rsidRPr="0094518D">
        <w:t xml:space="preserve"> </w:t>
      </w:r>
      <w:proofErr w:type="gramStart"/>
      <w:r w:rsidRPr="0094518D">
        <w:t>Ownership and efficiency in banking</w:t>
      </w:r>
      <w:r w:rsidRPr="0094518D">
        <w:rPr>
          <w:lang w:eastAsia="zh-TW"/>
        </w:rPr>
        <w:t>.</w:t>
      </w:r>
      <w:proofErr w:type="gramEnd"/>
      <w:r w:rsidRPr="0094518D">
        <w:t xml:space="preserve"> </w:t>
      </w:r>
      <w:proofErr w:type="gramStart"/>
      <w:r w:rsidRPr="0094518D">
        <w:rPr>
          <w:i/>
          <w:iCs/>
        </w:rPr>
        <w:t>Journal of Money, Credit and Banking</w:t>
      </w:r>
      <w:r w:rsidRPr="0094518D">
        <w:t xml:space="preserve"> 33 (4), 926-954.</w:t>
      </w:r>
      <w:proofErr w:type="gramEnd"/>
    </w:p>
    <w:p w:rsidR="008E3515" w:rsidRPr="0094518D" w:rsidRDefault="008E3515" w:rsidP="008E3515">
      <w:pPr>
        <w:pStyle w:val="NoSpacing"/>
        <w:ind w:left="720" w:hanging="720"/>
      </w:pPr>
      <w:proofErr w:type="spellStart"/>
      <w:r w:rsidRPr="0094518D">
        <w:t>Altunbas</w:t>
      </w:r>
      <w:proofErr w:type="spellEnd"/>
      <w:r w:rsidRPr="0094518D">
        <w:t xml:space="preserve">, Y., Liu, M., </w:t>
      </w:r>
      <w:proofErr w:type="spellStart"/>
      <w:r w:rsidRPr="0094518D">
        <w:t>Molyneux</w:t>
      </w:r>
      <w:proofErr w:type="spellEnd"/>
      <w:r w:rsidRPr="0094518D">
        <w:t>, P.</w:t>
      </w:r>
      <w:proofErr w:type="gramStart"/>
      <w:r w:rsidRPr="0094518D">
        <w:t>,  Seth</w:t>
      </w:r>
      <w:proofErr w:type="gramEnd"/>
      <w:r w:rsidRPr="0094518D">
        <w:t xml:space="preserve"> R., 2000</w:t>
      </w:r>
      <w:r w:rsidRPr="0094518D">
        <w:rPr>
          <w:lang w:eastAsia="zh-TW"/>
        </w:rPr>
        <w:t>.</w:t>
      </w:r>
      <w:r w:rsidRPr="0094518D">
        <w:t xml:space="preserve"> Efficiency and risk in Japanese banking. </w:t>
      </w:r>
      <w:r w:rsidRPr="0094518D">
        <w:rPr>
          <w:i/>
        </w:rPr>
        <w:t xml:space="preserve">Journal of </w:t>
      </w:r>
      <w:r w:rsidRPr="0094518D">
        <w:rPr>
          <w:i/>
          <w:iCs/>
        </w:rPr>
        <w:t xml:space="preserve">Banking and Finance </w:t>
      </w:r>
      <w:r w:rsidRPr="0094518D">
        <w:rPr>
          <w:iCs/>
        </w:rPr>
        <w:t>24</w:t>
      </w:r>
      <w:r w:rsidRPr="0094518D">
        <w:t>, 1605-1628.</w:t>
      </w:r>
    </w:p>
    <w:p w:rsidR="008E3515" w:rsidRDefault="008E3515" w:rsidP="008E3515">
      <w:pPr>
        <w:pStyle w:val="NoSpacing"/>
        <w:ind w:left="720" w:hanging="720"/>
      </w:pPr>
      <w:proofErr w:type="spellStart"/>
      <w:proofErr w:type="gramStart"/>
      <w:r w:rsidRPr="0094518D">
        <w:t>Altunbas</w:t>
      </w:r>
      <w:proofErr w:type="spellEnd"/>
      <w:r w:rsidRPr="0094518D">
        <w:t xml:space="preserve">, Y., Gardener, E., </w:t>
      </w:r>
      <w:proofErr w:type="spellStart"/>
      <w:r w:rsidRPr="0094518D">
        <w:t>Molyneux</w:t>
      </w:r>
      <w:proofErr w:type="spellEnd"/>
      <w:r w:rsidRPr="0094518D">
        <w:t>, P., Moore B., 2001</w:t>
      </w:r>
      <w:r w:rsidRPr="0094518D">
        <w:rPr>
          <w:lang w:eastAsia="zh-TW"/>
        </w:rPr>
        <w:t>.</w:t>
      </w:r>
      <w:proofErr w:type="gramEnd"/>
      <w:r w:rsidRPr="0094518D">
        <w:t xml:space="preserve"> </w:t>
      </w:r>
      <w:proofErr w:type="gramStart"/>
      <w:r w:rsidRPr="0094518D">
        <w:t>Efficiency in European banking.</w:t>
      </w:r>
      <w:proofErr w:type="gramEnd"/>
      <w:r w:rsidRPr="0094518D">
        <w:t xml:space="preserve"> </w:t>
      </w:r>
      <w:r w:rsidRPr="0094518D">
        <w:rPr>
          <w:i/>
        </w:rPr>
        <w:t>European Economic Review</w:t>
      </w:r>
      <w:r w:rsidRPr="0094518D">
        <w:t xml:space="preserve"> 45, 1931-1955.</w:t>
      </w:r>
    </w:p>
    <w:p w:rsidR="008E3515" w:rsidRPr="0094518D" w:rsidRDefault="008E3515" w:rsidP="008E3515">
      <w:pPr>
        <w:pStyle w:val="NoSpacing"/>
        <w:ind w:left="720" w:hanging="720"/>
      </w:pPr>
      <w:proofErr w:type="spellStart"/>
      <w:r>
        <w:t>Ariss</w:t>
      </w:r>
      <w:proofErr w:type="spellEnd"/>
      <w:r>
        <w:t xml:space="preserve">, T., </w:t>
      </w:r>
      <w:proofErr w:type="spellStart"/>
      <w:r>
        <w:t>Rezvanian</w:t>
      </w:r>
      <w:proofErr w:type="spellEnd"/>
      <w:r>
        <w:t xml:space="preserve">, R., and </w:t>
      </w:r>
      <w:proofErr w:type="spellStart"/>
      <w:r>
        <w:t>Mehdian</w:t>
      </w:r>
      <w:proofErr w:type="spellEnd"/>
      <w:r>
        <w:t xml:space="preserve">, S., 2007. Cost efficiency, technological progress and productivity growth of banks in GCC countries. </w:t>
      </w:r>
      <w:r w:rsidRPr="00F40C2D">
        <w:rPr>
          <w:i/>
        </w:rPr>
        <w:t>International Journal of Business</w:t>
      </w:r>
      <w:r>
        <w:t xml:space="preserve"> 12 (4), 1083-4346.</w:t>
      </w:r>
    </w:p>
    <w:p w:rsidR="008E3515" w:rsidRPr="0094518D" w:rsidRDefault="008E3515" w:rsidP="008E3515">
      <w:pPr>
        <w:pStyle w:val="NoSpacing"/>
        <w:ind w:left="720" w:hanging="720"/>
        <w:rPr>
          <w:i/>
          <w:lang w:eastAsia="zh-TW"/>
        </w:rPr>
      </w:pPr>
      <w:proofErr w:type="spellStart"/>
      <w:r w:rsidRPr="0094518D">
        <w:t>Baltagi</w:t>
      </w:r>
      <w:proofErr w:type="spellEnd"/>
      <w:r w:rsidRPr="0094518D">
        <w:t xml:space="preserve">, B. H., Griffin, J.M., 1988. </w:t>
      </w:r>
      <w:proofErr w:type="gramStart"/>
      <w:r w:rsidRPr="0094518D">
        <w:t>A general index of technical change.</w:t>
      </w:r>
      <w:proofErr w:type="gramEnd"/>
      <w:r w:rsidRPr="0094518D">
        <w:t xml:space="preserve"> </w:t>
      </w:r>
      <w:r w:rsidRPr="0094518D">
        <w:rPr>
          <w:i/>
        </w:rPr>
        <w:t>Journal of Political Economy 96, 20-41.</w:t>
      </w:r>
    </w:p>
    <w:p w:rsidR="008E3515" w:rsidRPr="0094518D" w:rsidRDefault="008E3515" w:rsidP="008E3515">
      <w:pPr>
        <w:pStyle w:val="NoSpacing"/>
        <w:ind w:left="720" w:hanging="720"/>
      </w:pPr>
      <w:proofErr w:type="spellStart"/>
      <w:r w:rsidRPr="0094518D">
        <w:t>Battese</w:t>
      </w:r>
      <w:proofErr w:type="spellEnd"/>
      <w:r w:rsidRPr="0094518D">
        <w:t>, G. E.</w:t>
      </w:r>
      <w:proofErr w:type="gramStart"/>
      <w:r w:rsidRPr="0094518D">
        <w:rPr>
          <w:lang w:eastAsia="zh-TW"/>
        </w:rPr>
        <w:t xml:space="preserve">, </w:t>
      </w:r>
      <w:r w:rsidRPr="0094518D">
        <w:t xml:space="preserve"> </w:t>
      </w:r>
      <w:proofErr w:type="spellStart"/>
      <w:r w:rsidRPr="0094518D">
        <w:t>Coelli</w:t>
      </w:r>
      <w:r w:rsidRPr="0094518D">
        <w:rPr>
          <w:lang w:eastAsia="zh-TW"/>
        </w:rPr>
        <w:t>,</w:t>
      </w:r>
      <w:r w:rsidRPr="0094518D">
        <w:t>T</w:t>
      </w:r>
      <w:proofErr w:type="spellEnd"/>
      <w:proofErr w:type="gramEnd"/>
      <w:r w:rsidRPr="0094518D">
        <w:t>. J.</w:t>
      </w:r>
      <w:r w:rsidRPr="0094518D">
        <w:rPr>
          <w:lang w:eastAsia="zh-TW"/>
        </w:rPr>
        <w:t>,</w:t>
      </w:r>
      <w:r w:rsidRPr="0094518D">
        <w:t xml:space="preserve"> 1995. A model for technical inefficiency effects in a stochastic frontier production function for panel data. </w:t>
      </w:r>
      <w:r w:rsidRPr="0094518D">
        <w:rPr>
          <w:i/>
          <w:iCs/>
        </w:rPr>
        <w:t>Empirical Economics</w:t>
      </w:r>
      <w:r w:rsidRPr="0094518D">
        <w:t xml:space="preserve"> 20, 325-332.</w:t>
      </w:r>
    </w:p>
    <w:p w:rsidR="008E3515" w:rsidRPr="0094518D" w:rsidRDefault="008E3515" w:rsidP="008E3515">
      <w:pPr>
        <w:pStyle w:val="NoSpacing"/>
        <w:ind w:left="720" w:hanging="720"/>
      </w:pPr>
      <w:r w:rsidRPr="0094518D">
        <w:t>Bauer, P. W., 1990</w:t>
      </w:r>
      <w:r w:rsidRPr="0094518D">
        <w:rPr>
          <w:lang w:eastAsia="zh-TW"/>
        </w:rPr>
        <w:t>.</w:t>
      </w:r>
      <w:r w:rsidRPr="0094518D">
        <w:t xml:space="preserve"> </w:t>
      </w:r>
      <w:proofErr w:type="gramStart"/>
      <w:r w:rsidRPr="0094518D">
        <w:t>Recent developments in the econometric estimation of frontiers.</w:t>
      </w:r>
      <w:proofErr w:type="gramEnd"/>
      <w:r w:rsidRPr="0094518D">
        <w:t xml:space="preserve"> </w:t>
      </w:r>
      <w:r w:rsidRPr="0094518D">
        <w:rPr>
          <w:i/>
        </w:rPr>
        <w:t>Journal of Econometrics</w:t>
      </w:r>
      <w:r w:rsidRPr="0094518D">
        <w:t xml:space="preserve"> 46, 39-56.</w:t>
      </w:r>
    </w:p>
    <w:p w:rsidR="008E3515" w:rsidRPr="0094518D" w:rsidRDefault="008E3515" w:rsidP="008E3515">
      <w:pPr>
        <w:pStyle w:val="NoSpacing"/>
        <w:ind w:left="720" w:hanging="720"/>
      </w:pPr>
      <w:r w:rsidRPr="0094518D">
        <w:t xml:space="preserve">Bauer, P.W., </w:t>
      </w:r>
      <w:proofErr w:type="spellStart"/>
      <w:r w:rsidRPr="0094518D">
        <w:t>Beger</w:t>
      </w:r>
      <w:proofErr w:type="spellEnd"/>
      <w:r w:rsidRPr="0094518D">
        <w:t>, A. N., Ferrier, G. D., Humphrey</w:t>
      </w:r>
      <w:r w:rsidRPr="0094518D">
        <w:rPr>
          <w:lang w:eastAsia="zh-TW"/>
        </w:rPr>
        <w:t>,</w:t>
      </w:r>
      <w:r>
        <w:rPr>
          <w:lang w:eastAsia="zh-TW"/>
        </w:rPr>
        <w:t xml:space="preserve"> </w:t>
      </w:r>
      <w:r w:rsidRPr="0094518D">
        <w:t>D. B.</w:t>
      </w:r>
      <w:proofErr w:type="gramStart"/>
      <w:r w:rsidRPr="0094518D">
        <w:t>,  1998</w:t>
      </w:r>
      <w:proofErr w:type="gramEnd"/>
      <w:r w:rsidRPr="0094518D">
        <w:t xml:space="preserve">. Consistency conditions for regulatory analysis of financial institutions: A </w:t>
      </w:r>
      <w:proofErr w:type="spellStart"/>
      <w:r w:rsidRPr="0094518D">
        <w:t>comparision</w:t>
      </w:r>
      <w:proofErr w:type="spellEnd"/>
      <w:r w:rsidRPr="0094518D">
        <w:t xml:space="preserve"> of frontier efficiency methods. </w:t>
      </w:r>
      <w:r w:rsidRPr="0094518D">
        <w:rPr>
          <w:i/>
        </w:rPr>
        <w:t xml:space="preserve">Journal of Economics and Business </w:t>
      </w:r>
      <w:r w:rsidRPr="0094518D">
        <w:t>50, 85-114.</w:t>
      </w:r>
    </w:p>
    <w:p w:rsidR="008E3515" w:rsidRPr="0094518D" w:rsidRDefault="008E3515" w:rsidP="008E3515">
      <w:pPr>
        <w:pStyle w:val="NoSpacing"/>
        <w:ind w:left="720" w:hanging="720"/>
      </w:pPr>
      <w:r w:rsidRPr="0094518D">
        <w:t>Berger, A. N.</w:t>
      </w:r>
      <w:r w:rsidRPr="0094518D">
        <w:rPr>
          <w:lang w:eastAsia="zh-TW"/>
        </w:rPr>
        <w:t>,</w:t>
      </w:r>
      <w:r w:rsidRPr="0094518D">
        <w:t xml:space="preserve"> Humphrey</w:t>
      </w:r>
      <w:r w:rsidRPr="0094518D">
        <w:rPr>
          <w:lang w:eastAsia="zh-TW"/>
        </w:rPr>
        <w:t>,</w:t>
      </w:r>
      <w:r w:rsidRPr="0094518D">
        <w:t xml:space="preserve"> D.B., </w:t>
      </w:r>
      <w:r w:rsidRPr="0094518D">
        <w:rPr>
          <w:lang w:eastAsia="zh-TW"/>
        </w:rPr>
        <w:t>1</w:t>
      </w:r>
      <w:r w:rsidRPr="0094518D">
        <w:t>991</w:t>
      </w:r>
      <w:r w:rsidRPr="0094518D">
        <w:rPr>
          <w:lang w:eastAsia="zh-TW"/>
        </w:rPr>
        <w:t>.</w:t>
      </w:r>
      <w:r w:rsidRPr="0094518D">
        <w:t xml:space="preserve"> </w:t>
      </w:r>
      <w:proofErr w:type="gramStart"/>
      <w:r w:rsidRPr="0094518D">
        <w:t xml:space="preserve">The </w:t>
      </w:r>
      <w:r w:rsidRPr="0094518D">
        <w:rPr>
          <w:lang w:eastAsia="zh-TW"/>
        </w:rPr>
        <w:t>d</w:t>
      </w:r>
      <w:r w:rsidRPr="0094518D">
        <w:t xml:space="preserve">ominance of </w:t>
      </w:r>
      <w:r w:rsidRPr="0094518D">
        <w:rPr>
          <w:lang w:eastAsia="zh-TW"/>
        </w:rPr>
        <w:t>i</w:t>
      </w:r>
      <w:r w:rsidRPr="0094518D">
        <w:t xml:space="preserve">nefficiencies </w:t>
      </w:r>
      <w:r w:rsidRPr="0094518D">
        <w:rPr>
          <w:lang w:eastAsia="zh-TW"/>
        </w:rPr>
        <w:t>o</w:t>
      </w:r>
      <w:r w:rsidRPr="0094518D">
        <w:t xml:space="preserve">ver </w:t>
      </w:r>
      <w:r w:rsidRPr="0094518D">
        <w:rPr>
          <w:lang w:eastAsia="zh-TW"/>
        </w:rPr>
        <w:t>s</w:t>
      </w:r>
      <w:r w:rsidRPr="0094518D">
        <w:t xml:space="preserve">cale and </w:t>
      </w:r>
      <w:r w:rsidRPr="0094518D">
        <w:rPr>
          <w:lang w:eastAsia="zh-TW"/>
        </w:rPr>
        <w:t>p</w:t>
      </w:r>
      <w:r w:rsidRPr="0094518D">
        <w:t xml:space="preserve">roduct </w:t>
      </w:r>
      <w:r w:rsidRPr="0094518D">
        <w:rPr>
          <w:lang w:eastAsia="zh-TW"/>
        </w:rPr>
        <w:t>m</w:t>
      </w:r>
      <w:r w:rsidRPr="0094518D">
        <w:t xml:space="preserve">ix </w:t>
      </w:r>
      <w:r w:rsidRPr="0094518D">
        <w:rPr>
          <w:lang w:eastAsia="zh-TW"/>
        </w:rPr>
        <w:t>e</w:t>
      </w:r>
      <w:r w:rsidRPr="0094518D">
        <w:t xml:space="preserve">conomies in </w:t>
      </w:r>
      <w:r w:rsidRPr="0094518D">
        <w:rPr>
          <w:lang w:eastAsia="zh-TW"/>
        </w:rPr>
        <w:t>b</w:t>
      </w:r>
      <w:r w:rsidRPr="0094518D">
        <w:t>anking</w:t>
      </w:r>
      <w:r w:rsidRPr="0094518D">
        <w:rPr>
          <w:lang w:eastAsia="zh-TW"/>
        </w:rPr>
        <w:t>.</w:t>
      </w:r>
      <w:proofErr w:type="gramEnd"/>
      <w:r w:rsidRPr="0094518D">
        <w:t xml:space="preserve"> </w:t>
      </w:r>
      <w:r w:rsidRPr="0094518D">
        <w:rPr>
          <w:i/>
          <w:iCs/>
        </w:rPr>
        <w:t>Journal of Monetary Economics</w:t>
      </w:r>
      <w:r w:rsidRPr="0094518D">
        <w:t xml:space="preserve"> 28, 117-148.</w:t>
      </w:r>
    </w:p>
    <w:p w:rsidR="008E3515" w:rsidRPr="0094518D" w:rsidRDefault="008E3515" w:rsidP="008E3515">
      <w:pPr>
        <w:pStyle w:val="NoSpacing"/>
        <w:ind w:left="720" w:hanging="720"/>
        <w:rPr>
          <w:lang w:eastAsia="zh-TW"/>
        </w:rPr>
      </w:pPr>
      <w:r w:rsidRPr="0094518D">
        <w:t xml:space="preserve">Berger, A. N., </w:t>
      </w:r>
      <w:proofErr w:type="spellStart"/>
      <w:r w:rsidRPr="0094518D">
        <w:t>Strahan</w:t>
      </w:r>
      <w:proofErr w:type="spellEnd"/>
      <w:r w:rsidRPr="0094518D">
        <w:rPr>
          <w:lang w:eastAsia="zh-TW"/>
        </w:rPr>
        <w:t xml:space="preserve">, P.E., </w:t>
      </w:r>
      <w:r w:rsidRPr="0094518D">
        <w:t xml:space="preserve">1998. The consolidation of the financial services industry: causes, consequences, and the implications for the future. Working </w:t>
      </w:r>
      <w:proofErr w:type="spellStart"/>
      <w:r w:rsidRPr="0094518D">
        <w:t>paper</w:t>
      </w:r>
      <w:proofErr w:type="gramStart"/>
      <w:r w:rsidRPr="0094518D">
        <w:t>,Federal</w:t>
      </w:r>
      <w:proofErr w:type="spellEnd"/>
      <w:proofErr w:type="gramEnd"/>
      <w:r w:rsidRPr="0094518D">
        <w:t xml:space="preserve"> Reserve Bank of New York.</w:t>
      </w:r>
    </w:p>
    <w:p w:rsidR="008E3515" w:rsidRPr="0094518D" w:rsidRDefault="008E3515" w:rsidP="008E3515">
      <w:pPr>
        <w:pStyle w:val="NoSpacing"/>
        <w:ind w:left="720" w:hanging="720"/>
      </w:pPr>
      <w:proofErr w:type="gramStart"/>
      <w:r w:rsidRPr="0094518D">
        <w:t xml:space="preserve">Berger, A. N., </w:t>
      </w:r>
      <w:proofErr w:type="spellStart"/>
      <w:r w:rsidRPr="0094518D">
        <w:t>Hasan</w:t>
      </w:r>
      <w:proofErr w:type="spellEnd"/>
      <w:r w:rsidRPr="0094518D">
        <w:t>, I., Zhou, M., 2010</w:t>
      </w:r>
      <w:r w:rsidRPr="0094518D">
        <w:rPr>
          <w:lang w:eastAsia="zh-TW"/>
        </w:rPr>
        <w:t>.</w:t>
      </w:r>
      <w:proofErr w:type="gramEnd"/>
      <w:r w:rsidRPr="0094518D">
        <w:t xml:space="preserve"> Bank </w:t>
      </w:r>
      <w:r w:rsidRPr="0094518D">
        <w:rPr>
          <w:lang w:eastAsia="zh-TW"/>
        </w:rPr>
        <w:t>o</w:t>
      </w:r>
      <w:r w:rsidRPr="0094518D">
        <w:t xml:space="preserve">wnership and </w:t>
      </w:r>
      <w:r w:rsidRPr="0094518D">
        <w:rPr>
          <w:lang w:eastAsia="zh-TW"/>
        </w:rPr>
        <w:t>e</w:t>
      </w:r>
      <w:r w:rsidRPr="0094518D">
        <w:t xml:space="preserve">fficiency in China: what </w:t>
      </w:r>
      <w:r w:rsidRPr="0094518D">
        <w:rPr>
          <w:lang w:eastAsia="zh-TW"/>
        </w:rPr>
        <w:t>w</w:t>
      </w:r>
      <w:r w:rsidRPr="0094518D">
        <w:t xml:space="preserve">ill </w:t>
      </w:r>
      <w:r w:rsidRPr="0094518D">
        <w:rPr>
          <w:lang w:eastAsia="zh-TW"/>
        </w:rPr>
        <w:t>h</w:t>
      </w:r>
      <w:r w:rsidRPr="0094518D">
        <w:t xml:space="preserve">appen in the world's </w:t>
      </w:r>
      <w:r w:rsidRPr="0094518D">
        <w:rPr>
          <w:lang w:eastAsia="zh-TW"/>
        </w:rPr>
        <w:t>l</w:t>
      </w:r>
      <w:r w:rsidRPr="0094518D">
        <w:t xml:space="preserve">argest </w:t>
      </w:r>
      <w:r w:rsidRPr="0094518D">
        <w:rPr>
          <w:lang w:eastAsia="zh-TW"/>
        </w:rPr>
        <w:t>n</w:t>
      </w:r>
      <w:r w:rsidRPr="0094518D">
        <w:t xml:space="preserve">ation? </w:t>
      </w:r>
      <w:r w:rsidRPr="0094518D">
        <w:rPr>
          <w:i/>
          <w:iCs/>
        </w:rPr>
        <w:t xml:space="preserve">Journal of Banking and Finance </w:t>
      </w:r>
      <w:r w:rsidRPr="0094518D">
        <w:rPr>
          <w:iCs/>
        </w:rPr>
        <w:t>33 (1)</w:t>
      </w:r>
      <w:r w:rsidRPr="0094518D">
        <w:t>, 113-130.</w:t>
      </w:r>
    </w:p>
    <w:p w:rsidR="008E3515" w:rsidRPr="0094518D" w:rsidRDefault="008E3515" w:rsidP="008E3515">
      <w:pPr>
        <w:pStyle w:val="NoSpacing"/>
        <w:ind w:left="720" w:hanging="720"/>
      </w:pPr>
      <w:r w:rsidRPr="0094518D">
        <w:lastRenderedPageBreak/>
        <w:t xml:space="preserve">Berger, A. N., </w:t>
      </w:r>
      <w:proofErr w:type="spellStart"/>
      <w:r w:rsidRPr="0094518D">
        <w:t>DeYoung</w:t>
      </w:r>
      <w:proofErr w:type="spellEnd"/>
      <w:r w:rsidRPr="0094518D">
        <w:t>,</w:t>
      </w:r>
      <w:r w:rsidRPr="0094518D">
        <w:rPr>
          <w:lang w:eastAsia="zh-TW"/>
        </w:rPr>
        <w:t xml:space="preserve"> R.,</w:t>
      </w:r>
      <w:r w:rsidRPr="0094518D">
        <w:t xml:space="preserve"> </w:t>
      </w:r>
      <w:proofErr w:type="spellStart"/>
      <w:r w:rsidRPr="0094518D">
        <w:t>Genay</w:t>
      </w:r>
      <w:proofErr w:type="spellEnd"/>
      <w:r w:rsidRPr="0094518D">
        <w:t xml:space="preserve">, </w:t>
      </w:r>
      <w:r w:rsidRPr="0094518D">
        <w:rPr>
          <w:lang w:eastAsia="zh-TW"/>
        </w:rPr>
        <w:t xml:space="preserve">H., </w:t>
      </w:r>
      <w:proofErr w:type="spellStart"/>
      <w:r w:rsidRPr="0094518D">
        <w:t>Udell</w:t>
      </w:r>
      <w:proofErr w:type="spellEnd"/>
      <w:r w:rsidRPr="0094518D">
        <w:rPr>
          <w:lang w:eastAsia="zh-TW"/>
        </w:rPr>
        <w:t>, G.F.,</w:t>
      </w:r>
      <w:r w:rsidRPr="0094518D">
        <w:t xml:space="preserve"> 2000</w:t>
      </w:r>
      <w:r w:rsidRPr="0094518D">
        <w:rPr>
          <w:lang w:eastAsia="zh-TW"/>
        </w:rPr>
        <w:t>.</w:t>
      </w:r>
      <w:r w:rsidRPr="0094518D">
        <w:t xml:space="preserve"> Globalization of </w:t>
      </w:r>
      <w:r w:rsidRPr="0094518D">
        <w:rPr>
          <w:lang w:eastAsia="zh-TW"/>
        </w:rPr>
        <w:t>f</w:t>
      </w:r>
      <w:r w:rsidRPr="0094518D">
        <w:t xml:space="preserve">inancial </w:t>
      </w:r>
      <w:r w:rsidRPr="0094518D">
        <w:rPr>
          <w:lang w:eastAsia="zh-TW"/>
        </w:rPr>
        <w:t>i</w:t>
      </w:r>
      <w:r w:rsidRPr="0094518D">
        <w:t xml:space="preserve">nstitutions: </w:t>
      </w:r>
      <w:r w:rsidRPr="0094518D">
        <w:rPr>
          <w:lang w:eastAsia="zh-TW"/>
        </w:rPr>
        <w:t>e</w:t>
      </w:r>
      <w:r w:rsidRPr="0094518D">
        <w:t xml:space="preserve">vidence from </w:t>
      </w:r>
      <w:r w:rsidRPr="0094518D">
        <w:rPr>
          <w:lang w:eastAsia="zh-TW"/>
        </w:rPr>
        <w:t>c</w:t>
      </w:r>
      <w:r w:rsidRPr="0094518D">
        <w:t>ross-</w:t>
      </w:r>
      <w:r w:rsidRPr="0094518D">
        <w:rPr>
          <w:lang w:eastAsia="zh-TW"/>
        </w:rPr>
        <w:t>b</w:t>
      </w:r>
      <w:r w:rsidRPr="0094518D">
        <w:t xml:space="preserve">order </w:t>
      </w:r>
      <w:r w:rsidRPr="0094518D">
        <w:rPr>
          <w:lang w:eastAsia="zh-TW"/>
        </w:rPr>
        <w:t>b</w:t>
      </w:r>
      <w:r w:rsidRPr="0094518D">
        <w:t xml:space="preserve">anking </w:t>
      </w:r>
      <w:r w:rsidRPr="0094518D">
        <w:rPr>
          <w:lang w:eastAsia="zh-TW"/>
        </w:rPr>
        <w:t>p</w:t>
      </w:r>
      <w:r w:rsidRPr="0094518D">
        <w:t>erformance.</w:t>
      </w:r>
      <w:r w:rsidRPr="0094518D">
        <w:rPr>
          <w:lang w:eastAsia="zh-TW"/>
        </w:rPr>
        <w:t xml:space="preserve"> </w:t>
      </w:r>
      <w:r w:rsidRPr="0094518D">
        <w:t xml:space="preserve">R. E. </w:t>
      </w:r>
      <w:proofErr w:type="spellStart"/>
      <w:r w:rsidRPr="0094518D">
        <w:t>Litan</w:t>
      </w:r>
      <w:proofErr w:type="spellEnd"/>
      <w:r w:rsidRPr="0094518D">
        <w:t xml:space="preserve"> and A. </w:t>
      </w:r>
      <w:proofErr w:type="spellStart"/>
      <w:r w:rsidRPr="0094518D">
        <w:t>Santomero</w:t>
      </w:r>
      <w:proofErr w:type="spellEnd"/>
      <w:r w:rsidRPr="0094518D">
        <w:t xml:space="preserve"> (eds.), </w:t>
      </w:r>
      <w:r w:rsidRPr="0094518D">
        <w:rPr>
          <w:i/>
        </w:rPr>
        <w:t xml:space="preserve">Brookings-Wharton Papers on Financial Services </w:t>
      </w:r>
      <w:r w:rsidRPr="0094518D">
        <w:rPr>
          <w:iCs/>
        </w:rPr>
        <w:t>3.</w:t>
      </w:r>
      <w:r w:rsidRPr="0094518D">
        <w:t xml:space="preserve"> Philadelphia, PA: The Wharton School, 23-158.</w:t>
      </w:r>
    </w:p>
    <w:p w:rsidR="008E3515" w:rsidRPr="0094518D" w:rsidRDefault="008E3515" w:rsidP="008E3515">
      <w:pPr>
        <w:pStyle w:val="NoSpacing"/>
        <w:ind w:left="720" w:hanging="720"/>
      </w:pPr>
      <w:r w:rsidRPr="0094518D">
        <w:t>Berger, A. N., Hunter,</w:t>
      </w:r>
      <w:r w:rsidRPr="0094518D">
        <w:rPr>
          <w:lang w:eastAsia="zh-TW"/>
        </w:rPr>
        <w:t xml:space="preserve"> W.C.</w:t>
      </w:r>
      <w:r w:rsidRPr="0094518D">
        <w:t xml:space="preserve">, </w:t>
      </w:r>
      <w:proofErr w:type="spellStart"/>
      <w:r w:rsidRPr="0094518D">
        <w:t>Timme</w:t>
      </w:r>
      <w:proofErr w:type="spellEnd"/>
      <w:r w:rsidRPr="0094518D">
        <w:rPr>
          <w:lang w:eastAsia="zh-TW"/>
        </w:rPr>
        <w:t>, S.G.,</w:t>
      </w:r>
      <w:r w:rsidRPr="0094518D">
        <w:t xml:space="preserve"> 1993</w:t>
      </w:r>
      <w:r w:rsidRPr="0094518D">
        <w:rPr>
          <w:lang w:eastAsia="zh-TW"/>
        </w:rPr>
        <w:t>.</w:t>
      </w:r>
      <w:r w:rsidRPr="0094518D">
        <w:t xml:space="preserve"> The </w:t>
      </w:r>
      <w:r w:rsidRPr="0094518D">
        <w:rPr>
          <w:lang w:eastAsia="zh-TW"/>
        </w:rPr>
        <w:t>e</w:t>
      </w:r>
      <w:r w:rsidRPr="0094518D">
        <w:t xml:space="preserve">fficiency of </w:t>
      </w:r>
      <w:r w:rsidRPr="0094518D">
        <w:rPr>
          <w:lang w:eastAsia="zh-TW"/>
        </w:rPr>
        <w:t>f</w:t>
      </w:r>
      <w:r w:rsidRPr="0094518D">
        <w:t xml:space="preserve">inancial </w:t>
      </w:r>
      <w:r w:rsidRPr="0094518D">
        <w:rPr>
          <w:lang w:eastAsia="zh-TW"/>
        </w:rPr>
        <w:t>i</w:t>
      </w:r>
      <w:r w:rsidRPr="0094518D">
        <w:t xml:space="preserve">nstitutions: a </w:t>
      </w:r>
      <w:r w:rsidRPr="0094518D">
        <w:rPr>
          <w:lang w:eastAsia="zh-TW"/>
        </w:rPr>
        <w:t>r</w:t>
      </w:r>
      <w:r w:rsidRPr="0094518D">
        <w:t xml:space="preserve">eview and </w:t>
      </w:r>
      <w:r w:rsidRPr="0094518D">
        <w:rPr>
          <w:lang w:eastAsia="zh-TW"/>
        </w:rPr>
        <w:t>p</w:t>
      </w:r>
      <w:r w:rsidRPr="0094518D">
        <w:t xml:space="preserve">review of </w:t>
      </w:r>
      <w:r w:rsidRPr="0094518D">
        <w:rPr>
          <w:lang w:eastAsia="zh-TW"/>
        </w:rPr>
        <w:t>r</w:t>
      </w:r>
      <w:r w:rsidRPr="0094518D">
        <w:t xml:space="preserve">esearch: Past, </w:t>
      </w:r>
      <w:r w:rsidRPr="0094518D">
        <w:rPr>
          <w:lang w:eastAsia="zh-TW"/>
        </w:rPr>
        <w:t>p</w:t>
      </w:r>
      <w:r w:rsidRPr="0094518D">
        <w:t xml:space="preserve">resent, and </w:t>
      </w:r>
      <w:r w:rsidRPr="0094518D">
        <w:rPr>
          <w:lang w:eastAsia="zh-TW"/>
        </w:rPr>
        <w:t>f</w:t>
      </w:r>
      <w:r w:rsidRPr="0094518D">
        <w:t>uture</w:t>
      </w:r>
      <w:r w:rsidRPr="0094518D">
        <w:rPr>
          <w:lang w:eastAsia="zh-TW"/>
        </w:rPr>
        <w:t xml:space="preserve">. </w:t>
      </w:r>
      <w:r w:rsidRPr="0094518D">
        <w:t xml:space="preserve"> </w:t>
      </w:r>
      <w:r w:rsidRPr="0094518D">
        <w:rPr>
          <w:i/>
          <w:iCs/>
        </w:rPr>
        <w:t>Journal of Banking and Finance</w:t>
      </w:r>
      <w:r w:rsidRPr="0094518D">
        <w:t xml:space="preserve"> 17, 221-249.</w:t>
      </w:r>
    </w:p>
    <w:p w:rsidR="008E3515" w:rsidRPr="0094518D" w:rsidRDefault="008E3515" w:rsidP="008E3515">
      <w:pPr>
        <w:pStyle w:val="NoSpacing"/>
        <w:ind w:left="720" w:hanging="720"/>
      </w:pPr>
      <w:r w:rsidRPr="0094518D">
        <w:t>Berger, A.N.</w:t>
      </w:r>
      <w:r w:rsidRPr="0094518D">
        <w:rPr>
          <w:lang w:eastAsia="zh-TW"/>
        </w:rPr>
        <w:t>,</w:t>
      </w:r>
      <w:r w:rsidRPr="0094518D">
        <w:t xml:space="preserve"> 1993. </w:t>
      </w:r>
      <w:proofErr w:type="gramStart"/>
      <w:r w:rsidRPr="0094518D">
        <w:t>Distribution-</w:t>
      </w:r>
      <w:r w:rsidRPr="0094518D">
        <w:rPr>
          <w:lang w:eastAsia="zh-TW"/>
        </w:rPr>
        <w:t>f</w:t>
      </w:r>
      <w:r w:rsidRPr="0094518D">
        <w:t xml:space="preserve">ree </w:t>
      </w:r>
      <w:r w:rsidRPr="0094518D">
        <w:rPr>
          <w:lang w:eastAsia="zh-TW"/>
        </w:rPr>
        <w:t>e</w:t>
      </w:r>
      <w:r w:rsidRPr="0094518D">
        <w:t xml:space="preserve">stimates of </w:t>
      </w:r>
      <w:r w:rsidRPr="0094518D">
        <w:rPr>
          <w:lang w:eastAsia="zh-TW"/>
        </w:rPr>
        <w:t>e</w:t>
      </w:r>
      <w:r w:rsidRPr="0094518D">
        <w:t xml:space="preserve">fficiency in the U.S. </w:t>
      </w:r>
      <w:r w:rsidRPr="0094518D">
        <w:rPr>
          <w:lang w:eastAsia="zh-TW"/>
        </w:rPr>
        <w:t>b</w:t>
      </w:r>
      <w:r w:rsidRPr="0094518D">
        <w:t xml:space="preserve">anking </w:t>
      </w:r>
      <w:r w:rsidRPr="0094518D">
        <w:rPr>
          <w:lang w:eastAsia="zh-TW"/>
        </w:rPr>
        <w:t>i</w:t>
      </w:r>
      <w:r w:rsidRPr="0094518D">
        <w:t xml:space="preserve">ndustry and </w:t>
      </w:r>
      <w:r w:rsidRPr="0094518D">
        <w:rPr>
          <w:lang w:eastAsia="zh-TW"/>
        </w:rPr>
        <w:t>t</w:t>
      </w:r>
      <w:r w:rsidRPr="0094518D">
        <w:t xml:space="preserve">ests of the </w:t>
      </w:r>
      <w:r w:rsidRPr="0094518D">
        <w:rPr>
          <w:lang w:eastAsia="zh-TW"/>
        </w:rPr>
        <w:t>s</w:t>
      </w:r>
      <w:r w:rsidRPr="0094518D">
        <w:t xml:space="preserve">tandard </w:t>
      </w:r>
      <w:r w:rsidRPr="0094518D">
        <w:rPr>
          <w:lang w:eastAsia="zh-TW"/>
        </w:rPr>
        <w:t>d</w:t>
      </w:r>
      <w:r w:rsidRPr="0094518D">
        <w:t xml:space="preserve">istributional </w:t>
      </w:r>
      <w:r w:rsidRPr="0094518D">
        <w:rPr>
          <w:lang w:eastAsia="zh-TW"/>
        </w:rPr>
        <w:t>a</w:t>
      </w:r>
      <w:r w:rsidRPr="0094518D">
        <w:t>ssumptions.</w:t>
      </w:r>
      <w:proofErr w:type="gramEnd"/>
      <w:r w:rsidRPr="0094518D">
        <w:t xml:space="preserve"> </w:t>
      </w:r>
      <w:r w:rsidRPr="0094518D">
        <w:rPr>
          <w:i/>
          <w:iCs/>
        </w:rPr>
        <w:t xml:space="preserve">Journal of Productivity Analysis </w:t>
      </w:r>
      <w:r w:rsidRPr="0094518D">
        <w:t>4(3), 261-292.</w:t>
      </w:r>
    </w:p>
    <w:p w:rsidR="008E3515" w:rsidRPr="0094518D" w:rsidRDefault="008E3515" w:rsidP="008E3515">
      <w:pPr>
        <w:pStyle w:val="NoSpacing"/>
        <w:ind w:left="720" w:hanging="720"/>
        <w:rPr>
          <w:lang w:eastAsia="zh-TW"/>
        </w:rPr>
      </w:pPr>
      <w:r w:rsidRPr="0094518D">
        <w:t>Berger, A.N. Humphrey</w:t>
      </w:r>
      <w:r w:rsidRPr="0094518D">
        <w:rPr>
          <w:lang w:eastAsia="zh-TW"/>
        </w:rPr>
        <w:t>, D.B.,</w:t>
      </w:r>
      <w:r w:rsidRPr="0094518D">
        <w:t xml:space="preserve"> 1997</w:t>
      </w:r>
      <w:r w:rsidRPr="0094518D">
        <w:rPr>
          <w:lang w:eastAsia="zh-TW"/>
        </w:rPr>
        <w:t>.</w:t>
      </w:r>
      <w:r w:rsidRPr="0094518D">
        <w:t xml:space="preserve"> Efficiency of </w:t>
      </w:r>
      <w:r w:rsidRPr="0094518D">
        <w:rPr>
          <w:lang w:eastAsia="zh-TW"/>
        </w:rPr>
        <w:t>f</w:t>
      </w:r>
      <w:r w:rsidRPr="0094518D">
        <w:t xml:space="preserve">inancial </w:t>
      </w:r>
      <w:r w:rsidRPr="0094518D">
        <w:rPr>
          <w:lang w:eastAsia="zh-TW"/>
        </w:rPr>
        <w:t>i</w:t>
      </w:r>
      <w:r w:rsidRPr="0094518D">
        <w:t xml:space="preserve">nstitutions: international </w:t>
      </w:r>
      <w:r w:rsidRPr="0094518D">
        <w:rPr>
          <w:lang w:eastAsia="zh-TW"/>
        </w:rPr>
        <w:t>s</w:t>
      </w:r>
      <w:r w:rsidRPr="0094518D">
        <w:t xml:space="preserve">urvey and </w:t>
      </w:r>
      <w:r w:rsidRPr="0094518D">
        <w:rPr>
          <w:lang w:eastAsia="zh-TW"/>
        </w:rPr>
        <w:t>d</w:t>
      </w:r>
      <w:r w:rsidRPr="0094518D">
        <w:t xml:space="preserve">irections for </w:t>
      </w:r>
      <w:r w:rsidRPr="0094518D">
        <w:rPr>
          <w:lang w:eastAsia="zh-TW"/>
        </w:rPr>
        <w:t>f</w:t>
      </w:r>
      <w:r w:rsidRPr="0094518D">
        <w:t xml:space="preserve">uture </w:t>
      </w:r>
      <w:r w:rsidRPr="0094518D">
        <w:rPr>
          <w:lang w:eastAsia="zh-TW"/>
        </w:rPr>
        <w:t>r</w:t>
      </w:r>
      <w:r w:rsidRPr="0094518D">
        <w:t xml:space="preserve">esearch. </w:t>
      </w:r>
      <w:r w:rsidRPr="0094518D">
        <w:rPr>
          <w:i/>
          <w:iCs/>
        </w:rPr>
        <w:t xml:space="preserve">European Journal of Operational Research </w:t>
      </w:r>
      <w:r w:rsidRPr="0094518D">
        <w:t>98, 175-212.</w:t>
      </w:r>
    </w:p>
    <w:p w:rsidR="008E3515" w:rsidRPr="0094518D" w:rsidRDefault="008E3515" w:rsidP="008E3515">
      <w:pPr>
        <w:pStyle w:val="NoSpacing"/>
        <w:ind w:left="720" w:hanging="720"/>
      </w:pPr>
      <w:r w:rsidRPr="0094518D">
        <w:t>Berger, A.N.</w:t>
      </w:r>
      <w:r w:rsidRPr="0094518D">
        <w:rPr>
          <w:lang w:eastAsia="zh-TW"/>
        </w:rPr>
        <w:t xml:space="preserve">, </w:t>
      </w:r>
      <w:proofErr w:type="spellStart"/>
      <w:r w:rsidRPr="0094518D">
        <w:t>Mester</w:t>
      </w:r>
      <w:proofErr w:type="spellEnd"/>
      <w:r w:rsidRPr="0094518D">
        <w:rPr>
          <w:lang w:eastAsia="zh-TW"/>
        </w:rPr>
        <w:t>, L.J.,</w:t>
      </w:r>
      <w:r w:rsidRPr="0094518D">
        <w:t xml:space="preserve"> 1997</w:t>
      </w:r>
      <w:r w:rsidRPr="0094518D">
        <w:rPr>
          <w:lang w:eastAsia="zh-TW"/>
        </w:rPr>
        <w:t>.</w:t>
      </w:r>
      <w:r w:rsidRPr="0094518D">
        <w:t xml:space="preserve"> Inside the black box: What </w:t>
      </w:r>
      <w:r w:rsidRPr="0094518D">
        <w:rPr>
          <w:lang w:eastAsia="zh-TW"/>
        </w:rPr>
        <w:t>e</w:t>
      </w:r>
      <w:r w:rsidRPr="0094518D">
        <w:t xml:space="preserve">xplains </w:t>
      </w:r>
      <w:r w:rsidRPr="0094518D">
        <w:rPr>
          <w:lang w:eastAsia="zh-TW"/>
        </w:rPr>
        <w:t>d</w:t>
      </w:r>
      <w:r w:rsidRPr="0094518D">
        <w:t xml:space="preserve">ifferences in the </w:t>
      </w:r>
      <w:r w:rsidRPr="0094518D">
        <w:rPr>
          <w:lang w:eastAsia="zh-TW"/>
        </w:rPr>
        <w:t>e</w:t>
      </w:r>
      <w:r w:rsidRPr="0094518D">
        <w:t xml:space="preserve">fficiencies of </w:t>
      </w:r>
      <w:r w:rsidRPr="0094518D">
        <w:rPr>
          <w:lang w:eastAsia="zh-TW"/>
        </w:rPr>
        <w:t>f</w:t>
      </w:r>
      <w:r w:rsidRPr="0094518D">
        <w:t xml:space="preserve">inancial </w:t>
      </w:r>
      <w:r w:rsidRPr="0094518D">
        <w:rPr>
          <w:lang w:eastAsia="zh-TW"/>
        </w:rPr>
        <w:t>i</w:t>
      </w:r>
      <w:r w:rsidRPr="0094518D">
        <w:t xml:space="preserve">nstitutions? </w:t>
      </w:r>
      <w:r w:rsidRPr="0094518D">
        <w:rPr>
          <w:i/>
        </w:rPr>
        <w:t>Journal of Banking and Finance</w:t>
      </w:r>
      <w:r w:rsidRPr="0094518D">
        <w:t xml:space="preserve"> 21, 895-947.</w:t>
      </w:r>
    </w:p>
    <w:p w:rsidR="008E3515" w:rsidRPr="0094518D" w:rsidRDefault="008E3515" w:rsidP="008E3515">
      <w:pPr>
        <w:pStyle w:val="NoSpacing"/>
        <w:ind w:left="720" w:hanging="720"/>
      </w:pPr>
      <w:r w:rsidRPr="0094518D">
        <w:t>Berger, A</w:t>
      </w:r>
      <w:r w:rsidRPr="0094518D">
        <w:rPr>
          <w:lang w:eastAsia="zh-TW"/>
        </w:rPr>
        <w:t>.</w:t>
      </w:r>
      <w:r w:rsidRPr="0094518D">
        <w:t xml:space="preserve"> N.</w:t>
      </w:r>
      <w:r w:rsidRPr="0094518D">
        <w:rPr>
          <w:lang w:eastAsia="zh-TW"/>
        </w:rPr>
        <w:t>,</w:t>
      </w:r>
      <w:r w:rsidRPr="0094518D">
        <w:t xml:space="preserve"> </w:t>
      </w:r>
      <w:proofErr w:type="spellStart"/>
      <w:r w:rsidRPr="0094518D">
        <w:t>Leusner</w:t>
      </w:r>
      <w:proofErr w:type="spellEnd"/>
      <w:r w:rsidRPr="0094518D">
        <w:t>, J</w:t>
      </w:r>
      <w:r w:rsidRPr="0094518D">
        <w:rPr>
          <w:lang w:eastAsia="zh-TW"/>
        </w:rPr>
        <w:t>.</w:t>
      </w:r>
      <w:r w:rsidRPr="0094518D">
        <w:t xml:space="preserve"> H.</w:t>
      </w:r>
      <w:r w:rsidRPr="0094518D">
        <w:rPr>
          <w:lang w:eastAsia="zh-TW"/>
        </w:rPr>
        <w:t xml:space="preserve">, </w:t>
      </w:r>
      <w:r w:rsidRPr="0094518D">
        <w:t>Mingo, J</w:t>
      </w:r>
      <w:r w:rsidRPr="0094518D">
        <w:rPr>
          <w:lang w:eastAsia="zh-TW"/>
        </w:rPr>
        <w:t>.</w:t>
      </w:r>
      <w:r w:rsidRPr="0094518D">
        <w:t xml:space="preserve"> J., 1997</w:t>
      </w:r>
      <w:r w:rsidRPr="0094518D">
        <w:rPr>
          <w:lang w:eastAsia="zh-TW"/>
        </w:rPr>
        <w:t>.</w:t>
      </w:r>
      <w:r w:rsidRPr="0094518D">
        <w:t xml:space="preserve"> </w:t>
      </w:r>
      <w:proofErr w:type="gramStart"/>
      <w:r w:rsidRPr="0094518D">
        <w:rPr>
          <w:bCs/>
        </w:rPr>
        <w:t>The efficiency of bank branches</w:t>
      </w:r>
      <w:r w:rsidRPr="0094518D">
        <w:t>.</w:t>
      </w:r>
      <w:proofErr w:type="gramEnd"/>
      <w:r w:rsidRPr="0094518D">
        <w:t xml:space="preserve"> </w:t>
      </w:r>
      <w:r w:rsidRPr="0094518D">
        <w:rPr>
          <w:i/>
        </w:rPr>
        <w:t>Journal of Monetary Economics, Elsevier</w:t>
      </w:r>
      <w:r w:rsidRPr="0094518D">
        <w:t xml:space="preserve"> 40(1), 141-162.</w:t>
      </w:r>
    </w:p>
    <w:p w:rsidR="008E3515" w:rsidRPr="0094518D" w:rsidRDefault="008E3515" w:rsidP="008E3515">
      <w:pPr>
        <w:pStyle w:val="NoSpacing"/>
        <w:ind w:left="720" w:hanging="720"/>
      </w:pPr>
      <w:r w:rsidRPr="0094518D">
        <w:t>Berger, A</w:t>
      </w:r>
      <w:r w:rsidRPr="0094518D">
        <w:rPr>
          <w:lang w:eastAsia="zh-TW"/>
        </w:rPr>
        <w:t>.</w:t>
      </w:r>
      <w:r w:rsidRPr="0094518D">
        <w:t xml:space="preserve"> N., </w:t>
      </w:r>
      <w:proofErr w:type="spellStart"/>
      <w:r w:rsidRPr="0094518D">
        <w:t>DeYoung</w:t>
      </w:r>
      <w:proofErr w:type="spellEnd"/>
      <w:r w:rsidRPr="0094518D">
        <w:rPr>
          <w:lang w:eastAsia="zh-TW"/>
        </w:rPr>
        <w:t>, R.,</w:t>
      </w:r>
      <w:r w:rsidRPr="0094518D">
        <w:t xml:space="preserve"> 1997</w:t>
      </w:r>
      <w:r w:rsidRPr="0094518D">
        <w:rPr>
          <w:lang w:eastAsia="zh-TW"/>
        </w:rPr>
        <w:t>.</w:t>
      </w:r>
      <w:r w:rsidRPr="0094518D">
        <w:t xml:space="preserve"> Problem </w:t>
      </w:r>
      <w:r w:rsidRPr="0094518D">
        <w:rPr>
          <w:lang w:eastAsia="zh-TW"/>
        </w:rPr>
        <w:t>l</w:t>
      </w:r>
      <w:r w:rsidRPr="0094518D">
        <w:t xml:space="preserve">oans and </w:t>
      </w:r>
      <w:r w:rsidRPr="0094518D">
        <w:rPr>
          <w:lang w:eastAsia="zh-TW"/>
        </w:rPr>
        <w:t>c</w:t>
      </w:r>
      <w:r w:rsidRPr="0094518D">
        <w:t xml:space="preserve">ost </w:t>
      </w:r>
      <w:r w:rsidRPr="0094518D">
        <w:rPr>
          <w:lang w:eastAsia="zh-TW"/>
        </w:rPr>
        <w:t>e</w:t>
      </w:r>
      <w:r w:rsidRPr="0094518D">
        <w:t xml:space="preserve">fficiency in </w:t>
      </w:r>
      <w:r w:rsidRPr="0094518D">
        <w:rPr>
          <w:lang w:eastAsia="zh-TW"/>
        </w:rPr>
        <w:t>c</w:t>
      </w:r>
      <w:r w:rsidRPr="0094518D">
        <w:t xml:space="preserve">ommercial </w:t>
      </w:r>
      <w:r w:rsidRPr="0094518D">
        <w:rPr>
          <w:lang w:eastAsia="zh-TW"/>
        </w:rPr>
        <w:t>b</w:t>
      </w:r>
      <w:r w:rsidRPr="0094518D">
        <w:t xml:space="preserve">anks. </w:t>
      </w:r>
      <w:proofErr w:type="gramStart"/>
      <w:r w:rsidRPr="0094518D">
        <w:rPr>
          <w:i/>
          <w:iCs/>
        </w:rPr>
        <w:t>Journal of Banking and Finance</w:t>
      </w:r>
      <w:r w:rsidRPr="0094518D">
        <w:t xml:space="preserve"> 21, 849-70.</w:t>
      </w:r>
      <w:proofErr w:type="gramEnd"/>
    </w:p>
    <w:p w:rsidR="008E3515" w:rsidRPr="0094518D" w:rsidRDefault="008E3515" w:rsidP="008E3515">
      <w:pPr>
        <w:pStyle w:val="NoSpacing"/>
        <w:ind w:left="720" w:hanging="720"/>
        <w:rPr>
          <w:sz w:val="23"/>
          <w:szCs w:val="23"/>
        </w:rPr>
      </w:pPr>
      <w:r w:rsidRPr="0094518D">
        <w:rPr>
          <w:sz w:val="23"/>
          <w:szCs w:val="23"/>
        </w:rPr>
        <w:t xml:space="preserve">Berger, A.N., </w:t>
      </w:r>
      <w:proofErr w:type="spellStart"/>
      <w:r w:rsidRPr="0094518D">
        <w:rPr>
          <w:sz w:val="23"/>
          <w:szCs w:val="23"/>
        </w:rPr>
        <w:t>Hanweck</w:t>
      </w:r>
      <w:proofErr w:type="spellEnd"/>
      <w:r w:rsidRPr="0094518D">
        <w:rPr>
          <w:sz w:val="23"/>
          <w:szCs w:val="23"/>
        </w:rPr>
        <w:t xml:space="preserve">, G. A., Humphrey, D. B., 1987. Competitive viability in banking: scale, scope, and product mix economies. </w:t>
      </w:r>
      <w:proofErr w:type="gramStart"/>
      <w:r w:rsidRPr="0094518D">
        <w:rPr>
          <w:i/>
          <w:iCs/>
          <w:sz w:val="23"/>
          <w:szCs w:val="23"/>
        </w:rPr>
        <w:t xml:space="preserve">Journal of Monetary Economics </w:t>
      </w:r>
      <w:r w:rsidRPr="0094518D">
        <w:t>20, 501-20.</w:t>
      </w:r>
      <w:proofErr w:type="gramEnd"/>
      <w:r w:rsidRPr="0094518D">
        <w:rPr>
          <w:sz w:val="23"/>
          <w:szCs w:val="23"/>
        </w:rPr>
        <w:t xml:space="preserve"> </w:t>
      </w:r>
    </w:p>
    <w:p w:rsidR="008E3515" w:rsidRPr="0094518D" w:rsidRDefault="008E3515" w:rsidP="008E3515">
      <w:pPr>
        <w:pStyle w:val="NoSpacing"/>
        <w:ind w:left="720" w:hanging="720"/>
        <w:rPr>
          <w:bCs/>
          <w:lang w:eastAsia="zh-TW"/>
        </w:rPr>
      </w:pPr>
      <w:proofErr w:type="gramStart"/>
      <w:r w:rsidRPr="0094518D">
        <w:rPr>
          <w:bCs/>
          <w:lang w:eastAsia="zh-TW"/>
        </w:rPr>
        <w:t xml:space="preserve">Bhattacharya, A, Lovell, C.A.K., </w:t>
      </w:r>
      <w:proofErr w:type="spellStart"/>
      <w:r w:rsidRPr="0094518D">
        <w:rPr>
          <w:bCs/>
          <w:lang w:eastAsia="zh-TW"/>
        </w:rPr>
        <w:t>Sahay</w:t>
      </w:r>
      <w:proofErr w:type="spellEnd"/>
      <w:r w:rsidRPr="0094518D">
        <w:rPr>
          <w:bCs/>
          <w:lang w:eastAsia="zh-TW"/>
        </w:rPr>
        <w:t>, P., 1997.The impact of liberalization on the productive efficiency of Indian commercial banks.</w:t>
      </w:r>
      <w:proofErr w:type="gramEnd"/>
      <w:r w:rsidRPr="0094518D">
        <w:rPr>
          <w:bCs/>
          <w:lang w:eastAsia="zh-TW"/>
        </w:rPr>
        <w:t xml:space="preserve"> </w:t>
      </w:r>
      <w:r w:rsidRPr="0094518D">
        <w:rPr>
          <w:i/>
        </w:rPr>
        <w:t>European Journal of Operational Research</w:t>
      </w:r>
      <w:r w:rsidRPr="0094518D">
        <w:rPr>
          <w:lang w:eastAsia="zh-TW"/>
        </w:rPr>
        <w:t xml:space="preserve"> </w:t>
      </w:r>
      <w:r w:rsidRPr="0094518D">
        <w:t>98</w:t>
      </w:r>
      <w:r w:rsidRPr="0094518D">
        <w:rPr>
          <w:lang w:eastAsia="zh-TW"/>
        </w:rPr>
        <w:t xml:space="preserve"> (</w:t>
      </w:r>
      <w:r w:rsidRPr="0094518D">
        <w:t>2</w:t>
      </w:r>
      <w:r w:rsidRPr="0094518D">
        <w:rPr>
          <w:lang w:eastAsia="zh-TW"/>
        </w:rPr>
        <w:t xml:space="preserve">), </w:t>
      </w:r>
      <w:r w:rsidRPr="0094518D">
        <w:t>332-345</w:t>
      </w:r>
      <w:r w:rsidRPr="0094518D">
        <w:rPr>
          <w:lang w:eastAsia="zh-TW"/>
        </w:rPr>
        <w:t>.</w:t>
      </w:r>
      <w:r w:rsidRPr="0094518D">
        <w:t xml:space="preserve"> </w:t>
      </w:r>
    </w:p>
    <w:p w:rsidR="008E3515" w:rsidRPr="0094518D" w:rsidRDefault="008E3515" w:rsidP="008E3515">
      <w:pPr>
        <w:pStyle w:val="NoSpacing"/>
        <w:ind w:left="720" w:hanging="720"/>
      </w:pPr>
      <w:r w:rsidRPr="0094518D">
        <w:rPr>
          <w:rFonts w:eastAsia="SimSun"/>
          <w:lang w:eastAsia="zh-CN"/>
        </w:rPr>
        <w:t xml:space="preserve">Bonin, J. P., </w:t>
      </w:r>
      <w:proofErr w:type="spellStart"/>
      <w:r w:rsidRPr="0094518D">
        <w:rPr>
          <w:rFonts w:eastAsia="SimSun"/>
          <w:lang w:eastAsia="zh-CN"/>
        </w:rPr>
        <w:t>Hasan</w:t>
      </w:r>
      <w:proofErr w:type="spellEnd"/>
      <w:r w:rsidRPr="0094518D">
        <w:rPr>
          <w:rFonts w:eastAsia="SimSun"/>
          <w:lang w:eastAsia="zh-CN"/>
        </w:rPr>
        <w:t xml:space="preserve"> I., </w:t>
      </w:r>
      <w:proofErr w:type="spellStart"/>
      <w:r w:rsidRPr="0094518D">
        <w:rPr>
          <w:rFonts w:eastAsia="SimSun"/>
          <w:lang w:eastAsia="zh-CN"/>
        </w:rPr>
        <w:t>Wachtel</w:t>
      </w:r>
      <w:proofErr w:type="spellEnd"/>
      <w:r w:rsidRPr="0094518D">
        <w:rPr>
          <w:rFonts w:eastAsia="SimSun"/>
          <w:lang w:eastAsia="zh-CN"/>
        </w:rPr>
        <w:t>, P</w:t>
      </w:r>
      <w:proofErr w:type="gramStart"/>
      <w:r w:rsidRPr="0094518D">
        <w:rPr>
          <w:rFonts w:eastAsia="SimSun"/>
          <w:lang w:eastAsia="zh-CN"/>
        </w:rPr>
        <w:t>. ,</w:t>
      </w:r>
      <w:proofErr w:type="gramEnd"/>
      <w:r w:rsidRPr="0094518D">
        <w:rPr>
          <w:rFonts w:eastAsia="SimSun"/>
          <w:lang w:eastAsia="zh-CN"/>
        </w:rPr>
        <w:t xml:space="preserve">  2005. </w:t>
      </w:r>
      <w:proofErr w:type="gramStart"/>
      <w:r w:rsidRPr="0094518D">
        <w:rPr>
          <w:rFonts w:eastAsia="SimSun"/>
          <w:lang w:eastAsia="zh-CN"/>
        </w:rPr>
        <w:t>Bank performance, efficiency, and ownership in transition countries.</w:t>
      </w:r>
      <w:proofErr w:type="gramEnd"/>
      <w:r w:rsidRPr="0094518D">
        <w:rPr>
          <w:i/>
          <w:iCs/>
        </w:rPr>
        <w:t xml:space="preserve">  Journal of Banking and Finance</w:t>
      </w:r>
      <w:r w:rsidRPr="0094518D">
        <w:t xml:space="preserve"> 29 (1), 31-53.</w:t>
      </w:r>
    </w:p>
    <w:p w:rsidR="008E3515" w:rsidRPr="0094518D" w:rsidRDefault="008E3515" w:rsidP="008E3515">
      <w:pPr>
        <w:pStyle w:val="NoSpacing"/>
        <w:ind w:left="720" w:hanging="720"/>
        <w:rPr>
          <w:rFonts w:eastAsia="SimSun"/>
          <w:lang w:eastAsia="zh-CN"/>
        </w:rPr>
      </w:pPr>
      <w:r w:rsidRPr="0094518D">
        <w:t>Caudill, S</w:t>
      </w:r>
      <w:r w:rsidRPr="0094518D">
        <w:rPr>
          <w:lang w:eastAsia="zh-TW"/>
        </w:rPr>
        <w:t>.</w:t>
      </w:r>
      <w:r w:rsidRPr="0094518D">
        <w:t xml:space="preserve"> B.</w:t>
      </w:r>
      <w:r w:rsidRPr="0094518D">
        <w:rPr>
          <w:lang w:eastAsia="zh-TW"/>
        </w:rPr>
        <w:t>,</w:t>
      </w:r>
      <w:r w:rsidRPr="0094518D">
        <w:t xml:space="preserve"> Ford, J</w:t>
      </w:r>
      <w:r w:rsidRPr="0094518D">
        <w:rPr>
          <w:lang w:eastAsia="zh-TW"/>
        </w:rPr>
        <w:t>.</w:t>
      </w:r>
      <w:r w:rsidRPr="0094518D">
        <w:t xml:space="preserve"> M.</w:t>
      </w:r>
      <w:r w:rsidRPr="0094518D">
        <w:rPr>
          <w:lang w:eastAsia="zh-TW"/>
        </w:rPr>
        <w:t>,</w:t>
      </w:r>
      <w:r w:rsidRPr="0094518D">
        <w:t xml:space="preserve"> 1993</w:t>
      </w:r>
      <w:r w:rsidRPr="0094518D">
        <w:rPr>
          <w:lang w:eastAsia="zh-TW"/>
        </w:rPr>
        <w:t>.</w:t>
      </w:r>
      <w:r w:rsidRPr="0094518D">
        <w:t xml:space="preserve"> </w:t>
      </w:r>
      <w:proofErr w:type="gramStart"/>
      <w:r w:rsidRPr="0094518D">
        <w:rPr>
          <w:bCs/>
        </w:rPr>
        <w:t xml:space="preserve">Biases in frontier estimation due to </w:t>
      </w:r>
      <w:proofErr w:type="spellStart"/>
      <w:r w:rsidRPr="0094518D">
        <w:rPr>
          <w:bCs/>
        </w:rPr>
        <w:t>heteroscedasticity</w:t>
      </w:r>
      <w:proofErr w:type="spellEnd"/>
      <w:r w:rsidRPr="0094518D">
        <w:t>.</w:t>
      </w:r>
      <w:proofErr w:type="gramEnd"/>
      <w:r w:rsidRPr="0094518D">
        <w:t xml:space="preserve"> </w:t>
      </w:r>
      <w:r w:rsidRPr="0094518D">
        <w:rPr>
          <w:i/>
        </w:rPr>
        <w:t>Economics Letters,</w:t>
      </w:r>
      <w:r>
        <w:t xml:space="preserve"> </w:t>
      </w:r>
      <w:r w:rsidRPr="0094518D">
        <w:t>41(1)</w:t>
      </w:r>
      <w:proofErr w:type="gramStart"/>
      <w:r w:rsidRPr="0094518D">
        <w:t>,17</w:t>
      </w:r>
      <w:proofErr w:type="gramEnd"/>
      <w:r w:rsidRPr="0094518D">
        <w:t>-20.</w:t>
      </w:r>
    </w:p>
    <w:p w:rsidR="008E3515" w:rsidRPr="0094518D" w:rsidRDefault="008E3515" w:rsidP="008E3515">
      <w:pPr>
        <w:pStyle w:val="NoSpacing"/>
        <w:ind w:left="720" w:hanging="720"/>
      </w:pPr>
      <w:proofErr w:type="gramStart"/>
      <w:r w:rsidRPr="0094518D">
        <w:t>Caudill, S</w:t>
      </w:r>
      <w:r w:rsidRPr="0094518D">
        <w:rPr>
          <w:lang w:eastAsia="zh-TW"/>
        </w:rPr>
        <w:t>.</w:t>
      </w:r>
      <w:r w:rsidRPr="0094518D">
        <w:t xml:space="preserve"> B</w:t>
      </w:r>
      <w:r w:rsidRPr="0094518D">
        <w:rPr>
          <w:lang w:eastAsia="zh-TW"/>
        </w:rPr>
        <w:t>.,</w:t>
      </w:r>
      <w:r w:rsidRPr="0094518D">
        <w:t xml:space="preserve"> Ford, J</w:t>
      </w:r>
      <w:r w:rsidRPr="0094518D">
        <w:rPr>
          <w:lang w:eastAsia="zh-TW"/>
        </w:rPr>
        <w:t>.</w:t>
      </w:r>
      <w:r w:rsidRPr="0094518D">
        <w:t xml:space="preserve"> M</w:t>
      </w:r>
      <w:r w:rsidRPr="0094518D">
        <w:rPr>
          <w:lang w:eastAsia="zh-TW"/>
        </w:rPr>
        <w:t>.,</w:t>
      </w:r>
      <w:r>
        <w:t xml:space="preserve"> </w:t>
      </w:r>
      <w:r w:rsidRPr="0094518D">
        <w:t>Gropper, D</w:t>
      </w:r>
      <w:r w:rsidRPr="0094518D">
        <w:rPr>
          <w:lang w:eastAsia="zh-TW"/>
        </w:rPr>
        <w:t>.</w:t>
      </w:r>
      <w:r w:rsidRPr="0094518D">
        <w:t xml:space="preserve"> M., 1995</w:t>
      </w:r>
      <w:r w:rsidRPr="0094518D">
        <w:rPr>
          <w:lang w:eastAsia="zh-TW"/>
        </w:rPr>
        <w:t>.</w:t>
      </w:r>
      <w:proofErr w:type="gramEnd"/>
      <w:r w:rsidRPr="0094518D">
        <w:t xml:space="preserve"> Frontier </w:t>
      </w:r>
      <w:r w:rsidRPr="0094518D">
        <w:rPr>
          <w:lang w:eastAsia="zh-TW"/>
        </w:rPr>
        <w:t>e</w:t>
      </w:r>
      <w:r w:rsidRPr="0094518D">
        <w:t xml:space="preserve">stimation and </w:t>
      </w:r>
      <w:r w:rsidRPr="0094518D">
        <w:rPr>
          <w:lang w:eastAsia="zh-TW"/>
        </w:rPr>
        <w:t>f</w:t>
      </w:r>
      <w:r w:rsidRPr="0094518D">
        <w:t>irm-</w:t>
      </w:r>
      <w:r w:rsidRPr="0094518D">
        <w:rPr>
          <w:lang w:eastAsia="zh-TW"/>
        </w:rPr>
        <w:t>s</w:t>
      </w:r>
      <w:r w:rsidRPr="0094518D">
        <w:t xml:space="preserve">pecific </w:t>
      </w:r>
      <w:r w:rsidRPr="0094518D">
        <w:rPr>
          <w:lang w:eastAsia="zh-TW"/>
        </w:rPr>
        <w:t>i</w:t>
      </w:r>
      <w:r w:rsidRPr="0094518D">
        <w:t xml:space="preserve">nefficiency </w:t>
      </w:r>
      <w:r w:rsidRPr="0094518D">
        <w:rPr>
          <w:lang w:eastAsia="zh-TW"/>
        </w:rPr>
        <w:t>m</w:t>
      </w:r>
      <w:r w:rsidRPr="0094518D">
        <w:t xml:space="preserve">easures in the </w:t>
      </w:r>
      <w:r w:rsidRPr="0094518D">
        <w:rPr>
          <w:lang w:eastAsia="zh-TW"/>
        </w:rPr>
        <w:t>p</w:t>
      </w:r>
      <w:r w:rsidRPr="0094518D">
        <w:t xml:space="preserve">resence of </w:t>
      </w:r>
      <w:proofErr w:type="spellStart"/>
      <w:r w:rsidRPr="0094518D">
        <w:rPr>
          <w:lang w:eastAsia="zh-TW"/>
        </w:rPr>
        <w:t>h</w:t>
      </w:r>
      <w:r w:rsidRPr="0094518D">
        <w:t>eteroscedasticity</w:t>
      </w:r>
      <w:proofErr w:type="spellEnd"/>
      <w:r w:rsidRPr="0094518D">
        <w:t xml:space="preserve">. </w:t>
      </w:r>
      <w:proofErr w:type="gramStart"/>
      <w:r w:rsidRPr="0094518D">
        <w:rPr>
          <w:i/>
        </w:rPr>
        <w:t xml:space="preserve">Journal of Business &amp; Economic Statistics </w:t>
      </w:r>
      <w:r w:rsidRPr="0094518D">
        <w:t>13(1), 105-11.</w:t>
      </w:r>
      <w:proofErr w:type="gramEnd"/>
    </w:p>
    <w:p w:rsidR="008E3515" w:rsidRDefault="008E3515" w:rsidP="008E3515">
      <w:pPr>
        <w:pStyle w:val="NoSpacing"/>
        <w:ind w:left="720" w:hanging="720"/>
      </w:pPr>
      <w:proofErr w:type="spellStart"/>
      <w:r w:rsidRPr="0094518D">
        <w:t>Cebenoyan</w:t>
      </w:r>
      <w:proofErr w:type="spellEnd"/>
      <w:r w:rsidRPr="0094518D">
        <w:t xml:space="preserve">, A. S., 1990. </w:t>
      </w:r>
      <w:proofErr w:type="gramStart"/>
      <w:r w:rsidRPr="0094518D">
        <w:t xml:space="preserve">‘Scope </w:t>
      </w:r>
      <w:r w:rsidRPr="0094518D">
        <w:rPr>
          <w:lang w:eastAsia="zh-TW"/>
        </w:rPr>
        <w:t>e</w:t>
      </w:r>
      <w:r w:rsidRPr="0094518D">
        <w:t xml:space="preserve">conomies in </w:t>
      </w:r>
      <w:r w:rsidRPr="0094518D">
        <w:rPr>
          <w:lang w:eastAsia="zh-TW"/>
        </w:rPr>
        <w:t>b</w:t>
      </w:r>
      <w:r w:rsidRPr="0094518D">
        <w:t xml:space="preserve">anking: the </w:t>
      </w:r>
      <w:r w:rsidRPr="0094518D">
        <w:rPr>
          <w:lang w:eastAsia="zh-TW"/>
        </w:rPr>
        <w:t>h</w:t>
      </w:r>
      <w:r w:rsidRPr="0094518D">
        <w:t xml:space="preserve">ybrid box-cox </w:t>
      </w:r>
      <w:r w:rsidRPr="0094518D">
        <w:rPr>
          <w:lang w:eastAsia="zh-TW"/>
        </w:rPr>
        <w:t>f</w:t>
      </w:r>
      <w:r w:rsidRPr="0094518D">
        <w:t xml:space="preserve">unction’, </w:t>
      </w:r>
      <w:r w:rsidRPr="0094518D">
        <w:rPr>
          <w:i/>
          <w:iCs/>
        </w:rPr>
        <w:t>The Financial Review</w:t>
      </w:r>
      <w:r w:rsidRPr="0094518D">
        <w:t xml:space="preserve"> 25, 115-125.</w:t>
      </w:r>
      <w:proofErr w:type="gramEnd"/>
    </w:p>
    <w:p w:rsidR="008E3515" w:rsidRDefault="008E3515" w:rsidP="008E3515">
      <w:pPr>
        <w:autoSpaceDE w:val="0"/>
        <w:autoSpaceDN w:val="0"/>
        <w:adjustRightInd w:val="0"/>
        <w:spacing w:line="240" w:lineRule="auto"/>
        <w:ind w:left="720" w:hanging="720"/>
        <w:rPr>
          <w:rFonts w:ascii="Times New Roman" w:hAnsi="Times New Roman" w:cs="Times New Roman"/>
          <w:sz w:val="22"/>
        </w:rPr>
      </w:pPr>
      <w:proofErr w:type="spellStart"/>
      <w:r w:rsidRPr="0094518D">
        <w:rPr>
          <w:rFonts w:ascii="Times New Roman" w:hAnsi="Times New Roman" w:cs="Times New Roman"/>
          <w:sz w:val="22"/>
        </w:rPr>
        <w:t>Coelli</w:t>
      </w:r>
      <w:proofErr w:type="spellEnd"/>
      <w:r w:rsidRPr="0094518D">
        <w:rPr>
          <w:rFonts w:ascii="Times New Roman" w:hAnsi="Times New Roman" w:cs="Times New Roman"/>
          <w:sz w:val="22"/>
        </w:rPr>
        <w:t xml:space="preserve">, T., </w:t>
      </w:r>
      <w:proofErr w:type="spellStart"/>
      <w:r w:rsidRPr="0094518D">
        <w:rPr>
          <w:rFonts w:ascii="Times New Roman" w:hAnsi="Times New Roman" w:cs="Times New Roman"/>
          <w:sz w:val="22"/>
        </w:rPr>
        <w:t>Prasada</w:t>
      </w:r>
      <w:proofErr w:type="spellEnd"/>
      <w:r w:rsidRPr="0094518D">
        <w:rPr>
          <w:rFonts w:ascii="Times New Roman" w:hAnsi="Times New Roman" w:cs="Times New Roman"/>
          <w:sz w:val="22"/>
        </w:rPr>
        <w:t xml:space="preserve"> R.D.S., </w:t>
      </w:r>
      <w:proofErr w:type="gramStart"/>
      <w:r w:rsidRPr="0094518D">
        <w:rPr>
          <w:rFonts w:ascii="Times New Roman" w:hAnsi="Times New Roman" w:cs="Times New Roman"/>
          <w:sz w:val="22"/>
        </w:rPr>
        <w:t xml:space="preserve">and  </w:t>
      </w:r>
      <w:proofErr w:type="spellStart"/>
      <w:r w:rsidRPr="0094518D">
        <w:rPr>
          <w:rFonts w:ascii="Times New Roman" w:hAnsi="Times New Roman" w:cs="Times New Roman"/>
          <w:sz w:val="22"/>
        </w:rPr>
        <w:t>Battese</w:t>
      </w:r>
      <w:proofErr w:type="spellEnd"/>
      <w:proofErr w:type="gramEnd"/>
      <w:r w:rsidRPr="0094518D">
        <w:rPr>
          <w:rFonts w:ascii="Times New Roman" w:hAnsi="Times New Roman" w:cs="Times New Roman"/>
          <w:sz w:val="22"/>
        </w:rPr>
        <w:t xml:space="preserve">, G.E., 1999. </w:t>
      </w:r>
      <w:proofErr w:type="gramStart"/>
      <w:r w:rsidRPr="0094518D">
        <w:rPr>
          <w:rFonts w:ascii="Times New Roman" w:hAnsi="Times New Roman" w:cs="Times New Roman"/>
          <w:sz w:val="22"/>
        </w:rPr>
        <w:t>An introduction to efficiency and productivity analysis.</w:t>
      </w:r>
      <w:proofErr w:type="gramEnd"/>
      <w:r w:rsidRPr="0094518D">
        <w:rPr>
          <w:rFonts w:ascii="Times New Roman" w:hAnsi="Times New Roman" w:cs="Times New Roman"/>
          <w:i/>
          <w:sz w:val="22"/>
        </w:rPr>
        <w:t xml:space="preserve">  </w:t>
      </w:r>
      <w:proofErr w:type="gramStart"/>
      <w:r w:rsidRPr="0094518D">
        <w:rPr>
          <w:rFonts w:ascii="Times New Roman" w:hAnsi="Times New Roman" w:cs="Times New Roman"/>
          <w:i/>
          <w:sz w:val="22"/>
        </w:rPr>
        <w:t>Kluwer Academic Publishers</w:t>
      </w:r>
      <w:r w:rsidRPr="0094518D">
        <w:rPr>
          <w:rFonts w:ascii="Times New Roman" w:hAnsi="Times New Roman" w:cs="Times New Roman"/>
          <w:sz w:val="22"/>
        </w:rPr>
        <w:t>, USA.</w:t>
      </w:r>
      <w:proofErr w:type="gramEnd"/>
    </w:p>
    <w:p w:rsidR="00071643" w:rsidRDefault="00071643" w:rsidP="008E3515">
      <w:pPr>
        <w:autoSpaceDE w:val="0"/>
        <w:autoSpaceDN w:val="0"/>
        <w:adjustRightInd w:val="0"/>
        <w:spacing w:line="240" w:lineRule="auto"/>
        <w:ind w:left="720" w:hanging="720"/>
        <w:rPr>
          <w:rFonts w:ascii="Times New Roman" w:hAnsi="Times New Roman" w:cs="Times New Roman"/>
          <w:sz w:val="22"/>
        </w:rPr>
      </w:pPr>
    </w:p>
    <w:p w:rsidR="008E3515" w:rsidRDefault="008E3515" w:rsidP="008E3515">
      <w:pPr>
        <w:autoSpaceDE w:val="0"/>
        <w:autoSpaceDN w:val="0"/>
        <w:adjustRightInd w:val="0"/>
        <w:spacing w:line="240" w:lineRule="auto"/>
        <w:ind w:left="720" w:hanging="720"/>
        <w:rPr>
          <w:rFonts w:ascii="Times New Roman" w:hAnsi="Times New Roman" w:cs="Times New Roman"/>
          <w:sz w:val="22"/>
        </w:rPr>
      </w:pPr>
      <w:r w:rsidRPr="0094518D">
        <w:rPr>
          <w:rFonts w:ascii="Times New Roman" w:hAnsi="Times New Roman" w:cs="Times New Roman"/>
          <w:sz w:val="22"/>
        </w:rPr>
        <w:lastRenderedPageBreak/>
        <w:t xml:space="preserve">Cornwell, C., Schmidt, P., Sickles, R.C., 1990. </w:t>
      </w:r>
      <w:proofErr w:type="gramStart"/>
      <w:r w:rsidRPr="0094518D">
        <w:rPr>
          <w:rFonts w:ascii="Times New Roman" w:hAnsi="Times New Roman" w:cs="Times New Roman"/>
          <w:sz w:val="22"/>
        </w:rPr>
        <w:t>Production frontiers with cross-sectional and time-series variation in efficiency levels.</w:t>
      </w:r>
      <w:proofErr w:type="gramEnd"/>
      <w:r w:rsidRPr="0094518D">
        <w:rPr>
          <w:rFonts w:ascii="Times New Roman" w:hAnsi="Times New Roman" w:cs="Times New Roman"/>
          <w:sz w:val="22"/>
        </w:rPr>
        <w:t xml:space="preserve">  </w:t>
      </w:r>
      <w:r w:rsidRPr="0094518D">
        <w:rPr>
          <w:rFonts w:ascii="Times New Roman" w:hAnsi="Times New Roman" w:cs="Times New Roman"/>
          <w:i/>
          <w:sz w:val="22"/>
        </w:rPr>
        <w:t>Journal of Econometrics</w:t>
      </w:r>
      <w:r w:rsidRPr="0094518D">
        <w:rPr>
          <w:rFonts w:ascii="Times New Roman" w:hAnsi="Times New Roman" w:cs="Times New Roman"/>
          <w:sz w:val="22"/>
        </w:rPr>
        <w:t xml:space="preserve"> 46, 185-200.</w:t>
      </w:r>
    </w:p>
    <w:p w:rsidR="008E3515" w:rsidRPr="0094518D" w:rsidRDefault="008E3515" w:rsidP="008E3515">
      <w:pPr>
        <w:autoSpaceDE w:val="0"/>
        <w:autoSpaceDN w:val="0"/>
        <w:adjustRightInd w:val="0"/>
        <w:spacing w:line="240" w:lineRule="auto"/>
        <w:ind w:left="720" w:hanging="720"/>
        <w:rPr>
          <w:rFonts w:ascii="Times New Roman" w:hAnsi="Times New Roman" w:cs="Times New Roman"/>
          <w:sz w:val="22"/>
        </w:rPr>
      </w:pPr>
      <w:proofErr w:type="spellStart"/>
      <w:proofErr w:type="gramStart"/>
      <w:r>
        <w:rPr>
          <w:rFonts w:ascii="Times New Roman" w:hAnsi="Times New Roman" w:cs="Times New Roman"/>
          <w:sz w:val="22"/>
        </w:rPr>
        <w:t>Darrat</w:t>
      </w:r>
      <w:proofErr w:type="spellEnd"/>
      <w:r>
        <w:rPr>
          <w:rFonts w:ascii="Times New Roman" w:hAnsi="Times New Roman" w:cs="Times New Roman"/>
          <w:sz w:val="22"/>
        </w:rPr>
        <w:t xml:space="preserve"> ,</w:t>
      </w:r>
      <w:proofErr w:type="gramEnd"/>
      <w:r>
        <w:rPr>
          <w:rFonts w:ascii="Times New Roman" w:hAnsi="Times New Roman" w:cs="Times New Roman"/>
          <w:sz w:val="22"/>
        </w:rPr>
        <w:t xml:space="preserve"> F., </w:t>
      </w:r>
      <w:proofErr w:type="spellStart"/>
      <w:r>
        <w:rPr>
          <w:rFonts w:ascii="Times New Roman" w:hAnsi="Times New Roman" w:cs="Times New Roman"/>
          <w:sz w:val="22"/>
        </w:rPr>
        <w:t>Topuz</w:t>
      </w:r>
      <w:proofErr w:type="spellEnd"/>
      <w:r>
        <w:rPr>
          <w:rFonts w:ascii="Times New Roman" w:hAnsi="Times New Roman" w:cs="Times New Roman"/>
          <w:sz w:val="22"/>
        </w:rPr>
        <w:t xml:space="preserve">, C., and </w:t>
      </w:r>
      <w:proofErr w:type="spellStart"/>
      <w:r>
        <w:rPr>
          <w:rFonts w:ascii="Times New Roman" w:hAnsi="Times New Roman" w:cs="Times New Roman"/>
          <w:sz w:val="22"/>
        </w:rPr>
        <w:t>Yosusef</w:t>
      </w:r>
      <w:proofErr w:type="spellEnd"/>
      <w:r>
        <w:rPr>
          <w:rFonts w:ascii="Times New Roman" w:hAnsi="Times New Roman" w:cs="Times New Roman"/>
          <w:sz w:val="22"/>
        </w:rPr>
        <w:t xml:space="preserve">, T.,  2003. </w:t>
      </w:r>
      <w:proofErr w:type="gramStart"/>
      <w:r>
        <w:rPr>
          <w:rFonts w:ascii="Times New Roman" w:hAnsi="Times New Roman" w:cs="Times New Roman"/>
          <w:sz w:val="22"/>
        </w:rPr>
        <w:t>Assessing bank efficiency of banks in an emerging market.</w:t>
      </w:r>
      <w:proofErr w:type="gramEnd"/>
      <w:r>
        <w:rPr>
          <w:rFonts w:ascii="Times New Roman" w:hAnsi="Times New Roman" w:cs="Times New Roman"/>
          <w:sz w:val="22"/>
        </w:rPr>
        <w:t xml:space="preserve"> </w:t>
      </w:r>
      <w:proofErr w:type="gramStart"/>
      <w:r>
        <w:rPr>
          <w:rFonts w:ascii="Times New Roman" w:hAnsi="Times New Roman" w:cs="Times New Roman"/>
          <w:sz w:val="22"/>
        </w:rPr>
        <w:t>The Kuwaiti Experience in the 1990s.</w:t>
      </w:r>
      <w:proofErr w:type="gramEnd"/>
      <w:r>
        <w:rPr>
          <w:rFonts w:ascii="Times New Roman" w:hAnsi="Times New Roman" w:cs="Times New Roman"/>
          <w:sz w:val="22"/>
        </w:rPr>
        <w:t xml:space="preserve">  </w:t>
      </w:r>
      <w:r w:rsidRPr="00B27202">
        <w:rPr>
          <w:rFonts w:ascii="Times New Roman" w:hAnsi="Times New Roman" w:cs="Times New Roman"/>
          <w:i/>
          <w:sz w:val="22"/>
        </w:rPr>
        <w:t>Studies in Economics and Finance</w:t>
      </w:r>
      <w:r>
        <w:rPr>
          <w:rFonts w:ascii="Times New Roman" w:hAnsi="Times New Roman" w:cs="Times New Roman"/>
          <w:sz w:val="22"/>
        </w:rPr>
        <w:t xml:space="preserve"> 21, 1-21.</w:t>
      </w:r>
    </w:p>
    <w:p w:rsidR="008E3515" w:rsidRDefault="008E3515" w:rsidP="008E3515">
      <w:pPr>
        <w:pStyle w:val="NoSpacing"/>
        <w:ind w:left="720" w:hanging="720"/>
      </w:pPr>
      <w:proofErr w:type="spellStart"/>
      <w:r w:rsidRPr="0094518D">
        <w:t>DeYoung</w:t>
      </w:r>
      <w:proofErr w:type="spellEnd"/>
      <w:r w:rsidRPr="0094518D">
        <w:t>, R</w:t>
      </w:r>
      <w:r w:rsidRPr="0094518D">
        <w:rPr>
          <w:lang w:eastAsia="zh-TW"/>
        </w:rPr>
        <w:t>.,</w:t>
      </w:r>
      <w:r w:rsidRPr="0094518D">
        <w:t xml:space="preserve"> </w:t>
      </w:r>
      <w:proofErr w:type="spellStart"/>
      <w:r w:rsidRPr="0094518D">
        <w:t>Hasan</w:t>
      </w:r>
      <w:proofErr w:type="spellEnd"/>
      <w:r w:rsidRPr="0094518D">
        <w:rPr>
          <w:lang w:eastAsia="zh-TW"/>
        </w:rPr>
        <w:t>, I.,</w:t>
      </w:r>
      <w:r w:rsidRPr="0094518D">
        <w:t xml:space="preserve"> 1998</w:t>
      </w:r>
      <w:r w:rsidRPr="0094518D">
        <w:rPr>
          <w:lang w:eastAsia="zh-TW"/>
        </w:rPr>
        <w:t xml:space="preserve">. </w:t>
      </w:r>
      <w:r w:rsidRPr="0094518D">
        <w:t xml:space="preserve">The performance of de novo commercial banks: a profit efficiency approach. </w:t>
      </w:r>
      <w:r w:rsidRPr="0094518D">
        <w:rPr>
          <w:i/>
          <w:iCs/>
        </w:rPr>
        <w:t>Journal of Banking and Finance</w:t>
      </w:r>
      <w:r w:rsidRPr="0094518D">
        <w:t xml:space="preserve"> 22, 565-587.</w:t>
      </w:r>
    </w:p>
    <w:p w:rsidR="008E3515" w:rsidRDefault="008E3515" w:rsidP="008E3515">
      <w:pPr>
        <w:widowControl/>
        <w:autoSpaceDE w:val="0"/>
        <w:autoSpaceDN w:val="0"/>
        <w:adjustRightInd w:val="0"/>
        <w:spacing w:line="240" w:lineRule="auto"/>
        <w:rPr>
          <w:rFonts w:ascii="Times New Roman" w:hAnsi="Times New Roman" w:cs="Times New Roman"/>
          <w:kern w:val="0"/>
          <w:szCs w:val="24"/>
        </w:rPr>
      </w:pPr>
      <w:r w:rsidRPr="005B6D61">
        <w:rPr>
          <w:rFonts w:ascii="Times New Roman" w:hAnsi="Times New Roman" w:cs="Times New Roman"/>
          <w:kern w:val="0"/>
          <w:szCs w:val="24"/>
        </w:rPr>
        <w:t>El-</w:t>
      </w:r>
      <w:proofErr w:type="spellStart"/>
      <w:r w:rsidRPr="005B6D61">
        <w:rPr>
          <w:rFonts w:ascii="Times New Roman" w:hAnsi="Times New Roman" w:cs="Times New Roman"/>
          <w:kern w:val="0"/>
          <w:szCs w:val="24"/>
        </w:rPr>
        <w:t>Gamal</w:t>
      </w:r>
      <w:proofErr w:type="spellEnd"/>
      <w:r w:rsidRPr="005B6D61">
        <w:rPr>
          <w:rFonts w:ascii="Times New Roman" w:hAnsi="Times New Roman" w:cs="Times New Roman"/>
          <w:kern w:val="0"/>
          <w:szCs w:val="24"/>
        </w:rPr>
        <w:t>, M.</w:t>
      </w:r>
      <w:proofErr w:type="gramStart"/>
      <w:r w:rsidRPr="005B6D61">
        <w:rPr>
          <w:rFonts w:ascii="Times New Roman" w:hAnsi="Times New Roman" w:cs="Times New Roman"/>
          <w:kern w:val="0"/>
          <w:szCs w:val="24"/>
        </w:rPr>
        <w:t xml:space="preserve">, </w:t>
      </w:r>
      <w:r>
        <w:rPr>
          <w:rFonts w:ascii="Times New Roman" w:hAnsi="Times New Roman" w:cs="Times New Roman"/>
          <w:kern w:val="0"/>
          <w:szCs w:val="24"/>
        </w:rPr>
        <w:t xml:space="preserve"> &amp;</w:t>
      </w:r>
      <w:proofErr w:type="gramEnd"/>
      <w:r>
        <w:rPr>
          <w:rFonts w:ascii="Times New Roman" w:hAnsi="Times New Roman" w:cs="Times New Roman"/>
          <w:kern w:val="0"/>
          <w:szCs w:val="24"/>
        </w:rPr>
        <w:t xml:space="preserve"> </w:t>
      </w:r>
      <w:proofErr w:type="spellStart"/>
      <w:r>
        <w:rPr>
          <w:rFonts w:ascii="Times New Roman" w:hAnsi="Times New Roman" w:cs="Times New Roman"/>
          <w:kern w:val="0"/>
          <w:szCs w:val="24"/>
        </w:rPr>
        <w:t>Inanoglu</w:t>
      </w:r>
      <w:proofErr w:type="spellEnd"/>
      <w:r>
        <w:rPr>
          <w:rFonts w:ascii="Times New Roman" w:hAnsi="Times New Roman" w:cs="Times New Roman"/>
          <w:kern w:val="0"/>
          <w:szCs w:val="24"/>
        </w:rPr>
        <w:t xml:space="preserve">, H. , </w:t>
      </w:r>
      <w:r w:rsidRPr="005B6D61">
        <w:rPr>
          <w:rFonts w:ascii="Times New Roman" w:hAnsi="Times New Roman" w:cs="Times New Roman"/>
          <w:kern w:val="0"/>
          <w:szCs w:val="24"/>
        </w:rPr>
        <w:t>2005</w:t>
      </w:r>
      <w:r>
        <w:rPr>
          <w:rFonts w:ascii="Times New Roman" w:hAnsi="Times New Roman" w:cs="Times New Roman"/>
          <w:kern w:val="0"/>
          <w:szCs w:val="24"/>
        </w:rPr>
        <w:t>.  Inefficiency</w:t>
      </w:r>
      <w:r w:rsidRPr="005B6D61">
        <w:rPr>
          <w:rFonts w:ascii="Times New Roman" w:hAnsi="Times New Roman" w:cs="Times New Roman"/>
          <w:kern w:val="0"/>
          <w:szCs w:val="24"/>
        </w:rPr>
        <w:t xml:space="preserve"> and heterogeneity</w:t>
      </w:r>
      <w:r>
        <w:rPr>
          <w:rFonts w:ascii="Times New Roman" w:hAnsi="Times New Roman" w:cs="Times New Roman"/>
          <w:kern w:val="0"/>
          <w:szCs w:val="24"/>
        </w:rPr>
        <w:t xml:space="preserve"> </w:t>
      </w:r>
      <w:r w:rsidRPr="005B6D61">
        <w:rPr>
          <w:rFonts w:ascii="Times New Roman" w:hAnsi="Times New Roman" w:cs="Times New Roman"/>
          <w:kern w:val="0"/>
          <w:szCs w:val="24"/>
        </w:rPr>
        <w:t xml:space="preserve">in Turkish banking </w:t>
      </w:r>
    </w:p>
    <w:p w:rsidR="008E3515" w:rsidRPr="005B6D61" w:rsidRDefault="008E3515" w:rsidP="008E3515">
      <w:pPr>
        <w:widowControl/>
        <w:autoSpaceDE w:val="0"/>
        <w:autoSpaceDN w:val="0"/>
        <w:adjustRightInd w:val="0"/>
        <w:spacing w:line="240" w:lineRule="auto"/>
        <w:rPr>
          <w:rFonts w:ascii="Times New Roman" w:hAnsi="Times New Roman" w:cs="Times New Roman"/>
          <w:kern w:val="0"/>
          <w:szCs w:val="24"/>
        </w:rPr>
      </w:pPr>
      <w:r>
        <w:rPr>
          <w:rFonts w:ascii="Times New Roman" w:hAnsi="Times New Roman" w:cs="Times New Roman"/>
          <w:kern w:val="0"/>
          <w:szCs w:val="24"/>
        </w:rPr>
        <w:t xml:space="preserve">       </w:t>
      </w:r>
      <w:r w:rsidRPr="005B6D61">
        <w:rPr>
          <w:rFonts w:ascii="Times New Roman" w:hAnsi="Times New Roman" w:cs="Times New Roman"/>
          <w:kern w:val="0"/>
          <w:szCs w:val="24"/>
        </w:rPr>
        <w:t xml:space="preserve">1990-2000. </w:t>
      </w:r>
      <w:r w:rsidRPr="004B5071">
        <w:rPr>
          <w:rFonts w:ascii="Times New Roman" w:hAnsi="Times New Roman" w:cs="Times New Roman"/>
          <w:i/>
          <w:kern w:val="0"/>
          <w:szCs w:val="24"/>
        </w:rPr>
        <w:t>Journal of Applied Econometrics</w:t>
      </w:r>
      <w:r w:rsidRPr="005B6D61">
        <w:rPr>
          <w:rFonts w:ascii="Times New Roman" w:hAnsi="Times New Roman" w:cs="Times New Roman"/>
          <w:kern w:val="0"/>
          <w:szCs w:val="24"/>
        </w:rPr>
        <w:t xml:space="preserve"> 20</w:t>
      </w:r>
      <w:r>
        <w:rPr>
          <w:rFonts w:ascii="Times New Roman" w:hAnsi="Times New Roman" w:cs="Times New Roman"/>
          <w:kern w:val="0"/>
          <w:szCs w:val="24"/>
        </w:rPr>
        <w:t xml:space="preserve">, </w:t>
      </w:r>
      <w:r w:rsidRPr="005B6D61">
        <w:rPr>
          <w:rFonts w:ascii="Times New Roman" w:hAnsi="Times New Roman" w:cs="Times New Roman"/>
          <w:kern w:val="0"/>
          <w:szCs w:val="24"/>
        </w:rPr>
        <w:t>641-664</w:t>
      </w:r>
      <w:r>
        <w:rPr>
          <w:rFonts w:ascii="Times New Roman" w:hAnsi="Times New Roman" w:cs="Times New Roman"/>
          <w:kern w:val="0"/>
          <w:szCs w:val="24"/>
        </w:rPr>
        <w:t>.</w:t>
      </w:r>
    </w:p>
    <w:p w:rsidR="008E3515" w:rsidRPr="0094518D" w:rsidRDefault="008E3515" w:rsidP="008E3515">
      <w:pPr>
        <w:pStyle w:val="NoSpacing"/>
        <w:ind w:left="720" w:hanging="720"/>
      </w:pPr>
      <w:proofErr w:type="gramStart"/>
      <w:r w:rsidRPr="0094518D">
        <w:t>Ferrier, G. D. and Lovell, C.A.K.</w:t>
      </w:r>
      <w:r w:rsidRPr="0094518D">
        <w:rPr>
          <w:lang w:eastAsia="zh-TW"/>
        </w:rPr>
        <w:t xml:space="preserve">, </w:t>
      </w:r>
      <w:r w:rsidRPr="0094518D">
        <w:t>1990.</w:t>
      </w:r>
      <w:proofErr w:type="gramEnd"/>
      <w:r w:rsidRPr="0094518D">
        <w:t xml:space="preserve"> Measuring </w:t>
      </w:r>
      <w:r w:rsidRPr="0094518D">
        <w:rPr>
          <w:lang w:eastAsia="zh-TW"/>
        </w:rPr>
        <w:t>c</w:t>
      </w:r>
      <w:r w:rsidRPr="0094518D">
        <w:t xml:space="preserve">ost </w:t>
      </w:r>
      <w:r w:rsidRPr="0094518D">
        <w:rPr>
          <w:lang w:eastAsia="zh-TW"/>
        </w:rPr>
        <w:t>e</w:t>
      </w:r>
      <w:r w:rsidRPr="0094518D">
        <w:t xml:space="preserve">fficiency in </w:t>
      </w:r>
      <w:r w:rsidRPr="0094518D">
        <w:rPr>
          <w:lang w:eastAsia="zh-TW"/>
        </w:rPr>
        <w:t>b</w:t>
      </w:r>
      <w:r w:rsidRPr="0094518D">
        <w:t xml:space="preserve">anking: econometric and linear programming evidence. </w:t>
      </w:r>
      <w:r w:rsidRPr="0094518D">
        <w:rPr>
          <w:i/>
          <w:iCs/>
        </w:rPr>
        <w:t>Journal of Econometrics</w:t>
      </w:r>
      <w:r w:rsidRPr="0094518D">
        <w:t xml:space="preserve"> 46, 229-245.</w:t>
      </w:r>
    </w:p>
    <w:p w:rsidR="008E3515" w:rsidRDefault="008E3515" w:rsidP="008E3515">
      <w:pPr>
        <w:pStyle w:val="NoSpacing"/>
        <w:ind w:left="720" w:hanging="720"/>
      </w:pPr>
      <w:r w:rsidRPr="0094518D">
        <w:t xml:space="preserve">Greene, W. H., 1993. </w:t>
      </w:r>
      <w:r w:rsidRPr="0094518D">
        <w:rPr>
          <w:i/>
          <w:iCs/>
        </w:rPr>
        <w:t>Econometric Analysis</w:t>
      </w:r>
      <w:r w:rsidRPr="0094518D">
        <w:t>, 2</w:t>
      </w:r>
      <w:r w:rsidRPr="0094518D">
        <w:rPr>
          <w:vertAlign w:val="superscript"/>
        </w:rPr>
        <w:t>nd</w:t>
      </w:r>
      <w:r w:rsidRPr="0094518D">
        <w:t xml:space="preserve"> Edition. New York, N. Y.: Macmillan Publishing Company.</w:t>
      </w:r>
    </w:p>
    <w:p w:rsidR="008E3515" w:rsidRDefault="008E3515" w:rsidP="008E3515">
      <w:pPr>
        <w:pStyle w:val="NoSpacing"/>
        <w:ind w:left="720" w:hanging="720"/>
      </w:pPr>
      <w:proofErr w:type="spellStart"/>
      <w:proofErr w:type="gramStart"/>
      <w:r>
        <w:t>Grigorian</w:t>
      </w:r>
      <w:proofErr w:type="spellEnd"/>
      <w:r>
        <w:t xml:space="preserve">, D. and </w:t>
      </w:r>
      <w:proofErr w:type="spellStart"/>
      <w:r>
        <w:t>Manole</w:t>
      </w:r>
      <w:proofErr w:type="spellEnd"/>
      <w:r>
        <w:t>, V., 2005.</w:t>
      </w:r>
      <w:proofErr w:type="gramEnd"/>
      <w:r>
        <w:t xml:space="preserve">  A Cross-Country Nonparametric Analysis of Bahrain’s Banking System, IMF Working paper, WP/05/107.</w:t>
      </w:r>
    </w:p>
    <w:p w:rsidR="008E3515" w:rsidRPr="0094518D" w:rsidRDefault="008E3515" w:rsidP="008E3515">
      <w:pPr>
        <w:pStyle w:val="NoSpacing"/>
        <w:ind w:left="720" w:hanging="720"/>
      </w:pPr>
      <w:proofErr w:type="spellStart"/>
      <w:r>
        <w:t>Hasan</w:t>
      </w:r>
      <w:proofErr w:type="spellEnd"/>
      <w:r>
        <w:t xml:space="preserve">, I., and </w:t>
      </w:r>
      <w:proofErr w:type="spellStart"/>
      <w:r>
        <w:t>Marton</w:t>
      </w:r>
      <w:proofErr w:type="spellEnd"/>
      <w:r>
        <w:t xml:space="preserve">, K., 2003. Development and efficiency of banking sector in a transitional economy: Hungarian banking experience. </w:t>
      </w:r>
      <w:proofErr w:type="gramStart"/>
      <w:r w:rsidRPr="0094518D">
        <w:rPr>
          <w:i/>
          <w:iCs/>
        </w:rPr>
        <w:t>Journal of Banking and Finance</w:t>
      </w:r>
      <w:r>
        <w:t xml:space="preserve"> 27, 2249- 2271.</w:t>
      </w:r>
      <w:proofErr w:type="gramEnd"/>
    </w:p>
    <w:p w:rsidR="008E3515" w:rsidRPr="0094518D" w:rsidRDefault="008E3515" w:rsidP="008E3515">
      <w:pPr>
        <w:pStyle w:val="NoSpacing"/>
        <w:ind w:left="720" w:hanging="720"/>
      </w:pPr>
      <w:proofErr w:type="spellStart"/>
      <w:r w:rsidRPr="0094518D">
        <w:t>Havrylchyk</w:t>
      </w:r>
      <w:proofErr w:type="spellEnd"/>
      <w:r w:rsidRPr="0094518D">
        <w:t>, O</w:t>
      </w:r>
      <w:proofErr w:type="gramStart"/>
      <w:r w:rsidRPr="0094518D">
        <w:t>. ,</w:t>
      </w:r>
      <w:proofErr w:type="gramEnd"/>
      <w:r w:rsidRPr="0094518D">
        <w:t xml:space="preserve"> 2006.  Efficiency of the Polish banking industry: foreign versus domestic banks. </w:t>
      </w:r>
      <w:r w:rsidRPr="0094518D">
        <w:rPr>
          <w:i/>
          <w:iCs/>
        </w:rPr>
        <w:t>Journal of Banking and Finance</w:t>
      </w:r>
      <w:r w:rsidRPr="0094518D">
        <w:t xml:space="preserve"> 30 (7), 975-1996.</w:t>
      </w:r>
    </w:p>
    <w:p w:rsidR="008E3515" w:rsidRPr="0094518D" w:rsidRDefault="008E3515" w:rsidP="008E3515">
      <w:pPr>
        <w:pStyle w:val="NoSpacing"/>
        <w:ind w:left="720" w:hanging="720"/>
      </w:pPr>
      <w:r w:rsidRPr="0094518D">
        <w:t>Huang, C. J.</w:t>
      </w:r>
      <w:r w:rsidRPr="0094518D">
        <w:rPr>
          <w:lang w:eastAsia="zh-TW"/>
        </w:rPr>
        <w:t>,</w:t>
      </w:r>
      <w:r w:rsidRPr="0094518D">
        <w:t xml:space="preserve"> Liu</w:t>
      </w:r>
      <w:r w:rsidRPr="0094518D">
        <w:rPr>
          <w:lang w:eastAsia="zh-TW"/>
        </w:rPr>
        <w:t>, J.T.,</w:t>
      </w:r>
      <w:r w:rsidRPr="0094518D">
        <w:t xml:space="preserve"> 1994</w:t>
      </w:r>
      <w:r w:rsidRPr="0094518D">
        <w:rPr>
          <w:lang w:eastAsia="zh-TW"/>
        </w:rPr>
        <w:t xml:space="preserve">.  </w:t>
      </w:r>
      <w:proofErr w:type="gramStart"/>
      <w:r w:rsidRPr="0094518D">
        <w:t>Estimation of a non-neutral stochastic production function</w:t>
      </w:r>
      <w:r w:rsidRPr="0094518D">
        <w:rPr>
          <w:lang w:eastAsia="zh-TW"/>
        </w:rPr>
        <w:t>.</w:t>
      </w:r>
      <w:proofErr w:type="gramEnd"/>
      <w:r w:rsidRPr="0094518D">
        <w:t xml:space="preserve"> </w:t>
      </w:r>
      <w:r w:rsidRPr="0094518D">
        <w:rPr>
          <w:i/>
          <w:iCs/>
        </w:rPr>
        <w:t xml:space="preserve">Journal of Productivity Analysis </w:t>
      </w:r>
      <w:r w:rsidRPr="0094518D">
        <w:t>5, 171-180.</w:t>
      </w:r>
    </w:p>
    <w:p w:rsidR="008E3515" w:rsidRPr="0094518D" w:rsidRDefault="008E3515" w:rsidP="008E3515">
      <w:pPr>
        <w:spacing w:line="240" w:lineRule="auto"/>
        <w:ind w:left="720" w:hanging="720"/>
        <w:rPr>
          <w:rFonts w:ascii="Times New Roman" w:hAnsi="Times New Roman" w:cs="Times New Roman"/>
        </w:rPr>
      </w:pPr>
      <w:proofErr w:type="gramStart"/>
      <w:r w:rsidRPr="0094518D">
        <w:rPr>
          <w:rFonts w:ascii="Times New Roman" w:hAnsi="Times New Roman" w:cs="Times New Roman"/>
        </w:rPr>
        <w:t>Huang, T., 2000.</w:t>
      </w:r>
      <w:proofErr w:type="gramEnd"/>
      <w:r w:rsidRPr="0094518D">
        <w:rPr>
          <w:rFonts w:ascii="Times New Roman" w:hAnsi="Times New Roman" w:cs="Times New Roman"/>
        </w:rPr>
        <w:t xml:space="preserve"> Estimating X-Efficiency in Taiwanese banking using a translog shadow profit function. </w:t>
      </w:r>
      <w:r w:rsidRPr="0094518D">
        <w:rPr>
          <w:rFonts w:ascii="Times New Roman" w:hAnsi="Times New Roman" w:cs="Times New Roman"/>
          <w:i/>
        </w:rPr>
        <w:t>Journal of Productivity Analysis</w:t>
      </w:r>
      <w:r w:rsidRPr="0094518D">
        <w:rPr>
          <w:rFonts w:ascii="Times New Roman" w:hAnsi="Times New Roman" w:cs="Times New Roman"/>
        </w:rPr>
        <w:t xml:space="preserve"> 14(3), 225-245. </w:t>
      </w:r>
    </w:p>
    <w:p w:rsidR="008E3515" w:rsidRPr="0094518D" w:rsidRDefault="008E3515" w:rsidP="008E3515">
      <w:pPr>
        <w:spacing w:line="240" w:lineRule="auto"/>
        <w:rPr>
          <w:rFonts w:ascii="Times New Roman" w:hAnsi="Times New Roman" w:cs="Times New Roman"/>
        </w:rPr>
      </w:pPr>
      <w:r w:rsidRPr="0094518D">
        <w:rPr>
          <w:rFonts w:ascii="Times New Roman" w:hAnsi="Times New Roman" w:cs="Times New Roman"/>
        </w:rPr>
        <w:t xml:space="preserve">Hughes, J.P. &amp; </w:t>
      </w:r>
      <w:proofErr w:type="spellStart"/>
      <w:r w:rsidRPr="0094518D">
        <w:rPr>
          <w:rFonts w:ascii="Times New Roman" w:hAnsi="Times New Roman" w:cs="Times New Roman"/>
        </w:rPr>
        <w:t>Mester</w:t>
      </w:r>
      <w:proofErr w:type="spellEnd"/>
      <w:r w:rsidRPr="0094518D">
        <w:rPr>
          <w:rFonts w:ascii="Times New Roman" w:hAnsi="Times New Roman" w:cs="Times New Roman"/>
        </w:rPr>
        <w:t xml:space="preserve">, L. J., 2008. "Efficiency in banking: theory, practice, and </w:t>
      </w:r>
    </w:p>
    <w:p w:rsidR="008E3515" w:rsidRPr="0094518D" w:rsidRDefault="008E3515" w:rsidP="008E3515">
      <w:pPr>
        <w:spacing w:line="240" w:lineRule="auto"/>
        <w:rPr>
          <w:rFonts w:ascii="Times New Roman" w:hAnsi="Times New Roman" w:cs="Times New Roman"/>
        </w:rPr>
      </w:pPr>
      <w:r>
        <w:rPr>
          <w:rFonts w:ascii="Times New Roman" w:hAnsi="Times New Roman" w:cs="Times New Roman"/>
        </w:rPr>
        <w:t xml:space="preserve">       </w:t>
      </w:r>
      <w:proofErr w:type="gramStart"/>
      <w:r w:rsidRPr="0094518D">
        <w:rPr>
          <w:rFonts w:ascii="Times New Roman" w:hAnsi="Times New Roman" w:cs="Times New Roman"/>
        </w:rPr>
        <w:t>evidence</w:t>
      </w:r>
      <w:proofErr w:type="gramEnd"/>
      <w:r w:rsidRPr="0094518D">
        <w:rPr>
          <w:rFonts w:ascii="Times New Roman" w:hAnsi="Times New Roman" w:cs="Times New Roman"/>
        </w:rPr>
        <w:t>," Working Papers 08-1, Federal Reserve Bank of Philadelphia.</w:t>
      </w:r>
    </w:p>
    <w:p w:rsidR="008E3515" w:rsidRPr="00B31D0E" w:rsidRDefault="008E3515" w:rsidP="008E3515">
      <w:pPr>
        <w:pStyle w:val="NoSpacing"/>
        <w:ind w:left="720" w:hanging="720"/>
      </w:pPr>
      <w:proofErr w:type="spellStart"/>
      <w:r w:rsidRPr="00B31D0E">
        <w:t>Jondrow</w:t>
      </w:r>
      <w:proofErr w:type="spellEnd"/>
      <w:r w:rsidRPr="00B31D0E">
        <w:t xml:space="preserve">, J., Lovell, C.A.K., </w:t>
      </w:r>
      <w:proofErr w:type="spellStart"/>
      <w:r w:rsidRPr="00B31D0E">
        <w:t>Materov</w:t>
      </w:r>
      <w:proofErr w:type="spellEnd"/>
      <w:r w:rsidRPr="00B31D0E">
        <w:t xml:space="preserve">, I.S., Schmidt, P., 1982. On the estimation of technical inefficiency in the stochastic frontier production </w:t>
      </w:r>
      <w:proofErr w:type="gramStart"/>
      <w:r w:rsidRPr="00B31D0E">
        <w:t>function</w:t>
      </w:r>
      <w:proofErr w:type="gramEnd"/>
      <w:r w:rsidRPr="00B31D0E">
        <w:t xml:space="preserve"> model. </w:t>
      </w:r>
      <w:r w:rsidRPr="00B31D0E">
        <w:rPr>
          <w:i/>
        </w:rPr>
        <w:t>Journal of Econometrics</w:t>
      </w:r>
      <w:r w:rsidRPr="00B31D0E">
        <w:t xml:space="preserve"> 19, 233-238.</w:t>
      </w:r>
    </w:p>
    <w:p w:rsidR="008E3515" w:rsidRPr="0094518D" w:rsidRDefault="008E3515" w:rsidP="008E3515">
      <w:pPr>
        <w:pStyle w:val="NoSpacing"/>
        <w:ind w:left="720" w:hanging="720"/>
      </w:pPr>
      <w:proofErr w:type="spellStart"/>
      <w:r w:rsidRPr="0094518D">
        <w:t>Kumbhakar</w:t>
      </w:r>
      <w:proofErr w:type="spellEnd"/>
      <w:r w:rsidRPr="0094518D">
        <w:t>, S. C</w:t>
      </w:r>
      <w:r w:rsidRPr="0094518D">
        <w:rPr>
          <w:lang w:eastAsia="zh-TW"/>
        </w:rPr>
        <w:t>.</w:t>
      </w:r>
      <w:proofErr w:type="gramStart"/>
      <w:r w:rsidRPr="0094518D">
        <w:rPr>
          <w:lang w:eastAsia="zh-TW"/>
        </w:rPr>
        <w:t>,1993</w:t>
      </w:r>
      <w:proofErr w:type="gramEnd"/>
      <w:r w:rsidRPr="0094518D">
        <w:rPr>
          <w:lang w:eastAsia="zh-TW"/>
        </w:rPr>
        <w:t xml:space="preserve">. </w:t>
      </w:r>
      <w:proofErr w:type="gramStart"/>
      <w:r w:rsidRPr="0094518D">
        <w:rPr>
          <w:lang w:eastAsia="zh-TW"/>
        </w:rPr>
        <w:t>Production risk, technical efficiency and panel data.</w:t>
      </w:r>
      <w:proofErr w:type="gramEnd"/>
      <w:r w:rsidRPr="0094518D">
        <w:rPr>
          <w:lang w:eastAsia="zh-TW"/>
        </w:rPr>
        <w:t xml:space="preserve"> </w:t>
      </w:r>
      <w:r w:rsidRPr="0094518D">
        <w:rPr>
          <w:i/>
          <w:lang w:eastAsia="zh-TW"/>
        </w:rPr>
        <w:t>Economics Letters</w:t>
      </w:r>
      <w:r w:rsidRPr="0094518D">
        <w:rPr>
          <w:lang w:eastAsia="zh-TW"/>
        </w:rPr>
        <w:t xml:space="preserve"> 41, 11-26.</w:t>
      </w:r>
    </w:p>
    <w:p w:rsidR="008E3515" w:rsidRPr="0094518D" w:rsidRDefault="008E3515" w:rsidP="008E3515">
      <w:pPr>
        <w:pStyle w:val="NoSpacing"/>
        <w:ind w:left="720" w:hanging="720"/>
      </w:pPr>
      <w:proofErr w:type="spellStart"/>
      <w:r w:rsidRPr="0094518D">
        <w:t>Kumbhakar</w:t>
      </w:r>
      <w:proofErr w:type="spellEnd"/>
      <w:r w:rsidRPr="0094518D">
        <w:t>, S. C</w:t>
      </w:r>
      <w:r w:rsidRPr="0094518D">
        <w:rPr>
          <w:lang w:eastAsia="zh-TW"/>
        </w:rPr>
        <w:t>.,</w:t>
      </w:r>
      <w:r w:rsidRPr="0094518D">
        <w:t xml:space="preserve"> </w:t>
      </w:r>
      <w:proofErr w:type="spellStart"/>
      <w:r w:rsidRPr="0094518D">
        <w:t>Hjalmarsson</w:t>
      </w:r>
      <w:proofErr w:type="spellEnd"/>
      <w:r w:rsidRPr="0094518D">
        <w:rPr>
          <w:lang w:eastAsia="zh-TW"/>
        </w:rPr>
        <w:t>, L.,</w:t>
      </w:r>
      <w:r w:rsidRPr="0094518D">
        <w:t xml:space="preserve"> 1995</w:t>
      </w:r>
      <w:r w:rsidRPr="0094518D">
        <w:rPr>
          <w:lang w:eastAsia="zh-TW"/>
        </w:rPr>
        <w:t>.</w:t>
      </w:r>
      <w:r w:rsidRPr="0094518D">
        <w:t xml:space="preserve"> </w:t>
      </w:r>
      <w:proofErr w:type="spellStart"/>
      <w:proofErr w:type="gramStart"/>
      <w:r w:rsidRPr="0094518D">
        <w:t>Labour</w:t>
      </w:r>
      <w:proofErr w:type="spellEnd"/>
      <w:r w:rsidRPr="0094518D">
        <w:t>-</w:t>
      </w:r>
      <w:r w:rsidRPr="0094518D">
        <w:rPr>
          <w:lang w:eastAsia="zh-TW"/>
        </w:rPr>
        <w:t>u</w:t>
      </w:r>
      <w:r w:rsidRPr="0094518D">
        <w:t xml:space="preserve">se </w:t>
      </w:r>
      <w:r w:rsidRPr="0094518D">
        <w:rPr>
          <w:lang w:eastAsia="zh-TW"/>
        </w:rPr>
        <w:t>e</w:t>
      </w:r>
      <w:r w:rsidRPr="0094518D">
        <w:t>fficiency in Swedish social insurance offices</w:t>
      </w:r>
      <w:r w:rsidRPr="0094518D">
        <w:rPr>
          <w:lang w:eastAsia="zh-TW"/>
        </w:rPr>
        <w:t>.</w:t>
      </w:r>
      <w:proofErr w:type="gramEnd"/>
      <w:r w:rsidRPr="0094518D">
        <w:t xml:space="preserve">  </w:t>
      </w:r>
      <w:r w:rsidRPr="0094518D">
        <w:rPr>
          <w:i/>
        </w:rPr>
        <w:t>Journal of Applied Econometrics</w:t>
      </w:r>
      <w:r w:rsidRPr="0094518D">
        <w:t xml:space="preserve"> 10(1), 33-47.</w:t>
      </w:r>
    </w:p>
    <w:p w:rsidR="008E3515" w:rsidRPr="0094518D" w:rsidRDefault="008E3515" w:rsidP="008E3515">
      <w:pPr>
        <w:pStyle w:val="NoSpacing"/>
        <w:ind w:left="720" w:hanging="720"/>
      </w:pPr>
      <w:r w:rsidRPr="0094518D">
        <w:t>Lang, G.</w:t>
      </w:r>
      <w:r w:rsidRPr="0094518D">
        <w:rPr>
          <w:lang w:eastAsia="zh-TW"/>
        </w:rPr>
        <w:t>,</w:t>
      </w:r>
      <w:r w:rsidRPr="0094518D">
        <w:t xml:space="preserve"> </w:t>
      </w:r>
      <w:proofErr w:type="spellStart"/>
      <w:r w:rsidRPr="0094518D">
        <w:t>Welzel</w:t>
      </w:r>
      <w:proofErr w:type="spellEnd"/>
      <w:r w:rsidRPr="0094518D">
        <w:rPr>
          <w:lang w:eastAsia="zh-TW"/>
        </w:rPr>
        <w:t>,</w:t>
      </w:r>
      <w:r w:rsidRPr="0094518D">
        <w:t xml:space="preserve"> </w:t>
      </w:r>
      <w:proofErr w:type="gramStart"/>
      <w:r w:rsidRPr="0094518D">
        <w:t>P..</w:t>
      </w:r>
      <w:proofErr w:type="gramEnd"/>
      <w:r w:rsidRPr="0094518D">
        <w:t xml:space="preserve"> 1996</w:t>
      </w:r>
      <w:r w:rsidRPr="0094518D">
        <w:rPr>
          <w:lang w:eastAsia="zh-TW"/>
        </w:rPr>
        <w:t>.</w:t>
      </w:r>
      <w:r w:rsidRPr="0094518D">
        <w:t xml:space="preserve"> Efficiency and </w:t>
      </w:r>
      <w:r w:rsidRPr="0094518D">
        <w:rPr>
          <w:lang w:eastAsia="zh-TW"/>
        </w:rPr>
        <w:t>t</w:t>
      </w:r>
      <w:r w:rsidRPr="0094518D">
        <w:t xml:space="preserve">echnical </w:t>
      </w:r>
      <w:r w:rsidRPr="0094518D">
        <w:rPr>
          <w:lang w:eastAsia="zh-TW"/>
        </w:rPr>
        <w:t>p</w:t>
      </w:r>
      <w:r w:rsidRPr="0094518D">
        <w:t xml:space="preserve">rogress in </w:t>
      </w:r>
      <w:r w:rsidRPr="0094518D">
        <w:rPr>
          <w:lang w:eastAsia="zh-TW"/>
        </w:rPr>
        <w:t>b</w:t>
      </w:r>
      <w:r w:rsidRPr="0094518D">
        <w:t xml:space="preserve">anking </w:t>
      </w:r>
      <w:r w:rsidRPr="0094518D">
        <w:rPr>
          <w:lang w:eastAsia="zh-TW"/>
        </w:rPr>
        <w:t>e</w:t>
      </w:r>
      <w:r w:rsidRPr="0094518D">
        <w:t xml:space="preserve">mpirical </w:t>
      </w:r>
      <w:r w:rsidRPr="0094518D">
        <w:rPr>
          <w:lang w:eastAsia="zh-TW"/>
        </w:rPr>
        <w:t>r</w:t>
      </w:r>
      <w:r w:rsidRPr="0094518D">
        <w:t xml:space="preserve">esults for a </w:t>
      </w:r>
      <w:r w:rsidRPr="0094518D">
        <w:rPr>
          <w:lang w:eastAsia="zh-TW"/>
        </w:rPr>
        <w:t>p</w:t>
      </w:r>
      <w:r w:rsidRPr="0094518D">
        <w:t xml:space="preserve">anel of German </w:t>
      </w:r>
      <w:r w:rsidRPr="0094518D">
        <w:rPr>
          <w:lang w:eastAsia="zh-TW"/>
        </w:rPr>
        <w:t>c</w:t>
      </w:r>
      <w:r w:rsidRPr="0094518D">
        <w:t xml:space="preserve">ooperative </w:t>
      </w:r>
      <w:r w:rsidRPr="0094518D">
        <w:rPr>
          <w:lang w:eastAsia="zh-TW"/>
        </w:rPr>
        <w:t>b</w:t>
      </w:r>
      <w:r w:rsidRPr="0094518D">
        <w:t>anks</w:t>
      </w:r>
      <w:r w:rsidRPr="0094518D">
        <w:rPr>
          <w:lang w:eastAsia="zh-TW"/>
        </w:rPr>
        <w:t>.</w:t>
      </w:r>
      <w:r w:rsidRPr="0094518D">
        <w:t xml:space="preserve"> </w:t>
      </w:r>
      <w:r w:rsidRPr="0094518D">
        <w:rPr>
          <w:i/>
          <w:iCs/>
        </w:rPr>
        <w:t>Journal of Banking and Finance</w:t>
      </w:r>
      <w:r w:rsidRPr="0094518D">
        <w:t>, 20, 1003-1023.</w:t>
      </w:r>
    </w:p>
    <w:p w:rsidR="008E3515" w:rsidRPr="0094518D" w:rsidRDefault="008E3515" w:rsidP="008E3515">
      <w:pPr>
        <w:pStyle w:val="NoSpacing"/>
        <w:ind w:left="720" w:hanging="720"/>
      </w:pPr>
      <w:proofErr w:type="spellStart"/>
      <w:r w:rsidRPr="0094518D">
        <w:lastRenderedPageBreak/>
        <w:t>LeCompte</w:t>
      </w:r>
      <w:proofErr w:type="spellEnd"/>
      <w:r w:rsidRPr="0094518D">
        <w:t>, R. L. B.</w:t>
      </w:r>
      <w:r w:rsidRPr="0094518D">
        <w:rPr>
          <w:lang w:eastAsia="zh-TW"/>
        </w:rPr>
        <w:t>,</w:t>
      </w:r>
      <w:r w:rsidRPr="0094518D">
        <w:t xml:space="preserve"> Smith</w:t>
      </w:r>
      <w:r w:rsidRPr="0094518D">
        <w:rPr>
          <w:lang w:eastAsia="zh-TW"/>
        </w:rPr>
        <w:t>, S.D.,</w:t>
      </w:r>
      <w:r w:rsidRPr="0094518D">
        <w:t xml:space="preserve"> 1990</w:t>
      </w:r>
      <w:r w:rsidRPr="0094518D">
        <w:rPr>
          <w:lang w:eastAsia="zh-TW"/>
        </w:rPr>
        <w:t>.</w:t>
      </w:r>
      <w:r w:rsidRPr="0094518D">
        <w:t xml:space="preserve"> Changes in the </w:t>
      </w:r>
      <w:r w:rsidRPr="0094518D">
        <w:rPr>
          <w:lang w:eastAsia="zh-TW"/>
        </w:rPr>
        <w:t>c</w:t>
      </w:r>
      <w:r w:rsidRPr="0094518D">
        <w:t xml:space="preserve">ost of </w:t>
      </w:r>
      <w:r w:rsidRPr="0094518D">
        <w:rPr>
          <w:lang w:eastAsia="zh-TW"/>
        </w:rPr>
        <w:t>i</w:t>
      </w:r>
      <w:r w:rsidRPr="0094518D">
        <w:t xml:space="preserve">ntermediation: The </w:t>
      </w:r>
      <w:r w:rsidRPr="0094518D">
        <w:rPr>
          <w:lang w:eastAsia="zh-TW"/>
        </w:rPr>
        <w:t>c</w:t>
      </w:r>
      <w:r w:rsidRPr="0094518D">
        <w:t xml:space="preserve">ase of </w:t>
      </w:r>
      <w:r w:rsidRPr="0094518D">
        <w:rPr>
          <w:lang w:eastAsia="zh-TW"/>
        </w:rPr>
        <w:t>s</w:t>
      </w:r>
      <w:r w:rsidRPr="0094518D">
        <w:t xml:space="preserve">avings and </w:t>
      </w:r>
      <w:r w:rsidRPr="0094518D">
        <w:rPr>
          <w:lang w:eastAsia="zh-TW"/>
        </w:rPr>
        <w:t>l</w:t>
      </w:r>
      <w:r w:rsidRPr="0094518D">
        <w:t>oans</w:t>
      </w:r>
      <w:r w:rsidRPr="0094518D">
        <w:rPr>
          <w:lang w:eastAsia="zh-TW"/>
        </w:rPr>
        <w:t>.</w:t>
      </w:r>
      <w:r w:rsidRPr="0094518D">
        <w:t xml:space="preserve"> </w:t>
      </w:r>
      <w:r w:rsidRPr="0094518D">
        <w:rPr>
          <w:i/>
          <w:iCs/>
        </w:rPr>
        <w:t>Journal of Finance</w:t>
      </w:r>
      <w:r w:rsidRPr="0094518D">
        <w:t>, 45, 1337-1346.</w:t>
      </w:r>
    </w:p>
    <w:p w:rsidR="008E3515" w:rsidRPr="0094518D" w:rsidRDefault="008E3515" w:rsidP="008E3515">
      <w:pPr>
        <w:pStyle w:val="NoSpacing"/>
        <w:ind w:left="720" w:hanging="720"/>
        <w:rPr>
          <w:lang w:eastAsia="zh-TW"/>
        </w:rPr>
      </w:pPr>
      <w:r w:rsidRPr="0094518D">
        <w:rPr>
          <w:lang w:eastAsia="zh-TW"/>
        </w:rPr>
        <w:t>Lieu, P.T.</w:t>
      </w:r>
      <w:proofErr w:type="gramStart"/>
      <w:r w:rsidRPr="0094518D">
        <w:rPr>
          <w:lang w:eastAsia="zh-TW"/>
        </w:rPr>
        <w:t xml:space="preserve">,  </w:t>
      </w:r>
      <w:proofErr w:type="spellStart"/>
      <w:r w:rsidRPr="0094518D">
        <w:rPr>
          <w:lang w:eastAsia="zh-TW"/>
        </w:rPr>
        <w:t>Yeh</w:t>
      </w:r>
      <w:proofErr w:type="spellEnd"/>
      <w:proofErr w:type="gramEnd"/>
      <w:r w:rsidRPr="0094518D">
        <w:rPr>
          <w:lang w:eastAsia="zh-TW"/>
        </w:rPr>
        <w:t xml:space="preserve">, T.-L.,  Chiu, Y.-H.. 2005. </w:t>
      </w:r>
      <w:r w:rsidRPr="0094518D">
        <w:t xml:space="preserve">Off-balance sheet activities and cost inefficiency in </w:t>
      </w:r>
      <w:r>
        <w:t>T</w:t>
      </w:r>
      <w:r w:rsidRPr="0094518D">
        <w:t xml:space="preserve">aiwan's </w:t>
      </w:r>
      <w:r w:rsidRPr="0094518D">
        <w:rPr>
          <w:rStyle w:val="Emphasis"/>
          <w:bCs/>
          <w:i w:val="0"/>
        </w:rPr>
        <w:t>Banks</w:t>
      </w:r>
      <w:r w:rsidRPr="0094518D">
        <w:rPr>
          <w:lang w:eastAsia="zh-TW"/>
        </w:rPr>
        <w:t>.</w:t>
      </w:r>
      <w:r w:rsidRPr="0094518D">
        <w:t xml:space="preserve"> </w:t>
      </w:r>
      <w:r w:rsidRPr="0094518D">
        <w:rPr>
          <w:i/>
        </w:rPr>
        <w:t>Service Industries Journal</w:t>
      </w:r>
      <w:r w:rsidRPr="0094518D">
        <w:rPr>
          <w:lang w:eastAsia="zh-TW"/>
        </w:rPr>
        <w:t xml:space="preserve"> </w:t>
      </w:r>
      <w:r w:rsidRPr="0094518D">
        <w:t>25</w:t>
      </w:r>
      <w:r w:rsidRPr="0094518D">
        <w:rPr>
          <w:lang w:eastAsia="zh-TW"/>
        </w:rPr>
        <w:t xml:space="preserve"> (</w:t>
      </w:r>
      <w:r w:rsidRPr="0094518D">
        <w:t>7</w:t>
      </w:r>
      <w:r w:rsidRPr="0094518D">
        <w:rPr>
          <w:lang w:eastAsia="zh-TW"/>
        </w:rPr>
        <w:t>)</w:t>
      </w:r>
      <w:r w:rsidRPr="0094518D">
        <w:t>, 925-944</w:t>
      </w:r>
      <w:r w:rsidRPr="0094518D">
        <w:rPr>
          <w:lang w:eastAsia="zh-TW"/>
        </w:rPr>
        <w:t>.</w:t>
      </w:r>
    </w:p>
    <w:p w:rsidR="008E3515" w:rsidRPr="0094518D" w:rsidRDefault="008E3515" w:rsidP="008E3515">
      <w:pPr>
        <w:pStyle w:val="NoSpacing"/>
        <w:ind w:left="720" w:hanging="720"/>
        <w:rPr>
          <w:lang w:eastAsia="zh-TW"/>
        </w:rPr>
      </w:pPr>
      <w:proofErr w:type="gramStart"/>
      <w:r w:rsidRPr="0094518D">
        <w:rPr>
          <w:lang w:eastAsia="zh-TW"/>
        </w:rPr>
        <w:t>Lin, X., Zhang, Y., 2009.</w:t>
      </w:r>
      <w:proofErr w:type="gramEnd"/>
      <w:r w:rsidRPr="0094518D">
        <w:rPr>
          <w:lang w:eastAsia="zh-TW"/>
        </w:rPr>
        <w:t xml:space="preserve"> </w:t>
      </w:r>
      <w:proofErr w:type="gramStart"/>
      <w:r w:rsidRPr="0094518D">
        <w:rPr>
          <w:lang w:eastAsia="zh-TW"/>
        </w:rPr>
        <w:t>Bank ownership reform and bank performance in China.</w:t>
      </w:r>
      <w:proofErr w:type="gramEnd"/>
      <w:r w:rsidRPr="0094518D">
        <w:rPr>
          <w:lang w:eastAsia="zh-TW"/>
        </w:rPr>
        <w:t xml:space="preserve"> </w:t>
      </w:r>
      <w:r w:rsidRPr="0094518D">
        <w:rPr>
          <w:i/>
          <w:lang w:eastAsia="zh-TW"/>
        </w:rPr>
        <w:t>Journal of Banking and Finance</w:t>
      </w:r>
      <w:r w:rsidRPr="0094518D">
        <w:rPr>
          <w:lang w:eastAsia="zh-TW"/>
        </w:rPr>
        <w:t xml:space="preserve">, 33(1), 20-29. </w:t>
      </w:r>
    </w:p>
    <w:p w:rsidR="008E3515" w:rsidRPr="0094518D" w:rsidRDefault="008E3515" w:rsidP="008E3515">
      <w:pPr>
        <w:pStyle w:val="NoSpacing"/>
        <w:ind w:left="720" w:hanging="720"/>
        <w:rPr>
          <w:rFonts w:eastAsia="SimSun"/>
          <w:lang w:eastAsia="zh-CN"/>
        </w:rPr>
      </w:pPr>
      <w:r w:rsidRPr="0094518D">
        <w:rPr>
          <w:rFonts w:eastAsia="SimSun"/>
          <w:lang w:eastAsia="zh-CN"/>
        </w:rPr>
        <w:t> </w:t>
      </w:r>
      <w:proofErr w:type="spellStart"/>
      <w:proofErr w:type="gramStart"/>
      <w:r w:rsidRPr="0094518D">
        <w:rPr>
          <w:rFonts w:eastAsia="SimSun"/>
          <w:bCs/>
          <w:lang w:eastAsia="zh-CN"/>
        </w:rPr>
        <w:t>Meeusen</w:t>
      </w:r>
      <w:proofErr w:type="spellEnd"/>
      <w:r w:rsidRPr="0094518D">
        <w:rPr>
          <w:rFonts w:eastAsia="SimSun"/>
          <w:lang w:eastAsia="zh-CN"/>
        </w:rPr>
        <w:t>, W.,</w:t>
      </w:r>
      <w:r w:rsidRPr="0094518D">
        <w:rPr>
          <w:rFonts w:eastAsia="SimSun"/>
          <w:bCs/>
          <w:lang w:eastAsia="zh-CN"/>
        </w:rPr>
        <w:t xml:space="preserve"> Van Den </w:t>
      </w:r>
      <w:proofErr w:type="spellStart"/>
      <w:r w:rsidRPr="0094518D">
        <w:rPr>
          <w:rFonts w:eastAsia="SimSun"/>
          <w:bCs/>
          <w:lang w:eastAsia="zh-CN"/>
        </w:rPr>
        <w:t>Broeck</w:t>
      </w:r>
      <w:proofErr w:type="spellEnd"/>
      <w:r w:rsidRPr="0094518D">
        <w:rPr>
          <w:rFonts w:eastAsia="SimSun"/>
          <w:bCs/>
          <w:lang w:eastAsia="zh-CN"/>
        </w:rPr>
        <w:t>,</w:t>
      </w:r>
      <w:r w:rsidRPr="0094518D">
        <w:rPr>
          <w:rFonts w:eastAsia="SimSun"/>
          <w:lang w:eastAsia="zh-CN"/>
        </w:rPr>
        <w:t xml:space="preserve"> J., </w:t>
      </w:r>
      <w:r w:rsidRPr="0094518D">
        <w:rPr>
          <w:rFonts w:eastAsia="SimSun"/>
          <w:bCs/>
          <w:lang w:eastAsia="zh-CN"/>
        </w:rPr>
        <w:t>1977.</w:t>
      </w:r>
      <w:proofErr w:type="gramEnd"/>
      <w:r w:rsidRPr="0094518D">
        <w:rPr>
          <w:rFonts w:eastAsia="SimSun"/>
          <w:bCs/>
          <w:lang w:eastAsia="zh-CN"/>
        </w:rPr>
        <w:t xml:space="preserve"> </w:t>
      </w:r>
      <w:r w:rsidRPr="0094518D">
        <w:rPr>
          <w:rFonts w:eastAsia="SimSun"/>
          <w:lang w:eastAsia="zh-CN"/>
        </w:rPr>
        <w:t xml:space="preserve">Efficiency estimation from Cobb-Douglas production functions with composed error. </w:t>
      </w:r>
      <w:r w:rsidRPr="0094518D">
        <w:rPr>
          <w:rFonts w:eastAsia="SimSun"/>
          <w:i/>
          <w:lang w:eastAsia="zh-CN"/>
        </w:rPr>
        <w:t>International Economic</w:t>
      </w:r>
      <w:r w:rsidRPr="0094518D">
        <w:rPr>
          <w:rFonts w:eastAsia="SimSun"/>
          <w:lang w:eastAsia="zh-CN"/>
        </w:rPr>
        <w:t xml:space="preserve"> </w:t>
      </w:r>
      <w:r w:rsidRPr="0094518D">
        <w:rPr>
          <w:rFonts w:eastAsia="SimSun"/>
          <w:i/>
          <w:lang w:eastAsia="zh-CN"/>
        </w:rPr>
        <w:t>Review</w:t>
      </w:r>
      <w:r w:rsidRPr="0094518D">
        <w:rPr>
          <w:rFonts w:eastAsia="SimSun"/>
          <w:lang w:eastAsia="zh-CN"/>
        </w:rPr>
        <w:t xml:space="preserve"> 18(2), 435-444</w:t>
      </w:r>
    </w:p>
    <w:p w:rsidR="008E3515" w:rsidRPr="0094518D" w:rsidRDefault="008E3515" w:rsidP="008E3515">
      <w:pPr>
        <w:pStyle w:val="NoSpacing"/>
        <w:ind w:left="720" w:hanging="720"/>
      </w:pPr>
      <w:proofErr w:type="spellStart"/>
      <w:r w:rsidRPr="0094518D">
        <w:t>Mester</w:t>
      </w:r>
      <w:proofErr w:type="spellEnd"/>
      <w:r w:rsidRPr="0094518D">
        <w:t>, L. J., 1987</w:t>
      </w:r>
      <w:r w:rsidRPr="0094518D">
        <w:rPr>
          <w:lang w:eastAsia="zh-TW"/>
        </w:rPr>
        <w:t>.</w:t>
      </w:r>
      <w:r w:rsidRPr="0094518D">
        <w:t xml:space="preserve"> A </w:t>
      </w:r>
      <w:r w:rsidRPr="0094518D">
        <w:rPr>
          <w:lang w:eastAsia="zh-TW"/>
        </w:rPr>
        <w:t>m</w:t>
      </w:r>
      <w:r w:rsidRPr="0094518D">
        <w:t xml:space="preserve">ultiproduct </w:t>
      </w:r>
      <w:r w:rsidRPr="0094518D">
        <w:rPr>
          <w:lang w:eastAsia="zh-TW"/>
        </w:rPr>
        <w:t>c</w:t>
      </w:r>
      <w:r w:rsidRPr="0094518D">
        <w:t xml:space="preserve">ost </w:t>
      </w:r>
      <w:r w:rsidRPr="0094518D">
        <w:rPr>
          <w:lang w:eastAsia="zh-TW"/>
        </w:rPr>
        <w:t>s</w:t>
      </w:r>
      <w:r w:rsidRPr="0094518D">
        <w:t xml:space="preserve">tudy of </w:t>
      </w:r>
      <w:r w:rsidRPr="0094518D">
        <w:rPr>
          <w:lang w:eastAsia="zh-TW"/>
        </w:rPr>
        <w:t>s</w:t>
      </w:r>
      <w:r w:rsidRPr="0094518D">
        <w:t xml:space="preserve">avings and </w:t>
      </w:r>
      <w:r w:rsidRPr="0094518D">
        <w:rPr>
          <w:lang w:eastAsia="zh-TW"/>
        </w:rPr>
        <w:t>l</w:t>
      </w:r>
      <w:r w:rsidRPr="0094518D">
        <w:t>oans</w:t>
      </w:r>
      <w:r w:rsidRPr="0094518D">
        <w:rPr>
          <w:lang w:eastAsia="zh-TW"/>
        </w:rPr>
        <w:t>.</w:t>
      </w:r>
      <w:r w:rsidRPr="0094518D">
        <w:t xml:space="preserve"> </w:t>
      </w:r>
      <w:r w:rsidRPr="0094518D">
        <w:rPr>
          <w:i/>
          <w:iCs/>
        </w:rPr>
        <w:t>Journal of Finance</w:t>
      </w:r>
      <w:r w:rsidRPr="0094518D">
        <w:t xml:space="preserve"> 42, 423-445.</w:t>
      </w:r>
    </w:p>
    <w:p w:rsidR="008E3515" w:rsidRPr="0094518D" w:rsidRDefault="008E3515" w:rsidP="008E3515">
      <w:pPr>
        <w:pStyle w:val="NoSpacing"/>
        <w:ind w:left="720" w:hanging="720"/>
      </w:pPr>
      <w:proofErr w:type="spellStart"/>
      <w:r w:rsidRPr="0094518D">
        <w:t>Mester</w:t>
      </w:r>
      <w:proofErr w:type="spellEnd"/>
      <w:r w:rsidRPr="0094518D">
        <w:t>, L. J.</w:t>
      </w:r>
      <w:r w:rsidRPr="0094518D">
        <w:rPr>
          <w:lang w:eastAsia="zh-TW"/>
        </w:rPr>
        <w:t>,</w:t>
      </w:r>
      <w:r w:rsidRPr="0094518D">
        <w:t xml:space="preserve"> 1993</w:t>
      </w:r>
      <w:r w:rsidRPr="0094518D">
        <w:rPr>
          <w:lang w:eastAsia="zh-TW"/>
        </w:rPr>
        <w:t>.</w:t>
      </w:r>
      <w:r w:rsidRPr="0094518D">
        <w:t xml:space="preserve"> </w:t>
      </w:r>
      <w:proofErr w:type="gramStart"/>
      <w:r w:rsidRPr="0094518D">
        <w:rPr>
          <w:lang w:eastAsia="zh-TW"/>
        </w:rPr>
        <w:t>E</w:t>
      </w:r>
      <w:r w:rsidRPr="0094518D">
        <w:t xml:space="preserve">fficiency in the </w:t>
      </w:r>
      <w:r w:rsidRPr="0094518D">
        <w:rPr>
          <w:lang w:eastAsia="zh-TW"/>
        </w:rPr>
        <w:t>s</w:t>
      </w:r>
      <w:r w:rsidRPr="0094518D">
        <w:t xml:space="preserve">avings and </w:t>
      </w:r>
      <w:r w:rsidRPr="0094518D">
        <w:rPr>
          <w:lang w:eastAsia="zh-TW"/>
        </w:rPr>
        <w:t>l</w:t>
      </w:r>
      <w:r w:rsidRPr="0094518D">
        <w:t xml:space="preserve">oan </w:t>
      </w:r>
      <w:r w:rsidRPr="0094518D">
        <w:rPr>
          <w:lang w:eastAsia="zh-TW"/>
        </w:rPr>
        <w:t>i</w:t>
      </w:r>
      <w:r w:rsidRPr="0094518D">
        <w:t>ndustry</w:t>
      </w:r>
      <w:r w:rsidRPr="0094518D">
        <w:rPr>
          <w:lang w:eastAsia="zh-TW"/>
        </w:rPr>
        <w:t>.</w:t>
      </w:r>
      <w:proofErr w:type="gramEnd"/>
      <w:r w:rsidRPr="0094518D">
        <w:t xml:space="preserve"> </w:t>
      </w:r>
      <w:r w:rsidRPr="0094518D">
        <w:rPr>
          <w:i/>
          <w:iCs/>
        </w:rPr>
        <w:t>Journal of Banking and Finance</w:t>
      </w:r>
      <w:r w:rsidRPr="0094518D">
        <w:t xml:space="preserve"> 17, 267-286.</w:t>
      </w:r>
    </w:p>
    <w:p w:rsidR="008E3515" w:rsidRPr="0094518D" w:rsidRDefault="008E3515" w:rsidP="008E3515">
      <w:pPr>
        <w:pStyle w:val="NoSpacing"/>
        <w:ind w:left="720" w:hanging="720"/>
      </w:pPr>
      <w:proofErr w:type="spellStart"/>
      <w:r w:rsidRPr="0094518D">
        <w:t>Mester</w:t>
      </w:r>
      <w:proofErr w:type="spellEnd"/>
      <w:r w:rsidRPr="0094518D">
        <w:t xml:space="preserve"> </w:t>
      </w:r>
      <w:r w:rsidRPr="0094518D">
        <w:rPr>
          <w:lang w:eastAsia="zh-TW"/>
        </w:rPr>
        <w:t>L.J.</w:t>
      </w:r>
      <w:r w:rsidRPr="0094518D">
        <w:rPr>
          <w:rFonts w:eastAsia="SimSun"/>
          <w:lang w:eastAsia="zh-CN"/>
        </w:rPr>
        <w:t>,</w:t>
      </w:r>
      <w:r w:rsidRPr="0094518D">
        <w:rPr>
          <w:lang w:eastAsia="zh-TW"/>
        </w:rPr>
        <w:t xml:space="preserve"> </w:t>
      </w:r>
      <w:r w:rsidRPr="0094518D">
        <w:t>1996</w:t>
      </w:r>
      <w:r w:rsidRPr="0094518D">
        <w:rPr>
          <w:rFonts w:eastAsia="SimSun"/>
          <w:lang w:eastAsia="zh-CN"/>
        </w:rPr>
        <w:t>.</w:t>
      </w:r>
      <w:r w:rsidRPr="0094518D">
        <w:t xml:space="preserve"> </w:t>
      </w:r>
      <w:r w:rsidRPr="0094518D">
        <w:rPr>
          <w:bCs/>
        </w:rPr>
        <w:t>Measuring efficiency at U.S. banks: accounting for heterogeneity is important</w:t>
      </w:r>
      <w:r w:rsidRPr="0094518D">
        <w:t xml:space="preserve">. </w:t>
      </w:r>
      <w:proofErr w:type="gramStart"/>
      <w:r w:rsidRPr="0094518D">
        <w:t>Working Papers 96-11/R, Federal Reserve Bank of Philadelphia.</w:t>
      </w:r>
      <w:proofErr w:type="gramEnd"/>
    </w:p>
    <w:p w:rsidR="008E3515" w:rsidRPr="0094518D" w:rsidRDefault="008E3515" w:rsidP="008E3515">
      <w:pPr>
        <w:pStyle w:val="NoSpacing"/>
        <w:ind w:left="720" w:hanging="720"/>
      </w:pPr>
      <w:proofErr w:type="spellStart"/>
      <w:r w:rsidRPr="0094518D">
        <w:t>Mester</w:t>
      </w:r>
      <w:proofErr w:type="spellEnd"/>
      <w:r w:rsidRPr="0094518D">
        <w:t>, L</w:t>
      </w:r>
      <w:r w:rsidRPr="0094518D">
        <w:rPr>
          <w:lang w:eastAsia="zh-TW"/>
        </w:rPr>
        <w:t>.</w:t>
      </w:r>
      <w:r w:rsidRPr="0094518D">
        <w:t xml:space="preserve"> J., 1997</w:t>
      </w:r>
      <w:r w:rsidRPr="0094518D">
        <w:rPr>
          <w:lang w:eastAsia="zh-TW"/>
        </w:rPr>
        <w:t>.</w:t>
      </w:r>
      <w:r w:rsidRPr="0094518D">
        <w:t xml:space="preserve"> Measuring efficiency at U.S. banks: accounting for heterogeneity is important. </w:t>
      </w:r>
      <w:r w:rsidRPr="0094518D">
        <w:rPr>
          <w:i/>
        </w:rPr>
        <w:t>European Journal of Operational Research</w:t>
      </w:r>
      <w:r w:rsidRPr="0094518D">
        <w:t xml:space="preserve"> 230-242.</w:t>
      </w:r>
    </w:p>
    <w:p w:rsidR="008E3515" w:rsidRDefault="008E3515" w:rsidP="008E3515">
      <w:pPr>
        <w:pStyle w:val="NoSpacing"/>
        <w:ind w:left="720" w:hanging="720"/>
      </w:pPr>
      <w:r w:rsidRPr="0094518D">
        <w:t xml:space="preserve">Miller, S. M., </w:t>
      </w:r>
      <w:proofErr w:type="spellStart"/>
      <w:r w:rsidRPr="0094518D">
        <w:t>Noulas</w:t>
      </w:r>
      <w:proofErr w:type="spellEnd"/>
      <w:r w:rsidRPr="0094518D">
        <w:t>, A. G., 1997</w:t>
      </w:r>
      <w:r w:rsidRPr="0094518D">
        <w:rPr>
          <w:lang w:eastAsia="zh-TW"/>
        </w:rPr>
        <w:t>.</w:t>
      </w:r>
      <w:r w:rsidRPr="0094518D">
        <w:t xml:space="preserve"> </w:t>
      </w:r>
      <w:proofErr w:type="gramStart"/>
      <w:r w:rsidRPr="0094518D">
        <w:t xml:space="preserve">Portfolio </w:t>
      </w:r>
      <w:r w:rsidRPr="0094518D">
        <w:rPr>
          <w:lang w:eastAsia="zh-TW"/>
        </w:rPr>
        <w:t>m</w:t>
      </w:r>
      <w:r w:rsidRPr="0094518D">
        <w:t xml:space="preserve">ix and </w:t>
      </w:r>
      <w:r w:rsidRPr="0094518D">
        <w:rPr>
          <w:lang w:eastAsia="zh-TW"/>
        </w:rPr>
        <w:t>l</w:t>
      </w:r>
      <w:r w:rsidRPr="0094518D">
        <w:t>arge-</w:t>
      </w:r>
      <w:r w:rsidRPr="0094518D">
        <w:rPr>
          <w:lang w:eastAsia="zh-TW"/>
        </w:rPr>
        <w:t>b</w:t>
      </w:r>
      <w:r w:rsidRPr="0094518D">
        <w:t xml:space="preserve">ank </w:t>
      </w:r>
      <w:r w:rsidRPr="0094518D">
        <w:rPr>
          <w:lang w:eastAsia="zh-TW"/>
        </w:rPr>
        <w:t>p</w:t>
      </w:r>
      <w:r w:rsidRPr="0094518D">
        <w:t>rofitability in the USA</w:t>
      </w:r>
      <w:r w:rsidRPr="0094518D">
        <w:rPr>
          <w:lang w:eastAsia="zh-TW"/>
        </w:rPr>
        <w:t>.</w:t>
      </w:r>
      <w:proofErr w:type="gramEnd"/>
      <w:r w:rsidRPr="0094518D">
        <w:t xml:space="preserve"> </w:t>
      </w:r>
      <w:proofErr w:type="gramStart"/>
      <w:r w:rsidRPr="0094518D">
        <w:rPr>
          <w:i/>
          <w:iCs/>
        </w:rPr>
        <w:t>Applied Economics</w:t>
      </w:r>
      <w:r w:rsidRPr="0094518D">
        <w:t xml:space="preserve"> 29, 505-512.</w:t>
      </w:r>
      <w:proofErr w:type="gramEnd"/>
    </w:p>
    <w:p w:rsidR="008E3515" w:rsidRDefault="008E3515" w:rsidP="008E3515">
      <w:pPr>
        <w:pStyle w:val="NoSpacing"/>
        <w:ind w:left="720" w:hanging="720"/>
        <w:rPr>
          <w:i/>
        </w:rPr>
      </w:pPr>
      <w:proofErr w:type="spellStart"/>
      <w:proofErr w:type="gramStart"/>
      <w:r>
        <w:t>Molyneux</w:t>
      </w:r>
      <w:proofErr w:type="spellEnd"/>
      <w:r>
        <w:t xml:space="preserve">, P. and </w:t>
      </w:r>
      <w:proofErr w:type="spellStart"/>
      <w:r>
        <w:t>Iqbal</w:t>
      </w:r>
      <w:proofErr w:type="spellEnd"/>
      <w:r>
        <w:t>, M., 2005.</w:t>
      </w:r>
      <w:proofErr w:type="gramEnd"/>
      <w:r>
        <w:t xml:space="preserve"> </w:t>
      </w:r>
      <w:r w:rsidRPr="00B27202">
        <w:rPr>
          <w:i/>
        </w:rPr>
        <w:t>Banking and Financial System in the Arab World</w:t>
      </w:r>
      <w:r>
        <w:rPr>
          <w:i/>
        </w:rPr>
        <w:t>,</w:t>
      </w:r>
    </w:p>
    <w:p w:rsidR="008E3515" w:rsidRPr="00B27202" w:rsidRDefault="008E3515" w:rsidP="008E3515">
      <w:pPr>
        <w:pStyle w:val="NoSpacing"/>
        <w:ind w:left="720" w:hanging="720"/>
      </w:pPr>
      <w:r>
        <w:rPr>
          <w:i/>
        </w:rPr>
        <w:t xml:space="preserve">      </w:t>
      </w:r>
      <w:proofErr w:type="gramStart"/>
      <w:r>
        <w:t>Palgrave Macmillan, New York, USA.</w:t>
      </w:r>
      <w:proofErr w:type="gramEnd"/>
    </w:p>
    <w:p w:rsidR="008E3515" w:rsidRPr="0094518D" w:rsidRDefault="008E3515" w:rsidP="008E3515">
      <w:pPr>
        <w:pStyle w:val="NoSpacing"/>
        <w:ind w:left="720" w:hanging="720"/>
      </w:pPr>
      <w:r w:rsidRPr="0094518D">
        <w:t>Murray, J. D.</w:t>
      </w:r>
      <w:r w:rsidRPr="0094518D">
        <w:rPr>
          <w:lang w:eastAsia="zh-TW"/>
        </w:rPr>
        <w:t xml:space="preserve">, </w:t>
      </w:r>
      <w:r w:rsidRPr="0094518D">
        <w:t>White</w:t>
      </w:r>
      <w:r w:rsidRPr="0094518D">
        <w:rPr>
          <w:lang w:eastAsia="zh-TW"/>
        </w:rPr>
        <w:t>, R.W.,</w:t>
      </w:r>
      <w:r w:rsidRPr="0094518D">
        <w:t xml:space="preserve"> 1983</w:t>
      </w:r>
      <w:r w:rsidRPr="0094518D">
        <w:rPr>
          <w:lang w:eastAsia="zh-TW"/>
        </w:rPr>
        <w:t>.</w:t>
      </w:r>
      <w:r w:rsidRPr="0094518D">
        <w:t xml:space="preserve"> Economies of </w:t>
      </w:r>
      <w:r w:rsidRPr="0094518D">
        <w:rPr>
          <w:lang w:eastAsia="zh-TW"/>
        </w:rPr>
        <w:t>s</w:t>
      </w:r>
      <w:r w:rsidRPr="0094518D">
        <w:t xml:space="preserve">cale and </w:t>
      </w:r>
      <w:r w:rsidRPr="0094518D">
        <w:rPr>
          <w:lang w:eastAsia="zh-TW"/>
        </w:rPr>
        <w:t>e</w:t>
      </w:r>
      <w:r w:rsidRPr="0094518D">
        <w:t xml:space="preserve">conomies of </w:t>
      </w:r>
      <w:r w:rsidRPr="0094518D">
        <w:rPr>
          <w:lang w:eastAsia="zh-TW"/>
        </w:rPr>
        <w:t>s</w:t>
      </w:r>
      <w:r w:rsidRPr="0094518D">
        <w:t xml:space="preserve">cope in </w:t>
      </w:r>
      <w:r w:rsidRPr="0094518D">
        <w:rPr>
          <w:lang w:eastAsia="zh-TW"/>
        </w:rPr>
        <w:t>m</w:t>
      </w:r>
      <w:r w:rsidRPr="0094518D">
        <w:t xml:space="preserve">ultiproduct </w:t>
      </w:r>
      <w:r w:rsidRPr="0094518D">
        <w:rPr>
          <w:lang w:eastAsia="zh-TW"/>
        </w:rPr>
        <w:t>f</w:t>
      </w:r>
      <w:r w:rsidRPr="0094518D">
        <w:t xml:space="preserve">inancial </w:t>
      </w:r>
      <w:r w:rsidRPr="0094518D">
        <w:rPr>
          <w:lang w:eastAsia="zh-TW"/>
        </w:rPr>
        <w:t>i</w:t>
      </w:r>
      <w:r w:rsidRPr="0094518D">
        <w:t xml:space="preserve">nstitutions: a </w:t>
      </w:r>
      <w:r w:rsidRPr="0094518D">
        <w:rPr>
          <w:lang w:eastAsia="zh-TW"/>
        </w:rPr>
        <w:t>s</w:t>
      </w:r>
      <w:r w:rsidRPr="0094518D">
        <w:t xml:space="preserve">tudy of British Columbia </w:t>
      </w:r>
      <w:r w:rsidRPr="0094518D">
        <w:rPr>
          <w:lang w:eastAsia="zh-TW"/>
        </w:rPr>
        <w:t>c</w:t>
      </w:r>
      <w:r w:rsidRPr="0094518D">
        <w:t xml:space="preserve">redit </w:t>
      </w:r>
      <w:r w:rsidRPr="0094518D">
        <w:rPr>
          <w:lang w:eastAsia="zh-TW"/>
        </w:rPr>
        <w:t>u</w:t>
      </w:r>
      <w:r w:rsidRPr="0094518D">
        <w:t>nions</w:t>
      </w:r>
      <w:r w:rsidRPr="0094518D">
        <w:rPr>
          <w:lang w:eastAsia="zh-TW"/>
        </w:rPr>
        <w:t>.</w:t>
      </w:r>
      <w:r w:rsidRPr="0094518D">
        <w:t xml:space="preserve"> </w:t>
      </w:r>
      <w:r w:rsidRPr="0094518D">
        <w:rPr>
          <w:i/>
          <w:iCs/>
        </w:rPr>
        <w:t>Journal of Finance</w:t>
      </w:r>
      <w:r w:rsidRPr="0094518D">
        <w:t xml:space="preserve"> 38, 887-902.</w:t>
      </w:r>
    </w:p>
    <w:p w:rsidR="008E3515" w:rsidRPr="0094518D" w:rsidRDefault="008E3515" w:rsidP="008E3515">
      <w:pPr>
        <w:pStyle w:val="NoSpacing"/>
        <w:ind w:left="720" w:hanging="720"/>
      </w:pPr>
      <w:r w:rsidRPr="0094518D">
        <w:t>Pastor J. M., Perez</w:t>
      </w:r>
      <w:r w:rsidRPr="0094518D">
        <w:rPr>
          <w:lang w:eastAsia="zh-TW"/>
        </w:rPr>
        <w:t>,</w:t>
      </w:r>
      <w:r w:rsidRPr="0094518D">
        <w:t xml:space="preserve"> F. and Quesada</w:t>
      </w:r>
      <w:r w:rsidRPr="0094518D">
        <w:rPr>
          <w:lang w:eastAsia="zh-TW"/>
        </w:rPr>
        <w:t>,</w:t>
      </w:r>
      <w:r w:rsidRPr="0094518D">
        <w:t xml:space="preserve"> J.</w:t>
      </w:r>
      <w:proofErr w:type="gramStart"/>
      <w:r w:rsidRPr="0094518D">
        <w:rPr>
          <w:lang w:eastAsia="zh-TW"/>
        </w:rPr>
        <w:t>,</w:t>
      </w:r>
      <w:r w:rsidRPr="0094518D">
        <w:t>1997</w:t>
      </w:r>
      <w:proofErr w:type="gramEnd"/>
      <w:r w:rsidRPr="0094518D">
        <w:rPr>
          <w:lang w:eastAsia="zh-TW"/>
        </w:rPr>
        <w:t>.</w:t>
      </w:r>
      <w:r w:rsidRPr="0094518D">
        <w:t xml:space="preserve"> Efficiency </w:t>
      </w:r>
      <w:r w:rsidRPr="0094518D">
        <w:rPr>
          <w:lang w:eastAsia="zh-TW"/>
        </w:rPr>
        <w:t>a</w:t>
      </w:r>
      <w:r w:rsidRPr="0094518D">
        <w:t xml:space="preserve">nalysis in </w:t>
      </w:r>
      <w:r w:rsidRPr="0094518D">
        <w:rPr>
          <w:lang w:eastAsia="zh-TW"/>
        </w:rPr>
        <w:t>b</w:t>
      </w:r>
      <w:r w:rsidRPr="0094518D">
        <w:t xml:space="preserve">anking </w:t>
      </w:r>
      <w:r w:rsidRPr="0094518D">
        <w:rPr>
          <w:lang w:eastAsia="zh-TW"/>
        </w:rPr>
        <w:t>f</w:t>
      </w:r>
      <w:r w:rsidRPr="0094518D">
        <w:t xml:space="preserve">irms: an </w:t>
      </w:r>
      <w:r w:rsidRPr="0094518D">
        <w:rPr>
          <w:lang w:eastAsia="zh-TW"/>
        </w:rPr>
        <w:t>i</w:t>
      </w:r>
      <w:r w:rsidRPr="0094518D">
        <w:t xml:space="preserve">nternational </w:t>
      </w:r>
      <w:r w:rsidRPr="0094518D">
        <w:rPr>
          <w:lang w:eastAsia="zh-TW"/>
        </w:rPr>
        <w:t>c</w:t>
      </w:r>
      <w:r w:rsidRPr="0094518D">
        <w:t>omparison</w:t>
      </w:r>
      <w:r w:rsidRPr="0094518D">
        <w:rPr>
          <w:lang w:eastAsia="zh-TW"/>
        </w:rPr>
        <w:t>.</w:t>
      </w:r>
      <w:r w:rsidRPr="0094518D">
        <w:t xml:space="preserve"> </w:t>
      </w:r>
      <w:r w:rsidRPr="0094518D">
        <w:rPr>
          <w:i/>
          <w:iCs/>
        </w:rPr>
        <w:t>European Journal of Operational Research</w:t>
      </w:r>
      <w:r w:rsidRPr="0094518D">
        <w:t xml:space="preserve"> 98, 395-407.</w:t>
      </w:r>
    </w:p>
    <w:p w:rsidR="008E3515" w:rsidRPr="0094518D" w:rsidRDefault="008E3515" w:rsidP="008E3515">
      <w:pPr>
        <w:pStyle w:val="NoSpacing"/>
        <w:ind w:left="720" w:hanging="720"/>
      </w:pPr>
      <w:r w:rsidRPr="0094518D">
        <w:t>Rai, A.</w:t>
      </w:r>
      <w:r w:rsidRPr="0094518D">
        <w:rPr>
          <w:lang w:eastAsia="zh-TW"/>
        </w:rPr>
        <w:t>,</w:t>
      </w:r>
      <w:r w:rsidRPr="0094518D">
        <w:t xml:space="preserve"> 1996</w:t>
      </w:r>
      <w:r w:rsidRPr="0094518D">
        <w:rPr>
          <w:lang w:eastAsia="zh-TW"/>
        </w:rPr>
        <w:t>.</w:t>
      </w:r>
      <w:r w:rsidRPr="0094518D">
        <w:t xml:space="preserve"> Cost </w:t>
      </w:r>
      <w:r w:rsidRPr="0094518D">
        <w:rPr>
          <w:lang w:eastAsia="zh-TW"/>
        </w:rPr>
        <w:t>e</w:t>
      </w:r>
      <w:r w:rsidRPr="0094518D">
        <w:t xml:space="preserve">fficiency of </w:t>
      </w:r>
      <w:r w:rsidRPr="0094518D">
        <w:rPr>
          <w:lang w:eastAsia="zh-TW"/>
        </w:rPr>
        <w:t>i</w:t>
      </w:r>
      <w:r w:rsidRPr="0094518D">
        <w:t xml:space="preserve">nternational </w:t>
      </w:r>
      <w:r w:rsidRPr="0094518D">
        <w:rPr>
          <w:lang w:eastAsia="zh-TW"/>
        </w:rPr>
        <w:t>i</w:t>
      </w:r>
      <w:r w:rsidRPr="0094518D">
        <w:t xml:space="preserve">nsurance </w:t>
      </w:r>
      <w:r w:rsidRPr="0094518D">
        <w:rPr>
          <w:lang w:eastAsia="zh-TW"/>
        </w:rPr>
        <w:t>f</w:t>
      </w:r>
      <w:r w:rsidRPr="0094518D">
        <w:t>irms</w:t>
      </w:r>
      <w:r w:rsidRPr="0094518D">
        <w:rPr>
          <w:lang w:eastAsia="zh-TW"/>
        </w:rPr>
        <w:t>.</w:t>
      </w:r>
      <w:r w:rsidRPr="0094518D">
        <w:t xml:space="preserve"> </w:t>
      </w:r>
      <w:r w:rsidRPr="0094518D">
        <w:rPr>
          <w:i/>
          <w:iCs/>
        </w:rPr>
        <w:t>Journal of Financial Service Research</w:t>
      </w:r>
      <w:r w:rsidRPr="0094518D">
        <w:t xml:space="preserve"> 10, 213-233.</w:t>
      </w:r>
    </w:p>
    <w:p w:rsidR="008E3515" w:rsidRDefault="008E3515" w:rsidP="008E3515">
      <w:pPr>
        <w:pStyle w:val="NoSpacing"/>
        <w:ind w:left="720" w:hanging="720"/>
      </w:pPr>
      <w:proofErr w:type="spellStart"/>
      <w:r w:rsidRPr="0094518D">
        <w:t>Resti</w:t>
      </w:r>
      <w:proofErr w:type="spellEnd"/>
      <w:r w:rsidRPr="0094518D">
        <w:t>, A.</w:t>
      </w:r>
      <w:r w:rsidRPr="0094518D">
        <w:rPr>
          <w:lang w:eastAsia="zh-TW"/>
        </w:rPr>
        <w:t>,</w:t>
      </w:r>
      <w:r w:rsidRPr="0094518D">
        <w:t xml:space="preserve"> 1997</w:t>
      </w:r>
      <w:r w:rsidRPr="0094518D">
        <w:rPr>
          <w:lang w:eastAsia="zh-TW"/>
        </w:rPr>
        <w:t>.</w:t>
      </w:r>
      <w:r w:rsidRPr="0094518D">
        <w:t xml:space="preserve"> </w:t>
      </w:r>
      <w:proofErr w:type="gramStart"/>
      <w:r w:rsidRPr="0094518D">
        <w:t xml:space="preserve">Evaluating the </w:t>
      </w:r>
      <w:r w:rsidRPr="0094518D">
        <w:rPr>
          <w:lang w:eastAsia="zh-TW"/>
        </w:rPr>
        <w:t>c</w:t>
      </w:r>
      <w:r w:rsidRPr="0094518D">
        <w:t>ost-</w:t>
      </w:r>
      <w:r w:rsidRPr="0094518D">
        <w:rPr>
          <w:lang w:eastAsia="zh-TW"/>
        </w:rPr>
        <w:t>e</w:t>
      </w:r>
      <w:r w:rsidRPr="0094518D">
        <w:t xml:space="preserve">fficiency of the Italian </w:t>
      </w:r>
      <w:r w:rsidRPr="0094518D">
        <w:rPr>
          <w:lang w:eastAsia="zh-TW"/>
        </w:rPr>
        <w:t>b</w:t>
      </w:r>
      <w:r w:rsidRPr="0094518D">
        <w:t xml:space="preserve">anking </w:t>
      </w:r>
      <w:r w:rsidRPr="0094518D">
        <w:rPr>
          <w:lang w:eastAsia="zh-TW"/>
        </w:rPr>
        <w:t>s</w:t>
      </w:r>
      <w:r w:rsidRPr="0094518D">
        <w:t xml:space="preserve">ystem: what </w:t>
      </w:r>
      <w:r w:rsidRPr="0094518D">
        <w:rPr>
          <w:lang w:eastAsia="zh-TW"/>
        </w:rPr>
        <w:t>c</w:t>
      </w:r>
      <w:r w:rsidRPr="0094518D">
        <w:t xml:space="preserve">an be </w:t>
      </w:r>
      <w:r w:rsidRPr="0094518D">
        <w:rPr>
          <w:lang w:eastAsia="zh-TW"/>
        </w:rPr>
        <w:t>l</w:t>
      </w:r>
      <w:r w:rsidRPr="0094518D">
        <w:t xml:space="preserve">earned from the </w:t>
      </w:r>
      <w:r w:rsidRPr="0094518D">
        <w:rPr>
          <w:lang w:eastAsia="zh-TW"/>
        </w:rPr>
        <w:t>j</w:t>
      </w:r>
      <w:r w:rsidRPr="0094518D">
        <w:t xml:space="preserve">oint </w:t>
      </w:r>
      <w:r w:rsidRPr="0094518D">
        <w:rPr>
          <w:lang w:eastAsia="zh-TW"/>
        </w:rPr>
        <w:t>a</w:t>
      </w:r>
      <w:r w:rsidRPr="0094518D">
        <w:t xml:space="preserve">pplication of </w:t>
      </w:r>
      <w:r w:rsidRPr="0094518D">
        <w:rPr>
          <w:lang w:eastAsia="zh-TW"/>
        </w:rPr>
        <w:t>p</w:t>
      </w:r>
      <w:r w:rsidRPr="0094518D">
        <w:t xml:space="preserve">arametric and </w:t>
      </w:r>
      <w:r w:rsidRPr="0094518D">
        <w:rPr>
          <w:lang w:eastAsia="zh-TW"/>
        </w:rPr>
        <w:t>n</w:t>
      </w:r>
      <w:r w:rsidRPr="0094518D">
        <w:t xml:space="preserve">on-Parametric </w:t>
      </w:r>
      <w:r w:rsidRPr="0094518D">
        <w:rPr>
          <w:lang w:eastAsia="zh-TW"/>
        </w:rPr>
        <w:t>t</w:t>
      </w:r>
      <w:r w:rsidRPr="0094518D">
        <w:t>echniques</w:t>
      </w:r>
      <w:r w:rsidRPr="0094518D">
        <w:rPr>
          <w:lang w:eastAsia="zh-TW"/>
        </w:rPr>
        <w:t>.</w:t>
      </w:r>
      <w:proofErr w:type="gramEnd"/>
      <w:r w:rsidRPr="0094518D">
        <w:t xml:space="preserve"> </w:t>
      </w:r>
      <w:r w:rsidRPr="0094518D">
        <w:rPr>
          <w:i/>
          <w:iCs/>
        </w:rPr>
        <w:t>Journal of Banking and Finance</w:t>
      </w:r>
      <w:r w:rsidRPr="0094518D">
        <w:t xml:space="preserve"> 21, 221-250.</w:t>
      </w:r>
    </w:p>
    <w:p w:rsidR="008E3515" w:rsidRDefault="008E3515" w:rsidP="008E3515">
      <w:pPr>
        <w:pStyle w:val="NoSpacing"/>
        <w:ind w:left="720" w:hanging="720"/>
      </w:pPr>
      <w:proofErr w:type="spellStart"/>
      <w:proofErr w:type="gramStart"/>
      <w:r w:rsidRPr="0094518D">
        <w:t>Rezvanian</w:t>
      </w:r>
      <w:proofErr w:type="spellEnd"/>
      <w:r w:rsidRPr="0094518D">
        <w:t xml:space="preserve"> R.</w:t>
      </w:r>
      <w:r w:rsidRPr="0094518D">
        <w:rPr>
          <w:lang w:eastAsia="zh-TW"/>
        </w:rPr>
        <w:t>,</w:t>
      </w:r>
      <w:r w:rsidRPr="0094518D">
        <w:t xml:space="preserve"> </w:t>
      </w:r>
      <w:proofErr w:type="spellStart"/>
      <w:r w:rsidRPr="0094518D">
        <w:t>Mehdian</w:t>
      </w:r>
      <w:proofErr w:type="spellEnd"/>
      <w:r w:rsidRPr="0094518D">
        <w:rPr>
          <w:lang w:eastAsia="zh-TW"/>
        </w:rPr>
        <w:t>, S.,</w:t>
      </w:r>
      <w:r w:rsidRPr="0094518D">
        <w:t xml:space="preserve"> 2002</w:t>
      </w:r>
      <w:r w:rsidRPr="0094518D">
        <w:rPr>
          <w:lang w:eastAsia="zh-TW"/>
        </w:rPr>
        <w:t>.</w:t>
      </w:r>
      <w:proofErr w:type="gramEnd"/>
      <w:r w:rsidRPr="0094518D">
        <w:t> </w:t>
      </w:r>
      <w:proofErr w:type="gramStart"/>
      <w:r w:rsidRPr="0094518D">
        <w:t xml:space="preserve">An </w:t>
      </w:r>
      <w:r w:rsidRPr="0094518D">
        <w:rPr>
          <w:lang w:eastAsia="zh-TW"/>
        </w:rPr>
        <w:t>e</w:t>
      </w:r>
      <w:r w:rsidRPr="0094518D">
        <w:t xml:space="preserve">xamination of </w:t>
      </w:r>
      <w:r w:rsidRPr="0094518D">
        <w:rPr>
          <w:lang w:eastAsia="zh-TW"/>
        </w:rPr>
        <w:t>c</w:t>
      </w:r>
      <w:r w:rsidRPr="0094518D">
        <w:t xml:space="preserve">ost </w:t>
      </w:r>
      <w:r w:rsidRPr="0094518D">
        <w:rPr>
          <w:lang w:eastAsia="zh-TW"/>
        </w:rPr>
        <w:t>s</w:t>
      </w:r>
      <w:r w:rsidRPr="0094518D">
        <w:t xml:space="preserve">tructure and </w:t>
      </w:r>
      <w:r w:rsidRPr="0094518D">
        <w:rPr>
          <w:lang w:eastAsia="zh-TW"/>
        </w:rPr>
        <w:t>p</w:t>
      </w:r>
      <w:r w:rsidRPr="0094518D">
        <w:t xml:space="preserve">roduction </w:t>
      </w:r>
      <w:r w:rsidRPr="0094518D">
        <w:rPr>
          <w:lang w:eastAsia="zh-TW"/>
        </w:rPr>
        <w:t>p</w:t>
      </w:r>
      <w:r w:rsidRPr="0094518D">
        <w:t xml:space="preserve">erformance of </w:t>
      </w:r>
      <w:r w:rsidRPr="0094518D">
        <w:rPr>
          <w:lang w:eastAsia="zh-TW"/>
        </w:rPr>
        <w:t>c</w:t>
      </w:r>
      <w:r w:rsidRPr="0094518D">
        <w:t xml:space="preserve">ommercial </w:t>
      </w:r>
      <w:r w:rsidRPr="0094518D">
        <w:rPr>
          <w:lang w:eastAsia="zh-TW"/>
        </w:rPr>
        <w:t>b</w:t>
      </w:r>
      <w:r w:rsidRPr="0094518D">
        <w:t>anks in Singapore.</w:t>
      </w:r>
      <w:proofErr w:type="gramEnd"/>
      <w:r w:rsidRPr="0094518D">
        <w:t xml:space="preserve"> </w:t>
      </w:r>
      <w:r w:rsidRPr="0094518D">
        <w:rPr>
          <w:i/>
        </w:rPr>
        <w:t>Journal of Banking and Finance</w:t>
      </w:r>
      <w:r w:rsidRPr="0094518D">
        <w:t xml:space="preserve"> 26, 79-98.</w:t>
      </w:r>
    </w:p>
    <w:p w:rsidR="008E3515" w:rsidRPr="008726B0" w:rsidRDefault="00A21F60" w:rsidP="008E3515">
      <w:pPr>
        <w:widowControl/>
        <w:autoSpaceDE w:val="0"/>
        <w:autoSpaceDN w:val="0"/>
        <w:adjustRightInd w:val="0"/>
        <w:spacing w:line="240" w:lineRule="auto"/>
        <w:rPr>
          <w:rFonts w:ascii="Times New Roman" w:hAnsi="Times New Roman" w:cs="Times New Roman"/>
          <w:i/>
          <w:kern w:val="0"/>
          <w:szCs w:val="24"/>
        </w:rPr>
      </w:pPr>
      <w:proofErr w:type="spellStart"/>
      <w:r>
        <w:rPr>
          <w:rFonts w:ascii="Times New Roman" w:hAnsi="Times New Roman" w:cs="Times New Roman"/>
          <w:kern w:val="0"/>
          <w:szCs w:val="24"/>
        </w:rPr>
        <w:t>Sathye</w:t>
      </w:r>
      <w:proofErr w:type="spellEnd"/>
      <w:r>
        <w:rPr>
          <w:rFonts w:ascii="Times New Roman" w:hAnsi="Times New Roman" w:cs="Times New Roman"/>
          <w:kern w:val="0"/>
          <w:szCs w:val="24"/>
        </w:rPr>
        <w:t>, M., 2003, .Effi</w:t>
      </w:r>
      <w:r w:rsidR="008E3515" w:rsidRPr="008726B0">
        <w:rPr>
          <w:rFonts w:ascii="Times New Roman" w:hAnsi="Times New Roman" w:cs="Times New Roman"/>
          <w:kern w:val="0"/>
          <w:szCs w:val="24"/>
        </w:rPr>
        <w:t xml:space="preserve">ciency of banks in a developing economy: The case of India. </w:t>
      </w:r>
      <w:r w:rsidR="008E3515" w:rsidRPr="008726B0">
        <w:rPr>
          <w:rFonts w:ascii="Times New Roman" w:hAnsi="Times New Roman" w:cs="Times New Roman"/>
          <w:i/>
          <w:kern w:val="0"/>
          <w:szCs w:val="24"/>
        </w:rPr>
        <w:t xml:space="preserve">European </w:t>
      </w:r>
    </w:p>
    <w:p w:rsidR="008E3515" w:rsidRPr="008726B0" w:rsidRDefault="008E3515" w:rsidP="008E3515">
      <w:pPr>
        <w:widowControl/>
        <w:autoSpaceDE w:val="0"/>
        <w:autoSpaceDN w:val="0"/>
        <w:adjustRightInd w:val="0"/>
        <w:spacing w:line="240" w:lineRule="auto"/>
        <w:rPr>
          <w:rFonts w:ascii="Times New Roman" w:hAnsi="Times New Roman" w:cs="Times New Roman"/>
          <w:kern w:val="0"/>
          <w:szCs w:val="24"/>
        </w:rPr>
      </w:pPr>
      <w:r w:rsidRPr="008726B0">
        <w:rPr>
          <w:rFonts w:ascii="Times New Roman" w:hAnsi="Times New Roman" w:cs="Times New Roman"/>
          <w:i/>
          <w:kern w:val="0"/>
          <w:szCs w:val="24"/>
        </w:rPr>
        <w:t xml:space="preserve">       Journal of Operational Research</w:t>
      </w:r>
      <w:r w:rsidRPr="008726B0">
        <w:rPr>
          <w:rFonts w:ascii="Times New Roman" w:hAnsi="Times New Roman" w:cs="Times New Roman"/>
          <w:kern w:val="0"/>
          <w:szCs w:val="24"/>
        </w:rPr>
        <w:t>, 148, 662-671.</w:t>
      </w:r>
    </w:p>
    <w:p w:rsidR="008E3515" w:rsidRDefault="008E3515" w:rsidP="008E3515">
      <w:pPr>
        <w:pStyle w:val="NoSpacing"/>
        <w:ind w:left="720" w:hanging="720"/>
      </w:pPr>
      <w:r w:rsidRPr="0094518D">
        <w:lastRenderedPageBreak/>
        <w:t>Shao, B. B. M.</w:t>
      </w:r>
      <w:r w:rsidRPr="0094518D">
        <w:rPr>
          <w:lang w:eastAsia="zh-TW"/>
        </w:rPr>
        <w:t>,</w:t>
      </w:r>
      <w:r w:rsidRPr="0094518D">
        <w:t xml:space="preserve"> Lin</w:t>
      </w:r>
      <w:r w:rsidRPr="0094518D">
        <w:rPr>
          <w:lang w:eastAsia="zh-TW"/>
        </w:rPr>
        <w:t>, W.T.,</w:t>
      </w:r>
      <w:r w:rsidRPr="0094518D">
        <w:t xml:space="preserve"> 2000</w:t>
      </w:r>
      <w:r w:rsidRPr="0094518D">
        <w:rPr>
          <w:lang w:eastAsia="zh-TW"/>
        </w:rPr>
        <w:t>.</w:t>
      </w:r>
      <w:r w:rsidRPr="0094518D">
        <w:t xml:space="preserve"> </w:t>
      </w:r>
      <w:proofErr w:type="gramStart"/>
      <w:r w:rsidRPr="0094518D">
        <w:t xml:space="preserve">Examining the </w:t>
      </w:r>
      <w:r w:rsidRPr="0094518D">
        <w:rPr>
          <w:lang w:eastAsia="zh-TW"/>
        </w:rPr>
        <w:t>d</w:t>
      </w:r>
      <w:r w:rsidRPr="0094518D">
        <w:t xml:space="preserve">eterminants of </w:t>
      </w:r>
      <w:r w:rsidRPr="0094518D">
        <w:rPr>
          <w:lang w:eastAsia="zh-TW"/>
        </w:rPr>
        <w:t>p</w:t>
      </w:r>
      <w:r w:rsidRPr="0094518D">
        <w:t xml:space="preserve">roduction </w:t>
      </w:r>
      <w:r w:rsidRPr="0094518D">
        <w:rPr>
          <w:lang w:eastAsia="zh-TW"/>
        </w:rPr>
        <w:t>e</w:t>
      </w:r>
      <w:r w:rsidRPr="0094518D">
        <w:t xml:space="preserve">fficiency with IT as a </w:t>
      </w:r>
      <w:r w:rsidRPr="0094518D">
        <w:rPr>
          <w:lang w:eastAsia="zh-TW"/>
        </w:rPr>
        <w:t>p</w:t>
      </w:r>
      <w:r w:rsidRPr="0094518D">
        <w:t xml:space="preserve">roduction </w:t>
      </w:r>
      <w:r w:rsidRPr="0094518D">
        <w:rPr>
          <w:lang w:eastAsia="zh-TW"/>
        </w:rPr>
        <w:t>f</w:t>
      </w:r>
      <w:r w:rsidRPr="0094518D">
        <w:t>actor</w:t>
      </w:r>
      <w:r w:rsidRPr="0094518D">
        <w:rPr>
          <w:lang w:eastAsia="zh-TW"/>
        </w:rPr>
        <w:t>.</w:t>
      </w:r>
      <w:proofErr w:type="gramEnd"/>
      <w:r w:rsidRPr="0094518D">
        <w:t xml:space="preserve"> </w:t>
      </w:r>
      <w:r w:rsidRPr="0094518D">
        <w:rPr>
          <w:i/>
          <w:iCs/>
        </w:rPr>
        <w:t>Journal of Computer Information Systems</w:t>
      </w:r>
      <w:r w:rsidRPr="0094518D">
        <w:t xml:space="preserve"> 41, 25-30.</w:t>
      </w:r>
    </w:p>
    <w:p w:rsidR="008E3515" w:rsidRPr="0094518D" w:rsidRDefault="008E3515" w:rsidP="008E3515">
      <w:pPr>
        <w:autoSpaceDE w:val="0"/>
        <w:autoSpaceDN w:val="0"/>
        <w:adjustRightInd w:val="0"/>
        <w:rPr>
          <w:rFonts w:ascii="Times New Roman" w:hAnsi="Times New Roman" w:cs="Times New Roman"/>
          <w:sz w:val="22"/>
        </w:rPr>
      </w:pPr>
      <w:r w:rsidRPr="0094518D">
        <w:rPr>
          <w:rFonts w:ascii="Times New Roman" w:hAnsi="Times New Roman" w:cs="Times New Roman"/>
          <w:sz w:val="22"/>
        </w:rPr>
        <w:t xml:space="preserve">Wang, H., 2002. </w:t>
      </w:r>
      <w:proofErr w:type="spellStart"/>
      <w:r w:rsidRPr="0094518D">
        <w:rPr>
          <w:rFonts w:ascii="Times New Roman" w:hAnsi="Times New Roman" w:cs="Times New Roman"/>
          <w:sz w:val="22"/>
        </w:rPr>
        <w:t>Heteroscedasticity</w:t>
      </w:r>
      <w:proofErr w:type="spellEnd"/>
      <w:r w:rsidRPr="0094518D">
        <w:rPr>
          <w:rFonts w:ascii="Times New Roman" w:hAnsi="Times New Roman" w:cs="Times New Roman"/>
          <w:sz w:val="22"/>
        </w:rPr>
        <w:t xml:space="preserve"> and non-monotonic efficiency effects of a stochastic</w:t>
      </w:r>
    </w:p>
    <w:p w:rsidR="008E3515" w:rsidRPr="0094518D" w:rsidRDefault="008E3515" w:rsidP="008E3515">
      <w:pPr>
        <w:pStyle w:val="NoSpacing"/>
        <w:ind w:left="720"/>
      </w:pPr>
      <w:proofErr w:type="gramStart"/>
      <w:r w:rsidRPr="0094518D">
        <w:rPr>
          <w:sz w:val="22"/>
          <w:szCs w:val="22"/>
          <w:lang w:eastAsia="zh-TW"/>
        </w:rPr>
        <w:t>frontier</w:t>
      </w:r>
      <w:proofErr w:type="gramEnd"/>
      <w:r w:rsidRPr="0094518D">
        <w:rPr>
          <w:sz w:val="22"/>
          <w:szCs w:val="22"/>
          <w:lang w:eastAsia="zh-TW"/>
        </w:rPr>
        <w:t xml:space="preserve"> model. Journal of Productivity Analysis, 18, 241-253.</w:t>
      </w:r>
    </w:p>
    <w:p w:rsidR="008E3515" w:rsidRPr="0094518D" w:rsidRDefault="008E3515" w:rsidP="008E3515">
      <w:pPr>
        <w:pStyle w:val="NoSpacing"/>
        <w:ind w:left="720" w:hanging="720"/>
      </w:pPr>
      <w:r w:rsidRPr="0094518D">
        <w:t xml:space="preserve">Wang, H., </w:t>
      </w:r>
      <w:proofErr w:type="gramStart"/>
      <w:r w:rsidRPr="0094518D">
        <w:t xml:space="preserve">and </w:t>
      </w:r>
      <w:r w:rsidRPr="0094518D">
        <w:rPr>
          <w:lang w:eastAsia="zh-TW"/>
        </w:rPr>
        <w:t xml:space="preserve"> </w:t>
      </w:r>
      <w:r w:rsidRPr="0094518D">
        <w:t>Schmidt</w:t>
      </w:r>
      <w:proofErr w:type="gramEnd"/>
      <w:r w:rsidRPr="0094518D">
        <w:rPr>
          <w:lang w:eastAsia="zh-TW"/>
        </w:rPr>
        <w:t>, P.,</w:t>
      </w:r>
      <w:r w:rsidRPr="0094518D">
        <w:t xml:space="preserve"> 2002</w:t>
      </w:r>
      <w:r w:rsidRPr="0094518D">
        <w:rPr>
          <w:lang w:eastAsia="zh-TW"/>
        </w:rPr>
        <w:t>.</w:t>
      </w:r>
      <w:r w:rsidRPr="0094518D">
        <w:t xml:space="preserve"> </w:t>
      </w:r>
      <w:proofErr w:type="gramStart"/>
      <w:r w:rsidRPr="0094518D">
        <w:t>One-</w:t>
      </w:r>
      <w:r w:rsidRPr="0094518D">
        <w:rPr>
          <w:lang w:eastAsia="zh-TW"/>
        </w:rPr>
        <w:t>s</w:t>
      </w:r>
      <w:r w:rsidRPr="0094518D">
        <w:t xml:space="preserve">tep and </w:t>
      </w:r>
      <w:r w:rsidRPr="0094518D">
        <w:rPr>
          <w:lang w:eastAsia="zh-TW"/>
        </w:rPr>
        <w:t>t</w:t>
      </w:r>
      <w:r w:rsidRPr="0094518D">
        <w:t>wo-</w:t>
      </w:r>
      <w:r w:rsidRPr="0094518D">
        <w:rPr>
          <w:lang w:eastAsia="zh-TW"/>
        </w:rPr>
        <w:t>s</w:t>
      </w:r>
      <w:r w:rsidRPr="0094518D">
        <w:t xml:space="preserve">tep </w:t>
      </w:r>
      <w:r w:rsidRPr="0094518D">
        <w:rPr>
          <w:lang w:eastAsia="zh-TW"/>
        </w:rPr>
        <w:t>e</w:t>
      </w:r>
      <w:r w:rsidRPr="0094518D">
        <w:t xml:space="preserve">stimation of the </w:t>
      </w:r>
      <w:r w:rsidRPr="0094518D">
        <w:rPr>
          <w:lang w:eastAsia="zh-TW"/>
        </w:rPr>
        <w:t>e</w:t>
      </w:r>
      <w:r w:rsidRPr="0094518D">
        <w:t xml:space="preserve">ffects of </w:t>
      </w:r>
      <w:r w:rsidRPr="0094518D">
        <w:rPr>
          <w:lang w:eastAsia="zh-TW"/>
        </w:rPr>
        <w:t>e</w:t>
      </w:r>
      <w:r w:rsidRPr="0094518D">
        <w:t xml:space="preserve">xogenous </w:t>
      </w:r>
      <w:r w:rsidRPr="0094518D">
        <w:rPr>
          <w:lang w:eastAsia="zh-TW"/>
        </w:rPr>
        <w:t>v</w:t>
      </w:r>
      <w:r w:rsidRPr="0094518D">
        <w:t xml:space="preserve">ariables on </w:t>
      </w:r>
      <w:r w:rsidRPr="0094518D">
        <w:rPr>
          <w:lang w:eastAsia="zh-TW"/>
        </w:rPr>
        <w:t>t</w:t>
      </w:r>
      <w:r w:rsidRPr="0094518D">
        <w:t xml:space="preserve">echnical </w:t>
      </w:r>
      <w:r w:rsidRPr="0094518D">
        <w:rPr>
          <w:lang w:eastAsia="zh-TW"/>
        </w:rPr>
        <w:t>e</w:t>
      </w:r>
      <w:r w:rsidRPr="0094518D">
        <w:t xml:space="preserve">fficiency </w:t>
      </w:r>
      <w:r w:rsidRPr="0094518D">
        <w:rPr>
          <w:lang w:eastAsia="zh-TW"/>
        </w:rPr>
        <w:t>l</w:t>
      </w:r>
      <w:r w:rsidRPr="0094518D">
        <w:t>evels</w:t>
      </w:r>
      <w:r w:rsidRPr="0094518D">
        <w:rPr>
          <w:lang w:eastAsia="zh-TW"/>
        </w:rPr>
        <w:t>.</w:t>
      </w:r>
      <w:proofErr w:type="gramEnd"/>
      <w:r w:rsidRPr="0094518D">
        <w:t xml:space="preserve"> </w:t>
      </w:r>
      <w:r w:rsidRPr="0094518D">
        <w:rPr>
          <w:i/>
          <w:iCs/>
        </w:rPr>
        <w:t>Journal of Productivity Analysis</w:t>
      </w:r>
      <w:r w:rsidRPr="0094518D">
        <w:t xml:space="preserve"> 18, 129-144. </w:t>
      </w:r>
    </w:p>
    <w:p w:rsidR="008E3515" w:rsidRDefault="008E3515" w:rsidP="008E3515">
      <w:pPr>
        <w:pStyle w:val="NoSpacing"/>
        <w:ind w:left="720" w:hanging="720"/>
      </w:pPr>
      <w:r w:rsidRPr="0094518D">
        <w:t>Weiss, M. A.</w:t>
      </w:r>
      <w:r w:rsidRPr="0094518D">
        <w:rPr>
          <w:lang w:eastAsia="zh-TW"/>
        </w:rPr>
        <w:t>,</w:t>
      </w:r>
      <w:r w:rsidRPr="0094518D">
        <w:t xml:space="preserve"> 1991</w:t>
      </w:r>
      <w:r w:rsidRPr="0094518D">
        <w:rPr>
          <w:lang w:eastAsia="zh-TW"/>
        </w:rPr>
        <w:t>.</w:t>
      </w:r>
      <w:r w:rsidRPr="0094518D">
        <w:t xml:space="preserve"> </w:t>
      </w:r>
      <w:proofErr w:type="gramStart"/>
      <w:r w:rsidRPr="0094518D">
        <w:t>Efficiency in the property-liability insurance industry</w:t>
      </w:r>
      <w:r w:rsidRPr="0094518D">
        <w:rPr>
          <w:lang w:eastAsia="zh-TW"/>
        </w:rPr>
        <w:t>.</w:t>
      </w:r>
      <w:proofErr w:type="gramEnd"/>
      <w:r w:rsidRPr="0094518D">
        <w:t xml:space="preserve"> </w:t>
      </w:r>
      <w:r w:rsidRPr="0094518D">
        <w:rPr>
          <w:i/>
          <w:iCs/>
        </w:rPr>
        <w:t xml:space="preserve">Journal of Risk and </w:t>
      </w:r>
      <w:r w:rsidRPr="0094518D">
        <w:rPr>
          <w:i/>
        </w:rPr>
        <w:t>Insurance</w:t>
      </w:r>
      <w:r w:rsidRPr="0094518D">
        <w:t xml:space="preserve"> 58, 452-479.</w:t>
      </w:r>
    </w:p>
    <w:p w:rsidR="008E3515" w:rsidRDefault="008E3515" w:rsidP="008E3515">
      <w:pPr>
        <w:autoSpaceDE w:val="0"/>
        <w:autoSpaceDN w:val="0"/>
        <w:adjustRightInd w:val="0"/>
        <w:spacing w:line="240" w:lineRule="auto"/>
        <w:ind w:left="720" w:hanging="720"/>
        <w:rPr>
          <w:rFonts w:ascii="Times New Roman" w:eastAsia="SimSun" w:hAnsi="Times New Roman" w:cs="Times New Roman"/>
          <w:lang w:eastAsia="zh-CN"/>
        </w:rPr>
      </w:pPr>
      <w:r w:rsidRPr="0094518D">
        <w:rPr>
          <w:rFonts w:ascii="Times New Roman" w:eastAsia="SimSun" w:hAnsi="Times New Roman" w:cs="Times New Roman"/>
          <w:bCs/>
          <w:lang w:eastAsia="zh-CN"/>
        </w:rPr>
        <w:t>Yildirim</w:t>
      </w:r>
      <w:r w:rsidRPr="0094518D">
        <w:rPr>
          <w:rFonts w:ascii="Times New Roman" w:eastAsia="SimSun" w:hAnsi="Times New Roman" w:cs="Times New Roman"/>
          <w:lang w:eastAsia="zh-CN"/>
        </w:rPr>
        <w:t xml:space="preserve">, H.S., </w:t>
      </w:r>
      <w:proofErr w:type="spellStart"/>
      <w:r w:rsidRPr="0094518D">
        <w:rPr>
          <w:rFonts w:ascii="Times New Roman" w:eastAsia="SimSun" w:hAnsi="Times New Roman" w:cs="Times New Roman"/>
          <w:bCs/>
          <w:lang w:eastAsia="zh-CN"/>
        </w:rPr>
        <w:t>Philippatos</w:t>
      </w:r>
      <w:proofErr w:type="spellEnd"/>
      <w:r w:rsidRPr="0094518D">
        <w:rPr>
          <w:rFonts w:ascii="Times New Roman" w:eastAsia="SimSun" w:hAnsi="Times New Roman" w:cs="Times New Roman"/>
          <w:bCs/>
          <w:lang w:eastAsia="zh-CN"/>
        </w:rPr>
        <w:t>, G.C.</w:t>
      </w:r>
      <w:r w:rsidRPr="0094518D">
        <w:rPr>
          <w:rFonts w:ascii="Times New Roman" w:eastAsia="SimSun" w:hAnsi="Times New Roman" w:cs="Times New Roman"/>
          <w:lang w:eastAsia="zh-CN"/>
        </w:rPr>
        <w:t xml:space="preserve">, 2007. Efficiency of banks: recent evidence from the transition economies of Europe, 1993-2000. </w:t>
      </w:r>
      <w:r w:rsidRPr="0094518D">
        <w:rPr>
          <w:rFonts w:ascii="Times New Roman" w:eastAsia="SimSun" w:hAnsi="Times New Roman" w:cs="Times New Roman"/>
          <w:i/>
          <w:lang w:eastAsia="zh-CN"/>
        </w:rPr>
        <w:t xml:space="preserve">The European Journal of Finance, </w:t>
      </w:r>
      <w:r w:rsidRPr="0094518D">
        <w:rPr>
          <w:rFonts w:ascii="Times New Roman" w:eastAsia="SimSun" w:hAnsi="Times New Roman" w:cs="Times New Roman"/>
          <w:lang w:eastAsia="zh-CN"/>
        </w:rPr>
        <w:t>13(2), 123-143.</w:t>
      </w:r>
    </w:p>
    <w:p w:rsidR="00A44EB0" w:rsidRPr="0076280D" w:rsidRDefault="00A44EB0" w:rsidP="00A44EB0">
      <w:pPr>
        <w:widowControl/>
        <w:rPr>
          <w:rFonts w:ascii="Times New Roman" w:hAnsi="Times New Roman" w:cs="Times New Roman"/>
          <w:szCs w:val="24"/>
        </w:rPr>
        <w:sectPr w:rsidR="00A44EB0" w:rsidRPr="0076280D" w:rsidSect="005A0A33">
          <w:footerReference w:type="default" r:id="rId122"/>
          <w:pgSz w:w="12240" w:h="15840" w:code="1"/>
          <w:pgMar w:top="1440" w:right="1440" w:bottom="1440" w:left="1440" w:header="851" w:footer="992" w:gutter="0"/>
          <w:cols w:space="425"/>
          <w:docGrid w:type="lines" w:linePitch="360"/>
        </w:sectPr>
      </w:pPr>
    </w:p>
    <w:p w:rsidR="00A44EB0" w:rsidRPr="0076280D" w:rsidRDefault="00A44EB0" w:rsidP="00A44EB0">
      <w:pPr>
        <w:widowControl/>
        <w:rPr>
          <w:rFonts w:ascii="Times New Roman" w:hAnsi="Times New Roman" w:cs="Times New Roman"/>
          <w:szCs w:val="24"/>
        </w:rPr>
      </w:pPr>
      <w:proofErr w:type="gramStart"/>
      <w:r w:rsidRPr="0076280D">
        <w:rPr>
          <w:rFonts w:ascii="Times New Roman" w:hAnsi="Times New Roman" w:cs="Times New Roman"/>
          <w:szCs w:val="24"/>
        </w:rPr>
        <w:lastRenderedPageBreak/>
        <w:t>Table 1</w:t>
      </w:r>
      <w:r w:rsidR="00F00772" w:rsidRPr="005A6AB7">
        <w:rPr>
          <w:rFonts w:ascii="Times New Roman" w:hAnsi="Times New Roman" w:cs="Times New Roman"/>
          <w:b/>
          <w:szCs w:val="24"/>
        </w:rPr>
        <w:t>.</w:t>
      </w:r>
      <w:proofErr w:type="gramEnd"/>
      <w:r w:rsidR="00F00772" w:rsidRPr="005A6AB7">
        <w:rPr>
          <w:rFonts w:ascii="Times New Roman" w:hAnsi="Times New Roman" w:cs="Times New Roman"/>
          <w:b/>
          <w:szCs w:val="24"/>
        </w:rPr>
        <w:t xml:space="preserve"> </w:t>
      </w:r>
      <w:proofErr w:type="gramStart"/>
      <w:r w:rsidR="00F00772" w:rsidRPr="005A6AB7">
        <w:rPr>
          <w:rFonts w:ascii="Times New Roman" w:hAnsi="Times New Roman" w:cs="Times New Roman"/>
          <w:b/>
          <w:szCs w:val="24"/>
        </w:rPr>
        <w:t xml:space="preserve">Sample of Banks by Country, by </w:t>
      </w:r>
      <w:r w:rsidR="005A6AB7" w:rsidRPr="005A6AB7">
        <w:rPr>
          <w:rFonts w:ascii="Times New Roman" w:hAnsi="Times New Roman" w:cs="Times New Roman"/>
          <w:b/>
          <w:szCs w:val="24"/>
        </w:rPr>
        <w:t>T</w:t>
      </w:r>
      <w:r w:rsidR="00F00772" w:rsidRPr="005A6AB7">
        <w:rPr>
          <w:rFonts w:ascii="Times New Roman" w:hAnsi="Times New Roman" w:cs="Times New Roman"/>
          <w:b/>
          <w:szCs w:val="24"/>
        </w:rPr>
        <w:t>ypes</w:t>
      </w:r>
      <w:r w:rsidR="005A6AB7" w:rsidRPr="005A6AB7">
        <w:rPr>
          <w:rFonts w:ascii="Times New Roman" w:hAnsi="Times New Roman" w:cs="Times New Roman"/>
          <w:b/>
          <w:szCs w:val="24"/>
        </w:rPr>
        <w:t>, and by Ownership (1999- 2010).</w:t>
      </w:r>
      <w:proofErr w:type="gramEnd"/>
    </w:p>
    <w:tbl>
      <w:tblPr>
        <w:tblpPr w:leftFromText="180" w:rightFromText="180" w:vertAnchor="text" w:horzAnchor="margin" w:tblpY="256"/>
        <w:tblW w:w="14432" w:type="dxa"/>
        <w:tblLook w:val="04A0" w:firstRow="1" w:lastRow="0" w:firstColumn="1" w:lastColumn="0" w:noHBand="0" w:noVBand="1"/>
      </w:tblPr>
      <w:tblGrid>
        <w:gridCol w:w="3100"/>
        <w:gridCol w:w="1263"/>
        <w:gridCol w:w="1100"/>
        <w:gridCol w:w="1012"/>
        <w:gridCol w:w="960"/>
        <w:gridCol w:w="1542"/>
        <w:gridCol w:w="1220"/>
        <w:gridCol w:w="1475"/>
        <w:gridCol w:w="960"/>
        <w:gridCol w:w="1800"/>
      </w:tblGrid>
      <w:tr w:rsidR="00CB44FA" w:rsidRPr="0076280D" w:rsidTr="005A6AB7">
        <w:trPr>
          <w:trHeight w:val="360"/>
        </w:trPr>
        <w:tc>
          <w:tcPr>
            <w:tcW w:w="3100" w:type="dxa"/>
            <w:vMerge w:val="restart"/>
            <w:tcBorders>
              <w:top w:val="single" w:sz="4" w:space="0" w:color="auto"/>
              <w:left w:val="nil"/>
              <w:bottom w:val="single" w:sz="4" w:space="0" w:color="000000"/>
              <w:right w:val="nil"/>
            </w:tcBorders>
            <w:shd w:val="clear" w:color="auto" w:fill="auto"/>
            <w:vAlign w:val="center"/>
            <w:hideMark/>
          </w:tcPr>
          <w:p w:rsidR="00CB44FA" w:rsidRPr="0076280D" w:rsidRDefault="00CB44FA" w:rsidP="00CB44FA">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Bank</w:t>
            </w:r>
          </w:p>
        </w:tc>
        <w:tc>
          <w:tcPr>
            <w:tcW w:w="1263" w:type="dxa"/>
            <w:vMerge w:val="restart"/>
            <w:tcBorders>
              <w:top w:val="single" w:sz="4" w:space="0" w:color="auto"/>
              <w:left w:val="nil"/>
              <w:bottom w:val="single" w:sz="4" w:space="0" w:color="000000"/>
              <w:right w:val="nil"/>
            </w:tcBorders>
            <w:shd w:val="clear" w:color="auto" w:fill="auto"/>
            <w:vAlign w:val="center"/>
            <w:hideMark/>
          </w:tcPr>
          <w:p w:rsidR="00CB44FA" w:rsidRPr="0076280D" w:rsidRDefault="00CB44FA" w:rsidP="00CB44FA">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Year</w:t>
            </w:r>
          </w:p>
        </w:tc>
        <w:tc>
          <w:tcPr>
            <w:tcW w:w="1100" w:type="dxa"/>
            <w:vMerge w:val="restart"/>
            <w:tcBorders>
              <w:top w:val="single" w:sz="4" w:space="0" w:color="auto"/>
              <w:left w:val="nil"/>
              <w:bottom w:val="single" w:sz="4" w:space="0" w:color="000000"/>
              <w:right w:val="nil"/>
            </w:tcBorders>
            <w:shd w:val="clear" w:color="auto" w:fill="auto"/>
            <w:vAlign w:val="center"/>
            <w:hideMark/>
          </w:tcPr>
          <w:p w:rsidR="00CB44FA" w:rsidRPr="0076280D" w:rsidRDefault="00CB44FA" w:rsidP="00CB44FA">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obs</w:t>
            </w:r>
          </w:p>
        </w:tc>
        <w:tc>
          <w:tcPr>
            <w:tcW w:w="1012" w:type="dxa"/>
            <w:vMerge w:val="restart"/>
            <w:tcBorders>
              <w:top w:val="single" w:sz="4" w:space="0" w:color="auto"/>
              <w:left w:val="nil"/>
              <w:bottom w:val="single" w:sz="4" w:space="0" w:color="000000"/>
              <w:right w:val="nil"/>
            </w:tcBorders>
            <w:shd w:val="clear" w:color="auto" w:fill="auto"/>
            <w:vAlign w:val="center"/>
            <w:hideMark/>
          </w:tcPr>
          <w:p w:rsidR="00CB44FA" w:rsidRPr="0076280D" w:rsidRDefault="00CB44FA" w:rsidP="00CB44FA">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Country</w:t>
            </w:r>
          </w:p>
        </w:tc>
        <w:tc>
          <w:tcPr>
            <w:tcW w:w="960" w:type="dxa"/>
            <w:vMerge w:val="restart"/>
            <w:tcBorders>
              <w:top w:val="single" w:sz="4" w:space="0" w:color="auto"/>
              <w:left w:val="nil"/>
              <w:bottom w:val="single" w:sz="4" w:space="0" w:color="000000"/>
              <w:right w:val="nil"/>
            </w:tcBorders>
            <w:shd w:val="clear" w:color="auto" w:fill="auto"/>
            <w:vAlign w:val="center"/>
            <w:hideMark/>
          </w:tcPr>
          <w:p w:rsidR="00CB44FA" w:rsidRPr="0076280D" w:rsidRDefault="00CB44FA" w:rsidP="00CB44FA">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Islamic</w:t>
            </w:r>
          </w:p>
        </w:tc>
        <w:tc>
          <w:tcPr>
            <w:tcW w:w="1542" w:type="dxa"/>
            <w:vMerge w:val="restart"/>
            <w:tcBorders>
              <w:top w:val="single" w:sz="4" w:space="0" w:color="auto"/>
              <w:left w:val="nil"/>
              <w:bottom w:val="single" w:sz="4" w:space="0" w:color="000000"/>
              <w:right w:val="nil"/>
            </w:tcBorders>
            <w:shd w:val="clear" w:color="auto" w:fill="auto"/>
            <w:vAlign w:val="center"/>
            <w:hideMark/>
          </w:tcPr>
          <w:p w:rsidR="00CB44FA" w:rsidRPr="0076280D" w:rsidRDefault="00CB44FA" w:rsidP="00CB44FA">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 xml:space="preserve">Conventional </w:t>
            </w:r>
          </w:p>
        </w:tc>
        <w:tc>
          <w:tcPr>
            <w:tcW w:w="1220" w:type="dxa"/>
            <w:vMerge w:val="restart"/>
            <w:tcBorders>
              <w:top w:val="single" w:sz="4" w:space="0" w:color="auto"/>
              <w:left w:val="nil"/>
              <w:bottom w:val="single" w:sz="4" w:space="0" w:color="000000"/>
              <w:right w:val="nil"/>
            </w:tcBorders>
            <w:shd w:val="clear" w:color="auto" w:fill="auto"/>
            <w:vAlign w:val="center"/>
            <w:hideMark/>
          </w:tcPr>
          <w:p w:rsidR="00CB44FA" w:rsidRPr="0076280D" w:rsidRDefault="00CB44FA" w:rsidP="00CB44FA">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Mixed Banks</w:t>
            </w:r>
          </w:p>
        </w:tc>
        <w:tc>
          <w:tcPr>
            <w:tcW w:w="1475" w:type="dxa"/>
            <w:vMerge w:val="restart"/>
            <w:tcBorders>
              <w:top w:val="single" w:sz="4" w:space="0" w:color="auto"/>
              <w:left w:val="nil"/>
              <w:bottom w:val="single" w:sz="4" w:space="0" w:color="000000"/>
              <w:right w:val="nil"/>
            </w:tcBorders>
            <w:shd w:val="clear" w:color="auto" w:fill="auto"/>
            <w:vAlign w:val="center"/>
            <w:hideMark/>
          </w:tcPr>
          <w:p w:rsidR="00CB44FA" w:rsidRPr="0076280D" w:rsidRDefault="00CB44FA" w:rsidP="00CB44FA">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Government</w:t>
            </w:r>
          </w:p>
        </w:tc>
        <w:tc>
          <w:tcPr>
            <w:tcW w:w="960" w:type="dxa"/>
            <w:vMerge w:val="restart"/>
            <w:tcBorders>
              <w:top w:val="single" w:sz="4" w:space="0" w:color="auto"/>
              <w:left w:val="nil"/>
              <w:bottom w:val="single" w:sz="4" w:space="0" w:color="000000"/>
              <w:right w:val="nil"/>
            </w:tcBorders>
            <w:shd w:val="clear" w:color="auto" w:fill="auto"/>
            <w:vAlign w:val="center"/>
            <w:hideMark/>
          </w:tcPr>
          <w:p w:rsidR="00CB44FA" w:rsidRPr="0076280D" w:rsidRDefault="00CB44FA" w:rsidP="00CB44FA">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Private</w:t>
            </w:r>
          </w:p>
        </w:tc>
        <w:tc>
          <w:tcPr>
            <w:tcW w:w="1800" w:type="dxa"/>
            <w:vMerge w:val="restart"/>
            <w:tcBorders>
              <w:top w:val="single" w:sz="4" w:space="0" w:color="auto"/>
              <w:left w:val="nil"/>
              <w:bottom w:val="single" w:sz="4" w:space="0" w:color="000000"/>
              <w:right w:val="nil"/>
            </w:tcBorders>
            <w:shd w:val="clear" w:color="auto" w:fill="auto"/>
            <w:vAlign w:val="center"/>
            <w:hideMark/>
          </w:tcPr>
          <w:p w:rsidR="00CB44FA" w:rsidRPr="0076280D" w:rsidRDefault="00CB44FA" w:rsidP="00CB44FA">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Mixed owned Banks</w:t>
            </w:r>
          </w:p>
        </w:tc>
      </w:tr>
      <w:tr w:rsidR="00CB44FA" w:rsidRPr="0076280D" w:rsidTr="005A6AB7">
        <w:trPr>
          <w:trHeight w:val="360"/>
        </w:trPr>
        <w:tc>
          <w:tcPr>
            <w:tcW w:w="3100" w:type="dxa"/>
            <w:vMerge/>
            <w:tcBorders>
              <w:top w:val="single" w:sz="4" w:space="0" w:color="auto"/>
              <w:left w:val="nil"/>
              <w:bottom w:val="single" w:sz="4" w:space="0" w:color="000000"/>
              <w:right w:val="nil"/>
            </w:tcBorders>
            <w:vAlign w:val="center"/>
            <w:hideMark/>
          </w:tcPr>
          <w:p w:rsidR="00CB44FA" w:rsidRPr="0076280D" w:rsidRDefault="00CB44FA" w:rsidP="00CB44FA">
            <w:pPr>
              <w:widowControl/>
              <w:spacing w:line="240" w:lineRule="auto"/>
              <w:rPr>
                <w:rFonts w:ascii="Calibri" w:eastAsia="Times New Roman" w:hAnsi="Calibri" w:cs="Calibri"/>
                <w:b/>
                <w:bCs/>
                <w:color w:val="000000"/>
                <w:kern w:val="0"/>
                <w:szCs w:val="24"/>
                <w:lang w:eastAsia="en-US"/>
              </w:rPr>
            </w:pPr>
          </w:p>
        </w:tc>
        <w:tc>
          <w:tcPr>
            <w:tcW w:w="1263" w:type="dxa"/>
            <w:vMerge/>
            <w:tcBorders>
              <w:top w:val="single" w:sz="4" w:space="0" w:color="auto"/>
              <w:left w:val="nil"/>
              <w:bottom w:val="single" w:sz="4" w:space="0" w:color="000000"/>
              <w:right w:val="nil"/>
            </w:tcBorders>
            <w:vAlign w:val="center"/>
            <w:hideMark/>
          </w:tcPr>
          <w:p w:rsidR="00CB44FA" w:rsidRPr="0076280D" w:rsidRDefault="00CB44FA" w:rsidP="00CB44FA">
            <w:pPr>
              <w:widowControl/>
              <w:spacing w:line="240" w:lineRule="auto"/>
              <w:rPr>
                <w:rFonts w:ascii="Calibri" w:eastAsia="Times New Roman" w:hAnsi="Calibri" w:cs="Calibri"/>
                <w:b/>
                <w:bCs/>
                <w:color w:val="000000"/>
                <w:kern w:val="0"/>
                <w:szCs w:val="24"/>
                <w:lang w:eastAsia="en-US"/>
              </w:rPr>
            </w:pPr>
          </w:p>
        </w:tc>
        <w:tc>
          <w:tcPr>
            <w:tcW w:w="1100" w:type="dxa"/>
            <w:vMerge/>
            <w:tcBorders>
              <w:top w:val="single" w:sz="4" w:space="0" w:color="auto"/>
              <w:left w:val="nil"/>
              <w:bottom w:val="single" w:sz="4" w:space="0" w:color="000000"/>
              <w:right w:val="nil"/>
            </w:tcBorders>
            <w:vAlign w:val="center"/>
            <w:hideMark/>
          </w:tcPr>
          <w:p w:rsidR="00CB44FA" w:rsidRPr="0076280D" w:rsidRDefault="00CB44FA" w:rsidP="00CB44FA">
            <w:pPr>
              <w:widowControl/>
              <w:spacing w:line="240" w:lineRule="auto"/>
              <w:rPr>
                <w:rFonts w:ascii="Calibri" w:eastAsia="Times New Roman" w:hAnsi="Calibri" w:cs="Calibri"/>
                <w:b/>
                <w:bCs/>
                <w:color w:val="000000"/>
                <w:kern w:val="0"/>
                <w:szCs w:val="24"/>
                <w:lang w:eastAsia="en-US"/>
              </w:rPr>
            </w:pPr>
          </w:p>
        </w:tc>
        <w:tc>
          <w:tcPr>
            <w:tcW w:w="1012" w:type="dxa"/>
            <w:vMerge/>
            <w:tcBorders>
              <w:top w:val="single" w:sz="4" w:space="0" w:color="auto"/>
              <w:left w:val="nil"/>
              <w:bottom w:val="single" w:sz="4" w:space="0" w:color="000000"/>
              <w:right w:val="nil"/>
            </w:tcBorders>
            <w:vAlign w:val="center"/>
            <w:hideMark/>
          </w:tcPr>
          <w:p w:rsidR="00CB44FA" w:rsidRPr="0076280D" w:rsidRDefault="00CB44FA" w:rsidP="00CB44FA">
            <w:pPr>
              <w:widowControl/>
              <w:spacing w:line="240" w:lineRule="auto"/>
              <w:rPr>
                <w:rFonts w:ascii="Calibri" w:eastAsia="Times New Roman" w:hAnsi="Calibri" w:cs="Calibri"/>
                <w:b/>
                <w:bCs/>
                <w:color w:val="000000"/>
                <w:kern w:val="0"/>
                <w:szCs w:val="24"/>
                <w:lang w:eastAsia="en-US"/>
              </w:rPr>
            </w:pPr>
          </w:p>
        </w:tc>
        <w:tc>
          <w:tcPr>
            <w:tcW w:w="960" w:type="dxa"/>
            <w:vMerge/>
            <w:tcBorders>
              <w:top w:val="single" w:sz="4" w:space="0" w:color="auto"/>
              <w:left w:val="nil"/>
              <w:bottom w:val="single" w:sz="4" w:space="0" w:color="000000"/>
              <w:right w:val="nil"/>
            </w:tcBorders>
            <w:vAlign w:val="center"/>
            <w:hideMark/>
          </w:tcPr>
          <w:p w:rsidR="00CB44FA" w:rsidRPr="0076280D" w:rsidRDefault="00CB44FA" w:rsidP="00CB44FA">
            <w:pPr>
              <w:widowControl/>
              <w:spacing w:line="240" w:lineRule="auto"/>
              <w:rPr>
                <w:rFonts w:ascii="Calibri" w:eastAsia="Times New Roman" w:hAnsi="Calibri" w:cs="Calibri"/>
                <w:b/>
                <w:bCs/>
                <w:color w:val="000000"/>
                <w:kern w:val="0"/>
                <w:szCs w:val="24"/>
                <w:lang w:eastAsia="en-US"/>
              </w:rPr>
            </w:pPr>
          </w:p>
        </w:tc>
        <w:tc>
          <w:tcPr>
            <w:tcW w:w="1542" w:type="dxa"/>
            <w:vMerge/>
            <w:tcBorders>
              <w:top w:val="single" w:sz="4" w:space="0" w:color="auto"/>
              <w:left w:val="nil"/>
              <w:bottom w:val="single" w:sz="4" w:space="0" w:color="000000"/>
              <w:right w:val="nil"/>
            </w:tcBorders>
            <w:vAlign w:val="center"/>
            <w:hideMark/>
          </w:tcPr>
          <w:p w:rsidR="00CB44FA" w:rsidRPr="0076280D" w:rsidRDefault="00CB44FA" w:rsidP="00CB44FA">
            <w:pPr>
              <w:widowControl/>
              <w:spacing w:line="240" w:lineRule="auto"/>
              <w:rPr>
                <w:rFonts w:ascii="Calibri" w:eastAsia="Times New Roman" w:hAnsi="Calibri" w:cs="Calibri"/>
                <w:b/>
                <w:bCs/>
                <w:color w:val="000000"/>
                <w:kern w:val="0"/>
                <w:szCs w:val="24"/>
                <w:lang w:eastAsia="en-US"/>
              </w:rPr>
            </w:pPr>
          </w:p>
        </w:tc>
        <w:tc>
          <w:tcPr>
            <w:tcW w:w="1220" w:type="dxa"/>
            <w:vMerge/>
            <w:tcBorders>
              <w:top w:val="single" w:sz="4" w:space="0" w:color="auto"/>
              <w:left w:val="nil"/>
              <w:bottom w:val="single" w:sz="4" w:space="0" w:color="000000"/>
              <w:right w:val="nil"/>
            </w:tcBorders>
            <w:vAlign w:val="center"/>
            <w:hideMark/>
          </w:tcPr>
          <w:p w:rsidR="00CB44FA" w:rsidRPr="0076280D" w:rsidRDefault="00CB44FA" w:rsidP="00CB44FA">
            <w:pPr>
              <w:widowControl/>
              <w:spacing w:line="240" w:lineRule="auto"/>
              <w:rPr>
                <w:rFonts w:ascii="Calibri" w:eastAsia="Times New Roman" w:hAnsi="Calibri" w:cs="Calibri"/>
                <w:b/>
                <w:bCs/>
                <w:color w:val="000000"/>
                <w:kern w:val="0"/>
                <w:szCs w:val="24"/>
                <w:lang w:eastAsia="en-US"/>
              </w:rPr>
            </w:pPr>
          </w:p>
        </w:tc>
        <w:tc>
          <w:tcPr>
            <w:tcW w:w="1475" w:type="dxa"/>
            <w:vMerge/>
            <w:tcBorders>
              <w:top w:val="single" w:sz="4" w:space="0" w:color="auto"/>
              <w:left w:val="nil"/>
              <w:bottom w:val="single" w:sz="4" w:space="0" w:color="000000"/>
              <w:right w:val="nil"/>
            </w:tcBorders>
            <w:vAlign w:val="center"/>
            <w:hideMark/>
          </w:tcPr>
          <w:p w:rsidR="00CB44FA" w:rsidRPr="0076280D" w:rsidRDefault="00CB44FA" w:rsidP="00CB44FA">
            <w:pPr>
              <w:widowControl/>
              <w:spacing w:line="240" w:lineRule="auto"/>
              <w:rPr>
                <w:rFonts w:ascii="Calibri" w:eastAsia="Times New Roman" w:hAnsi="Calibri" w:cs="Calibri"/>
                <w:b/>
                <w:bCs/>
                <w:color w:val="000000"/>
                <w:kern w:val="0"/>
                <w:szCs w:val="24"/>
                <w:lang w:eastAsia="en-US"/>
              </w:rPr>
            </w:pPr>
          </w:p>
        </w:tc>
        <w:tc>
          <w:tcPr>
            <w:tcW w:w="960" w:type="dxa"/>
            <w:vMerge/>
            <w:tcBorders>
              <w:top w:val="single" w:sz="4" w:space="0" w:color="auto"/>
              <w:left w:val="nil"/>
              <w:bottom w:val="single" w:sz="4" w:space="0" w:color="000000"/>
              <w:right w:val="nil"/>
            </w:tcBorders>
            <w:vAlign w:val="center"/>
            <w:hideMark/>
          </w:tcPr>
          <w:p w:rsidR="00CB44FA" w:rsidRPr="0076280D" w:rsidRDefault="00CB44FA" w:rsidP="00CB44FA">
            <w:pPr>
              <w:widowControl/>
              <w:spacing w:line="240" w:lineRule="auto"/>
              <w:rPr>
                <w:rFonts w:ascii="Calibri" w:eastAsia="Times New Roman" w:hAnsi="Calibri" w:cs="Calibri"/>
                <w:b/>
                <w:bCs/>
                <w:color w:val="000000"/>
                <w:kern w:val="0"/>
                <w:szCs w:val="24"/>
                <w:lang w:eastAsia="en-US"/>
              </w:rPr>
            </w:pPr>
          </w:p>
        </w:tc>
        <w:tc>
          <w:tcPr>
            <w:tcW w:w="1800" w:type="dxa"/>
            <w:vMerge/>
            <w:tcBorders>
              <w:top w:val="single" w:sz="4" w:space="0" w:color="auto"/>
              <w:left w:val="nil"/>
              <w:bottom w:val="single" w:sz="4" w:space="0" w:color="000000"/>
              <w:right w:val="nil"/>
            </w:tcBorders>
            <w:vAlign w:val="center"/>
            <w:hideMark/>
          </w:tcPr>
          <w:p w:rsidR="00CB44FA" w:rsidRPr="0076280D" w:rsidRDefault="00CB44FA" w:rsidP="00CB44FA">
            <w:pPr>
              <w:widowControl/>
              <w:spacing w:line="240" w:lineRule="auto"/>
              <w:rPr>
                <w:rFonts w:ascii="Calibri" w:eastAsia="Times New Roman" w:hAnsi="Calibri" w:cs="Calibri"/>
                <w:b/>
                <w:bCs/>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Ahli United Bank  </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1999-2009</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11</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Bahrain</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Arab Banking</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2002-2010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9</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Bahrain</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Bahrain Saudi Bank BSC</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2005-2010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6</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Bahrain</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BBK</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2005-2010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6</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Bahrain</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Gulf International Bank </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Bahrain</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National bank of Bahrain </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Bahrain</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Alahli Bank of Kuwait  </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Kuwait</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Burgan Bank</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2000-2010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11</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Kuwait</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Gulf Bank</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Kuwait</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National Bank of Kuwait</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2001-2010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10</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Kuwait</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Commercial Bank of Kuwait SAK</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Kuwait</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Bank Dhofar </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Oman</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Bank Muscat </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Oman</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National Bank of Oman</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Oman</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Oman Arab Bank</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Oman</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Oman International Bank</w:t>
            </w:r>
          </w:p>
        </w:tc>
        <w:tc>
          <w:tcPr>
            <w:tcW w:w="1263"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Oman</w:t>
            </w: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22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Ahli Bank QSC</w:t>
            </w:r>
          </w:p>
        </w:tc>
        <w:tc>
          <w:tcPr>
            <w:tcW w:w="1263" w:type="dxa"/>
            <w:tcBorders>
              <w:top w:val="nil"/>
              <w:left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Qatar</w:t>
            </w:r>
          </w:p>
        </w:tc>
        <w:tc>
          <w:tcPr>
            <w:tcW w:w="960" w:type="dxa"/>
            <w:tcBorders>
              <w:top w:val="nil"/>
              <w:left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r w:rsidR="00CB44FA" w:rsidRPr="0076280D" w:rsidTr="005A6AB7">
        <w:trPr>
          <w:trHeight w:val="300"/>
        </w:trPr>
        <w:tc>
          <w:tcPr>
            <w:tcW w:w="3100" w:type="dxa"/>
            <w:tcBorders>
              <w:top w:val="nil"/>
              <w:left w:val="nil"/>
              <w:bottom w:val="single" w:sz="4" w:space="0" w:color="auto"/>
              <w:right w:val="nil"/>
            </w:tcBorders>
            <w:shd w:val="clear" w:color="auto" w:fill="auto"/>
            <w:noWrap/>
            <w:vAlign w:val="center"/>
            <w:hideMark/>
          </w:tcPr>
          <w:p w:rsidR="00CB44FA" w:rsidRPr="0076280D" w:rsidRDefault="00CB44FA" w:rsidP="00CB44FA">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Commercial bank of Qatar </w:t>
            </w:r>
          </w:p>
        </w:tc>
        <w:tc>
          <w:tcPr>
            <w:tcW w:w="1263" w:type="dxa"/>
            <w:tcBorders>
              <w:top w:val="nil"/>
              <w:left w:val="nil"/>
              <w:bottom w:val="single" w:sz="4" w:space="0" w:color="auto"/>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single" w:sz="4" w:space="0" w:color="auto"/>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single" w:sz="4" w:space="0" w:color="auto"/>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Qatar</w:t>
            </w:r>
          </w:p>
        </w:tc>
        <w:tc>
          <w:tcPr>
            <w:tcW w:w="960" w:type="dxa"/>
            <w:tcBorders>
              <w:top w:val="nil"/>
              <w:left w:val="nil"/>
              <w:bottom w:val="single" w:sz="4" w:space="0" w:color="auto"/>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single" w:sz="4" w:space="0" w:color="auto"/>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single" w:sz="4" w:space="0" w:color="auto"/>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single" w:sz="4" w:space="0" w:color="auto"/>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single" w:sz="4" w:space="0" w:color="auto"/>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single" w:sz="4" w:space="0" w:color="auto"/>
              <w:right w:val="nil"/>
            </w:tcBorders>
            <w:shd w:val="clear" w:color="auto" w:fill="auto"/>
            <w:noWrap/>
            <w:vAlign w:val="center"/>
            <w:hideMark/>
          </w:tcPr>
          <w:p w:rsidR="00CB44FA" w:rsidRPr="0076280D" w:rsidRDefault="00CB44FA" w:rsidP="00CB44FA">
            <w:pPr>
              <w:widowControl/>
              <w:spacing w:line="240" w:lineRule="auto"/>
              <w:jc w:val="center"/>
              <w:rPr>
                <w:rFonts w:ascii="Calibri" w:eastAsia="Times New Roman" w:hAnsi="Calibri" w:cs="Calibri"/>
                <w:color w:val="000000"/>
                <w:kern w:val="0"/>
                <w:szCs w:val="24"/>
                <w:lang w:eastAsia="en-US"/>
              </w:rPr>
            </w:pPr>
          </w:p>
        </w:tc>
      </w:tr>
    </w:tbl>
    <w:p w:rsidR="005A6AB7" w:rsidRPr="005A6AB7" w:rsidRDefault="005A6AB7" w:rsidP="005A6AB7">
      <w:pPr>
        <w:widowControl/>
        <w:rPr>
          <w:rFonts w:ascii="Times New Roman" w:hAnsi="Times New Roman" w:cs="Times New Roman"/>
          <w:b/>
          <w:szCs w:val="24"/>
        </w:rPr>
      </w:pPr>
      <w:r w:rsidRPr="0076280D">
        <w:rPr>
          <w:rFonts w:ascii="Times New Roman" w:hAnsi="Times New Roman" w:cs="Times New Roman"/>
          <w:szCs w:val="24"/>
        </w:rPr>
        <w:lastRenderedPageBreak/>
        <w:t>Table 1</w:t>
      </w:r>
      <w:r>
        <w:rPr>
          <w:rFonts w:ascii="Times New Roman" w:hAnsi="Times New Roman" w:cs="Times New Roman"/>
          <w:szCs w:val="24"/>
        </w:rPr>
        <w:t xml:space="preserve"> (Contd.) </w:t>
      </w:r>
      <w:r w:rsidRPr="005A6AB7">
        <w:rPr>
          <w:rFonts w:ascii="Times New Roman" w:hAnsi="Times New Roman" w:cs="Times New Roman"/>
          <w:b/>
          <w:szCs w:val="24"/>
        </w:rPr>
        <w:t>Sample of Banks by Country, by Types, and by Ownership (1999- 2010</w:t>
      </w:r>
      <w:r>
        <w:rPr>
          <w:rFonts w:ascii="Times New Roman" w:hAnsi="Times New Roman" w:cs="Times New Roman"/>
          <w:b/>
          <w:szCs w:val="24"/>
        </w:rPr>
        <w:t>)</w:t>
      </w:r>
    </w:p>
    <w:p w:rsidR="00A44EB0" w:rsidRPr="0076280D" w:rsidRDefault="00A44EB0" w:rsidP="00A44EB0">
      <w:pPr>
        <w:widowControl/>
        <w:rPr>
          <w:rFonts w:ascii="Times New Roman" w:hAnsi="Times New Roman" w:cs="Times New Roman"/>
          <w:szCs w:val="24"/>
        </w:rPr>
      </w:pPr>
    </w:p>
    <w:tbl>
      <w:tblPr>
        <w:tblpPr w:leftFromText="180" w:rightFromText="180" w:vertAnchor="text" w:horzAnchor="margin" w:tblpY="61"/>
        <w:tblW w:w="14409" w:type="dxa"/>
        <w:tblLook w:val="04A0" w:firstRow="1" w:lastRow="0" w:firstColumn="1" w:lastColumn="0" w:noHBand="0" w:noVBand="1"/>
      </w:tblPr>
      <w:tblGrid>
        <w:gridCol w:w="3100"/>
        <w:gridCol w:w="1263"/>
        <w:gridCol w:w="1100"/>
        <w:gridCol w:w="1012"/>
        <w:gridCol w:w="960"/>
        <w:gridCol w:w="1542"/>
        <w:gridCol w:w="1220"/>
        <w:gridCol w:w="1475"/>
        <w:gridCol w:w="960"/>
        <w:gridCol w:w="1800"/>
      </w:tblGrid>
      <w:tr w:rsidR="00D2505F" w:rsidRPr="0076280D" w:rsidTr="00D2505F">
        <w:trPr>
          <w:trHeight w:val="360"/>
        </w:trPr>
        <w:tc>
          <w:tcPr>
            <w:tcW w:w="3100" w:type="dxa"/>
            <w:vMerge w:val="restart"/>
            <w:tcBorders>
              <w:top w:val="single" w:sz="4" w:space="0" w:color="auto"/>
              <w:left w:val="nil"/>
              <w:bottom w:val="single" w:sz="4" w:space="0" w:color="000000"/>
              <w:right w:val="nil"/>
            </w:tcBorders>
            <w:shd w:val="clear" w:color="auto" w:fill="auto"/>
            <w:vAlign w:val="center"/>
            <w:hideMark/>
          </w:tcPr>
          <w:p w:rsidR="00D2505F" w:rsidRPr="0076280D" w:rsidRDefault="00D2505F" w:rsidP="00D2505F">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Bank</w:t>
            </w:r>
          </w:p>
        </w:tc>
        <w:tc>
          <w:tcPr>
            <w:tcW w:w="1240" w:type="dxa"/>
            <w:vMerge w:val="restart"/>
            <w:tcBorders>
              <w:top w:val="single" w:sz="4" w:space="0" w:color="auto"/>
              <w:left w:val="nil"/>
              <w:bottom w:val="single" w:sz="4" w:space="0" w:color="000000"/>
              <w:right w:val="nil"/>
            </w:tcBorders>
            <w:shd w:val="clear" w:color="auto" w:fill="auto"/>
            <w:vAlign w:val="center"/>
            <w:hideMark/>
          </w:tcPr>
          <w:p w:rsidR="00D2505F" w:rsidRPr="0076280D" w:rsidRDefault="00D2505F" w:rsidP="00D2505F">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Year</w:t>
            </w:r>
          </w:p>
        </w:tc>
        <w:tc>
          <w:tcPr>
            <w:tcW w:w="1100" w:type="dxa"/>
            <w:vMerge w:val="restart"/>
            <w:tcBorders>
              <w:top w:val="single" w:sz="4" w:space="0" w:color="auto"/>
              <w:left w:val="nil"/>
              <w:bottom w:val="single" w:sz="4" w:space="0" w:color="000000"/>
              <w:right w:val="nil"/>
            </w:tcBorders>
            <w:shd w:val="clear" w:color="auto" w:fill="auto"/>
            <w:vAlign w:val="center"/>
            <w:hideMark/>
          </w:tcPr>
          <w:p w:rsidR="00D2505F" w:rsidRPr="0076280D" w:rsidRDefault="00D2505F" w:rsidP="00D2505F">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obs</w:t>
            </w:r>
          </w:p>
        </w:tc>
        <w:tc>
          <w:tcPr>
            <w:tcW w:w="1012" w:type="dxa"/>
            <w:vMerge w:val="restart"/>
            <w:tcBorders>
              <w:top w:val="single" w:sz="4" w:space="0" w:color="auto"/>
              <w:left w:val="nil"/>
              <w:bottom w:val="single" w:sz="4" w:space="0" w:color="000000"/>
              <w:right w:val="nil"/>
            </w:tcBorders>
            <w:shd w:val="clear" w:color="auto" w:fill="auto"/>
            <w:vAlign w:val="center"/>
            <w:hideMark/>
          </w:tcPr>
          <w:p w:rsidR="00D2505F" w:rsidRPr="0076280D" w:rsidRDefault="00D2505F" w:rsidP="00D2505F">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Country</w:t>
            </w:r>
          </w:p>
        </w:tc>
        <w:tc>
          <w:tcPr>
            <w:tcW w:w="960" w:type="dxa"/>
            <w:vMerge w:val="restart"/>
            <w:tcBorders>
              <w:top w:val="single" w:sz="4" w:space="0" w:color="auto"/>
              <w:left w:val="nil"/>
              <w:bottom w:val="single" w:sz="4" w:space="0" w:color="000000"/>
              <w:right w:val="nil"/>
            </w:tcBorders>
            <w:shd w:val="clear" w:color="auto" w:fill="auto"/>
            <w:vAlign w:val="center"/>
            <w:hideMark/>
          </w:tcPr>
          <w:p w:rsidR="00D2505F" w:rsidRPr="0076280D" w:rsidRDefault="00D2505F" w:rsidP="00D2505F">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Islamic</w:t>
            </w:r>
          </w:p>
        </w:tc>
        <w:tc>
          <w:tcPr>
            <w:tcW w:w="1542" w:type="dxa"/>
            <w:vMerge w:val="restart"/>
            <w:tcBorders>
              <w:top w:val="single" w:sz="4" w:space="0" w:color="auto"/>
              <w:left w:val="nil"/>
              <w:bottom w:val="single" w:sz="4" w:space="0" w:color="000000"/>
              <w:right w:val="nil"/>
            </w:tcBorders>
            <w:shd w:val="clear" w:color="auto" w:fill="auto"/>
            <w:vAlign w:val="center"/>
            <w:hideMark/>
          </w:tcPr>
          <w:p w:rsidR="00D2505F" w:rsidRPr="0076280D" w:rsidRDefault="00D2505F" w:rsidP="00D2505F">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 xml:space="preserve">Conventional </w:t>
            </w:r>
          </w:p>
        </w:tc>
        <w:tc>
          <w:tcPr>
            <w:tcW w:w="1220" w:type="dxa"/>
            <w:vMerge w:val="restart"/>
            <w:tcBorders>
              <w:top w:val="single" w:sz="4" w:space="0" w:color="auto"/>
              <w:left w:val="nil"/>
              <w:bottom w:val="single" w:sz="4" w:space="0" w:color="000000"/>
              <w:right w:val="nil"/>
            </w:tcBorders>
            <w:shd w:val="clear" w:color="auto" w:fill="auto"/>
            <w:vAlign w:val="center"/>
            <w:hideMark/>
          </w:tcPr>
          <w:p w:rsidR="00D2505F" w:rsidRPr="0076280D" w:rsidRDefault="00D2505F" w:rsidP="00D2505F">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Mixed Banks</w:t>
            </w:r>
          </w:p>
        </w:tc>
        <w:tc>
          <w:tcPr>
            <w:tcW w:w="1475" w:type="dxa"/>
            <w:vMerge w:val="restart"/>
            <w:tcBorders>
              <w:top w:val="single" w:sz="4" w:space="0" w:color="auto"/>
              <w:left w:val="nil"/>
              <w:bottom w:val="single" w:sz="4" w:space="0" w:color="000000"/>
              <w:right w:val="nil"/>
            </w:tcBorders>
            <w:shd w:val="clear" w:color="auto" w:fill="auto"/>
            <w:vAlign w:val="center"/>
            <w:hideMark/>
          </w:tcPr>
          <w:p w:rsidR="00D2505F" w:rsidRPr="0076280D" w:rsidRDefault="00D2505F" w:rsidP="00D2505F">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Government</w:t>
            </w:r>
          </w:p>
        </w:tc>
        <w:tc>
          <w:tcPr>
            <w:tcW w:w="960" w:type="dxa"/>
            <w:vMerge w:val="restart"/>
            <w:tcBorders>
              <w:top w:val="single" w:sz="4" w:space="0" w:color="auto"/>
              <w:left w:val="nil"/>
              <w:bottom w:val="single" w:sz="4" w:space="0" w:color="000000"/>
              <w:right w:val="nil"/>
            </w:tcBorders>
            <w:shd w:val="clear" w:color="auto" w:fill="auto"/>
            <w:vAlign w:val="center"/>
            <w:hideMark/>
          </w:tcPr>
          <w:p w:rsidR="00D2505F" w:rsidRPr="0076280D" w:rsidRDefault="00D2505F" w:rsidP="00D2505F">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Private</w:t>
            </w:r>
          </w:p>
        </w:tc>
        <w:tc>
          <w:tcPr>
            <w:tcW w:w="1800" w:type="dxa"/>
            <w:vMerge w:val="restart"/>
            <w:tcBorders>
              <w:top w:val="single" w:sz="4" w:space="0" w:color="auto"/>
              <w:left w:val="nil"/>
              <w:bottom w:val="single" w:sz="4" w:space="0" w:color="000000"/>
              <w:right w:val="nil"/>
            </w:tcBorders>
            <w:shd w:val="clear" w:color="auto" w:fill="auto"/>
            <w:vAlign w:val="center"/>
            <w:hideMark/>
          </w:tcPr>
          <w:p w:rsidR="00D2505F" w:rsidRPr="0076280D" w:rsidRDefault="00D2505F" w:rsidP="00D2505F">
            <w:pPr>
              <w:widowControl/>
              <w:spacing w:line="240" w:lineRule="auto"/>
              <w:jc w:val="center"/>
              <w:rPr>
                <w:rFonts w:ascii="Calibri" w:eastAsia="Times New Roman" w:hAnsi="Calibri" w:cs="Calibri"/>
                <w:b/>
                <w:bCs/>
                <w:color w:val="000000"/>
                <w:kern w:val="0"/>
                <w:szCs w:val="24"/>
                <w:lang w:eastAsia="en-US"/>
              </w:rPr>
            </w:pPr>
            <w:r w:rsidRPr="0076280D">
              <w:rPr>
                <w:rFonts w:ascii="Calibri" w:eastAsia="Times New Roman" w:hAnsi="Calibri" w:cs="Calibri"/>
                <w:b/>
                <w:bCs/>
                <w:color w:val="000000"/>
                <w:kern w:val="0"/>
                <w:szCs w:val="24"/>
                <w:lang w:eastAsia="en-US"/>
              </w:rPr>
              <w:t>Mixed owned Banks</w:t>
            </w:r>
          </w:p>
        </w:tc>
      </w:tr>
      <w:tr w:rsidR="00D2505F" w:rsidRPr="0076280D" w:rsidTr="00D2505F">
        <w:trPr>
          <w:trHeight w:val="360"/>
        </w:trPr>
        <w:tc>
          <w:tcPr>
            <w:tcW w:w="3100" w:type="dxa"/>
            <w:vMerge/>
            <w:tcBorders>
              <w:top w:val="single" w:sz="4" w:space="0" w:color="auto"/>
              <w:left w:val="nil"/>
              <w:bottom w:val="single" w:sz="4" w:space="0" w:color="000000"/>
              <w:right w:val="nil"/>
            </w:tcBorders>
            <w:vAlign w:val="center"/>
            <w:hideMark/>
          </w:tcPr>
          <w:p w:rsidR="00D2505F" w:rsidRPr="0076280D" w:rsidRDefault="00D2505F" w:rsidP="00D2505F">
            <w:pPr>
              <w:widowControl/>
              <w:spacing w:line="240" w:lineRule="auto"/>
              <w:rPr>
                <w:rFonts w:ascii="Calibri" w:eastAsia="Times New Roman" w:hAnsi="Calibri" w:cs="Calibri"/>
                <w:b/>
                <w:bCs/>
                <w:color w:val="000000"/>
                <w:kern w:val="0"/>
                <w:szCs w:val="24"/>
                <w:lang w:eastAsia="en-US"/>
              </w:rPr>
            </w:pPr>
          </w:p>
        </w:tc>
        <w:tc>
          <w:tcPr>
            <w:tcW w:w="1240" w:type="dxa"/>
            <w:vMerge/>
            <w:tcBorders>
              <w:top w:val="single" w:sz="4" w:space="0" w:color="auto"/>
              <w:left w:val="nil"/>
              <w:bottom w:val="single" w:sz="4" w:space="0" w:color="000000"/>
              <w:right w:val="nil"/>
            </w:tcBorders>
            <w:vAlign w:val="center"/>
            <w:hideMark/>
          </w:tcPr>
          <w:p w:rsidR="00D2505F" w:rsidRPr="0076280D" w:rsidRDefault="00D2505F" w:rsidP="00D2505F">
            <w:pPr>
              <w:widowControl/>
              <w:spacing w:line="240" w:lineRule="auto"/>
              <w:rPr>
                <w:rFonts w:ascii="Calibri" w:eastAsia="Times New Roman" w:hAnsi="Calibri" w:cs="Calibri"/>
                <w:b/>
                <w:bCs/>
                <w:color w:val="000000"/>
                <w:kern w:val="0"/>
                <w:szCs w:val="24"/>
                <w:lang w:eastAsia="en-US"/>
              </w:rPr>
            </w:pPr>
          </w:p>
        </w:tc>
        <w:tc>
          <w:tcPr>
            <w:tcW w:w="1100" w:type="dxa"/>
            <w:vMerge/>
            <w:tcBorders>
              <w:top w:val="single" w:sz="4" w:space="0" w:color="auto"/>
              <w:left w:val="nil"/>
              <w:bottom w:val="single" w:sz="4" w:space="0" w:color="000000"/>
              <w:right w:val="nil"/>
            </w:tcBorders>
            <w:vAlign w:val="center"/>
            <w:hideMark/>
          </w:tcPr>
          <w:p w:rsidR="00D2505F" w:rsidRPr="0076280D" w:rsidRDefault="00D2505F" w:rsidP="00D2505F">
            <w:pPr>
              <w:widowControl/>
              <w:spacing w:line="240" w:lineRule="auto"/>
              <w:rPr>
                <w:rFonts w:ascii="Calibri" w:eastAsia="Times New Roman" w:hAnsi="Calibri" w:cs="Calibri"/>
                <w:b/>
                <w:bCs/>
                <w:color w:val="000000"/>
                <w:kern w:val="0"/>
                <w:szCs w:val="24"/>
                <w:lang w:eastAsia="en-US"/>
              </w:rPr>
            </w:pPr>
          </w:p>
        </w:tc>
        <w:tc>
          <w:tcPr>
            <w:tcW w:w="1012" w:type="dxa"/>
            <w:vMerge/>
            <w:tcBorders>
              <w:top w:val="single" w:sz="4" w:space="0" w:color="auto"/>
              <w:left w:val="nil"/>
              <w:bottom w:val="single" w:sz="4" w:space="0" w:color="000000"/>
              <w:right w:val="nil"/>
            </w:tcBorders>
            <w:vAlign w:val="center"/>
            <w:hideMark/>
          </w:tcPr>
          <w:p w:rsidR="00D2505F" w:rsidRPr="0076280D" w:rsidRDefault="00D2505F" w:rsidP="00D2505F">
            <w:pPr>
              <w:widowControl/>
              <w:spacing w:line="240" w:lineRule="auto"/>
              <w:rPr>
                <w:rFonts w:ascii="Calibri" w:eastAsia="Times New Roman" w:hAnsi="Calibri" w:cs="Calibri"/>
                <w:b/>
                <w:bCs/>
                <w:color w:val="000000"/>
                <w:kern w:val="0"/>
                <w:szCs w:val="24"/>
                <w:lang w:eastAsia="en-US"/>
              </w:rPr>
            </w:pPr>
          </w:p>
        </w:tc>
        <w:tc>
          <w:tcPr>
            <w:tcW w:w="960" w:type="dxa"/>
            <w:vMerge/>
            <w:tcBorders>
              <w:top w:val="single" w:sz="4" w:space="0" w:color="auto"/>
              <w:left w:val="nil"/>
              <w:bottom w:val="single" w:sz="4" w:space="0" w:color="000000"/>
              <w:right w:val="nil"/>
            </w:tcBorders>
            <w:vAlign w:val="center"/>
            <w:hideMark/>
          </w:tcPr>
          <w:p w:rsidR="00D2505F" w:rsidRPr="0076280D" w:rsidRDefault="00D2505F" w:rsidP="00D2505F">
            <w:pPr>
              <w:widowControl/>
              <w:spacing w:line="240" w:lineRule="auto"/>
              <w:rPr>
                <w:rFonts w:ascii="Calibri" w:eastAsia="Times New Roman" w:hAnsi="Calibri" w:cs="Calibri"/>
                <w:b/>
                <w:bCs/>
                <w:color w:val="000000"/>
                <w:kern w:val="0"/>
                <w:szCs w:val="24"/>
                <w:lang w:eastAsia="en-US"/>
              </w:rPr>
            </w:pPr>
          </w:p>
        </w:tc>
        <w:tc>
          <w:tcPr>
            <w:tcW w:w="1542" w:type="dxa"/>
            <w:vMerge/>
            <w:tcBorders>
              <w:top w:val="single" w:sz="4" w:space="0" w:color="auto"/>
              <w:left w:val="nil"/>
              <w:bottom w:val="single" w:sz="4" w:space="0" w:color="000000"/>
              <w:right w:val="nil"/>
            </w:tcBorders>
            <w:vAlign w:val="center"/>
            <w:hideMark/>
          </w:tcPr>
          <w:p w:rsidR="00D2505F" w:rsidRPr="0076280D" w:rsidRDefault="00D2505F" w:rsidP="00D2505F">
            <w:pPr>
              <w:widowControl/>
              <w:spacing w:line="240" w:lineRule="auto"/>
              <w:rPr>
                <w:rFonts w:ascii="Calibri" w:eastAsia="Times New Roman" w:hAnsi="Calibri" w:cs="Calibri"/>
                <w:b/>
                <w:bCs/>
                <w:color w:val="000000"/>
                <w:kern w:val="0"/>
                <w:szCs w:val="24"/>
                <w:lang w:eastAsia="en-US"/>
              </w:rPr>
            </w:pPr>
          </w:p>
        </w:tc>
        <w:tc>
          <w:tcPr>
            <w:tcW w:w="1220" w:type="dxa"/>
            <w:vMerge/>
            <w:tcBorders>
              <w:top w:val="single" w:sz="4" w:space="0" w:color="auto"/>
              <w:left w:val="nil"/>
              <w:bottom w:val="single" w:sz="4" w:space="0" w:color="000000"/>
              <w:right w:val="nil"/>
            </w:tcBorders>
            <w:vAlign w:val="center"/>
            <w:hideMark/>
          </w:tcPr>
          <w:p w:rsidR="00D2505F" w:rsidRPr="0076280D" w:rsidRDefault="00D2505F" w:rsidP="00D2505F">
            <w:pPr>
              <w:widowControl/>
              <w:spacing w:line="240" w:lineRule="auto"/>
              <w:rPr>
                <w:rFonts w:ascii="Calibri" w:eastAsia="Times New Roman" w:hAnsi="Calibri" w:cs="Calibri"/>
                <w:b/>
                <w:bCs/>
                <w:color w:val="000000"/>
                <w:kern w:val="0"/>
                <w:szCs w:val="24"/>
                <w:lang w:eastAsia="en-US"/>
              </w:rPr>
            </w:pPr>
          </w:p>
        </w:tc>
        <w:tc>
          <w:tcPr>
            <w:tcW w:w="1475" w:type="dxa"/>
            <w:vMerge/>
            <w:tcBorders>
              <w:top w:val="single" w:sz="4" w:space="0" w:color="auto"/>
              <w:left w:val="nil"/>
              <w:bottom w:val="single" w:sz="4" w:space="0" w:color="000000"/>
              <w:right w:val="nil"/>
            </w:tcBorders>
            <w:vAlign w:val="center"/>
            <w:hideMark/>
          </w:tcPr>
          <w:p w:rsidR="00D2505F" w:rsidRPr="0076280D" w:rsidRDefault="00D2505F" w:rsidP="00D2505F">
            <w:pPr>
              <w:widowControl/>
              <w:spacing w:line="240" w:lineRule="auto"/>
              <w:rPr>
                <w:rFonts w:ascii="Calibri" w:eastAsia="Times New Roman" w:hAnsi="Calibri" w:cs="Calibri"/>
                <w:b/>
                <w:bCs/>
                <w:color w:val="000000"/>
                <w:kern w:val="0"/>
                <w:szCs w:val="24"/>
                <w:lang w:eastAsia="en-US"/>
              </w:rPr>
            </w:pPr>
          </w:p>
        </w:tc>
        <w:tc>
          <w:tcPr>
            <w:tcW w:w="960" w:type="dxa"/>
            <w:vMerge/>
            <w:tcBorders>
              <w:top w:val="single" w:sz="4" w:space="0" w:color="auto"/>
              <w:left w:val="nil"/>
              <w:bottom w:val="single" w:sz="4" w:space="0" w:color="000000"/>
              <w:right w:val="nil"/>
            </w:tcBorders>
            <w:vAlign w:val="center"/>
            <w:hideMark/>
          </w:tcPr>
          <w:p w:rsidR="00D2505F" w:rsidRPr="0076280D" w:rsidRDefault="00D2505F" w:rsidP="00D2505F">
            <w:pPr>
              <w:widowControl/>
              <w:spacing w:line="240" w:lineRule="auto"/>
              <w:rPr>
                <w:rFonts w:ascii="Calibri" w:eastAsia="Times New Roman" w:hAnsi="Calibri" w:cs="Calibri"/>
                <w:b/>
                <w:bCs/>
                <w:color w:val="000000"/>
                <w:kern w:val="0"/>
                <w:szCs w:val="24"/>
                <w:lang w:eastAsia="en-US"/>
              </w:rPr>
            </w:pPr>
          </w:p>
        </w:tc>
        <w:tc>
          <w:tcPr>
            <w:tcW w:w="1800" w:type="dxa"/>
            <w:vMerge/>
            <w:tcBorders>
              <w:top w:val="single" w:sz="4" w:space="0" w:color="auto"/>
              <w:left w:val="nil"/>
              <w:bottom w:val="single" w:sz="4" w:space="0" w:color="000000"/>
              <w:right w:val="nil"/>
            </w:tcBorders>
            <w:vAlign w:val="center"/>
            <w:hideMark/>
          </w:tcPr>
          <w:p w:rsidR="00D2505F" w:rsidRPr="0076280D" w:rsidRDefault="00D2505F" w:rsidP="00D2505F">
            <w:pPr>
              <w:widowControl/>
              <w:spacing w:line="240" w:lineRule="auto"/>
              <w:rPr>
                <w:rFonts w:ascii="Calibri" w:eastAsia="Times New Roman" w:hAnsi="Calibri" w:cs="Calibri"/>
                <w:b/>
                <w:bCs/>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Doha Bank </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2001-2010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10</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Qatar</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International Bank of Qatar </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2002-2010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9</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Qatar</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Qatar Development Bank</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2000-2009</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10</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Qatar</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Qatar National Bank</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Qatar</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Qatar International Islamic Bank</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Qatar</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Arab National Bank </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Saudi</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Bank Al-Jazira </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Saudi</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Banque Saudi Fransi</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Saudi</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National Commercial Bank</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Saudi</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Riyad Bank </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Saudi</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Samba Financial Group</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Saudi</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Saudi British Bank</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Saudi</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Saudi Hollandi Bank</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Saudi</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Abu Dhabi Commercial Bank</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UAE</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r w:rsidR="00D2505F" w:rsidRPr="0076280D" w:rsidTr="00D2505F">
        <w:trPr>
          <w:trHeight w:val="300"/>
        </w:trPr>
        <w:tc>
          <w:tcPr>
            <w:tcW w:w="3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Arab Bank for Investment &amp; Foreign Trade</w:t>
            </w:r>
          </w:p>
        </w:tc>
        <w:tc>
          <w:tcPr>
            <w:tcW w:w="124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UAE</w:t>
            </w: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22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800" w:type="dxa"/>
            <w:tcBorders>
              <w:top w:val="nil"/>
              <w:left w:val="nil"/>
              <w:bottom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r>
      <w:tr w:rsidR="00D2505F" w:rsidRPr="0076280D" w:rsidTr="00D2505F">
        <w:trPr>
          <w:trHeight w:val="300"/>
        </w:trPr>
        <w:tc>
          <w:tcPr>
            <w:tcW w:w="3100" w:type="dxa"/>
            <w:tcBorders>
              <w:top w:val="nil"/>
              <w:left w:val="nil"/>
              <w:right w:val="nil"/>
            </w:tcBorders>
            <w:shd w:val="clear" w:color="auto" w:fill="auto"/>
            <w:noWrap/>
            <w:vAlign w:val="center"/>
            <w:hideMark/>
          </w:tcPr>
          <w:p w:rsidR="00D2505F" w:rsidRPr="0076280D" w:rsidRDefault="00D2505F" w:rsidP="00D2505F">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Bank of Sharjah</w:t>
            </w:r>
          </w:p>
        </w:tc>
        <w:tc>
          <w:tcPr>
            <w:tcW w:w="1240" w:type="dxa"/>
            <w:tcBorders>
              <w:top w:val="nil"/>
              <w:left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UAE</w:t>
            </w:r>
          </w:p>
        </w:tc>
        <w:tc>
          <w:tcPr>
            <w:tcW w:w="960" w:type="dxa"/>
            <w:tcBorders>
              <w:top w:val="nil"/>
              <w:left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220" w:type="dxa"/>
            <w:tcBorders>
              <w:top w:val="nil"/>
              <w:left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475" w:type="dxa"/>
            <w:tcBorders>
              <w:top w:val="nil"/>
              <w:left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800" w:type="dxa"/>
            <w:tcBorders>
              <w:top w:val="nil"/>
              <w:left w:val="nil"/>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r>
      <w:tr w:rsidR="00D2505F" w:rsidRPr="0076280D" w:rsidTr="00D2505F">
        <w:trPr>
          <w:trHeight w:val="300"/>
        </w:trPr>
        <w:tc>
          <w:tcPr>
            <w:tcW w:w="3100" w:type="dxa"/>
            <w:tcBorders>
              <w:top w:val="nil"/>
              <w:left w:val="nil"/>
              <w:bottom w:val="single" w:sz="4" w:space="0" w:color="auto"/>
              <w:right w:val="nil"/>
            </w:tcBorders>
            <w:shd w:val="clear" w:color="auto" w:fill="auto"/>
            <w:noWrap/>
            <w:vAlign w:val="center"/>
            <w:hideMark/>
          </w:tcPr>
          <w:p w:rsidR="00D2505F" w:rsidRPr="0076280D" w:rsidRDefault="00D2505F" w:rsidP="005A6AB7">
            <w:pPr>
              <w:widowControl/>
              <w:spacing w:line="240" w:lineRule="auto"/>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 xml:space="preserve">Commercial Bank of </w:t>
            </w:r>
            <w:r w:rsidR="005A6AB7">
              <w:rPr>
                <w:rFonts w:ascii="Calibri" w:eastAsia="Times New Roman" w:hAnsi="Calibri" w:cs="Calibri"/>
                <w:color w:val="000000"/>
                <w:kern w:val="0"/>
                <w:szCs w:val="24"/>
                <w:lang w:eastAsia="en-US"/>
              </w:rPr>
              <w:t>PSC</w:t>
            </w:r>
          </w:p>
        </w:tc>
        <w:tc>
          <w:tcPr>
            <w:tcW w:w="1240" w:type="dxa"/>
            <w:tcBorders>
              <w:top w:val="nil"/>
              <w:left w:val="nil"/>
              <w:bottom w:val="single" w:sz="4" w:space="0" w:color="auto"/>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1999-2010</w:t>
            </w:r>
          </w:p>
        </w:tc>
        <w:tc>
          <w:tcPr>
            <w:tcW w:w="1100" w:type="dxa"/>
            <w:tcBorders>
              <w:top w:val="nil"/>
              <w:left w:val="nil"/>
              <w:bottom w:val="single" w:sz="4" w:space="0" w:color="auto"/>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12</w:t>
            </w:r>
          </w:p>
        </w:tc>
        <w:tc>
          <w:tcPr>
            <w:tcW w:w="1012" w:type="dxa"/>
            <w:tcBorders>
              <w:top w:val="nil"/>
              <w:left w:val="nil"/>
              <w:bottom w:val="single" w:sz="4" w:space="0" w:color="auto"/>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UAE</w:t>
            </w:r>
          </w:p>
        </w:tc>
        <w:tc>
          <w:tcPr>
            <w:tcW w:w="960" w:type="dxa"/>
            <w:tcBorders>
              <w:top w:val="nil"/>
              <w:left w:val="nil"/>
              <w:bottom w:val="single" w:sz="4" w:space="0" w:color="auto"/>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542" w:type="dxa"/>
            <w:tcBorders>
              <w:top w:val="nil"/>
              <w:left w:val="nil"/>
              <w:bottom w:val="single" w:sz="4" w:space="0" w:color="auto"/>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single" w:sz="4" w:space="0" w:color="auto"/>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475" w:type="dxa"/>
            <w:tcBorders>
              <w:top w:val="nil"/>
              <w:left w:val="nil"/>
              <w:bottom w:val="single" w:sz="4" w:space="0" w:color="auto"/>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single" w:sz="4" w:space="0" w:color="auto"/>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r w:rsidRPr="0076280D">
              <w:rPr>
                <w:rFonts w:ascii="Calibri" w:eastAsia="Times New Roman" w:hAnsi="Calibri" w:cs="Calibri"/>
                <w:color w:val="000000"/>
                <w:kern w:val="0"/>
                <w:szCs w:val="24"/>
                <w:lang w:eastAsia="en-US"/>
              </w:rPr>
              <w:t>Y</w:t>
            </w:r>
          </w:p>
        </w:tc>
        <w:tc>
          <w:tcPr>
            <w:tcW w:w="1800" w:type="dxa"/>
            <w:tcBorders>
              <w:top w:val="nil"/>
              <w:left w:val="nil"/>
              <w:bottom w:val="single" w:sz="4" w:space="0" w:color="auto"/>
              <w:right w:val="nil"/>
            </w:tcBorders>
            <w:shd w:val="clear" w:color="auto" w:fill="auto"/>
            <w:noWrap/>
            <w:vAlign w:val="center"/>
            <w:hideMark/>
          </w:tcPr>
          <w:p w:rsidR="00D2505F" w:rsidRPr="0076280D" w:rsidRDefault="00D2505F" w:rsidP="00D2505F">
            <w:pPr>
              <w:widowControl/>
              <w:spacing w:line="240" w:lineRule="auto"/>
              <w:jc w:val="center"/>
              <w:rPr>
                <w:rFonts w:ascii="Calibri" w:eastAsia="Times New Roman" w:hAnsi="Calibri" w:cs="Calibri"/>
                <w:color w:val="000000"/>
                <w:kern w:val="0"/>
                <w:szCs w:val="24"/>
                <w:lang w:eastAsia="en-US"/>
              </w:rPr>
            </w:pPr>
          </w:p>
        </w:tc>
      </w:tr>
    </w:tbl>
    <w:p w:rsidR="005A6AB7" w:rsidRPr="005A6AB7" w:rsidRDefault="00D2505F" w:rsidP="005A6AB7">
      <w:pPr>
        <w:widowControl/>
        <w:rPr>
          <w:rFonts w:ascii="Times New Roman" w:hAnsi="Times New Roman" w:cs="Times New Roman"/>
          <w:b/>
          <w:szCs w:val="24"/>
        </w:rPr>
      </w:pPr>
      <w:r w:rsidRPr="0076280D">
        <w:rPr>
          <w:szCs w:val="24"/>
        </w:rPr>
        <w:lastRenderedPageBreak/>
        <w:t xml:space="preserve"> </w:t>
      </w:r>
      <w:r w:rsidR="005A6AB7" w:rsidRPr="0076280D">
        <w:rPr>
          <w:rFonts w:ascii="Times New Roman" w:hAnsi="Times New Roman" w:cs="Times New Roman"/>
          <w:szCs w:val="24"/>
        </w:rPr>
        <w:t>Table 1</w:t>
      </w:r>
      <w:r w:rsidR="005A6AB7">
        <w:rPr>
          <w:rFonts w:ascii="Times New Roman" w:hAnsi="Times New Roman" w:cs="Times New Roman"/>
          <w:szCs w:val="24"/>
        </w:rPr>
        <w:t xml:space="preserve"> (Contd.) </w:t>
      </w:r>
      <w:r w:rsidR="005A6AB7" w:rsidRPr="005A6AB7">
        <w:rPr>
          <w:rFonts w:ascii="Times New Roman" w:hAnsi="Times New Roman" w:cs="Times New Roman"/>
          <w:b/>
          <w:szCs w:val="24"/>
        </w:rPr>
        <w:t>Sample of Banks by Country, by Types, and by Ownership (1999- 2010</w:t>
      </w:r>
      <w:r w:rsidR="005A6AB7">
        <w:rPr>
          <w:rFonts w:ascii="Times New Roman" w:hAnsi="Times New Roman" w:cs="Times New Roman"/>
          <w:b/>
          <w:szCs w:val="24"/>
        </w:rPr>
        <w:t>)</w:t>
      </w:r>
    </w:p>
    <w:p w:rsidR="00794CF9" w:rsidRPr="00794CF9" w:rsidRDefault="004202A3" w:rsidP="00A44EB0">
      <w:pPr>
        <w:widowControl/>
        <w:rPr>
          <w:szCs w:val="24"/>
        </w:rPr>
      </w:pPr>
      <w:r w:rsidRPr="0076280D">
        <w:fldChar w:fldCharType="begin"/>
      </w:r>
      <w:r w:rsidR="00D2505F" w:rsidRPr="0076280D">
        <w:instrText xml:space="preserve"> LINK </w:instrText>
      </w:r>
      <w:r w:rsidR="001A4A24">
        <w:instrText xml:space="preserve">Excel.Sheet.12 \\\\mystorage\\users\\mpan0590\\Work\\Book1.xlsx Sheet1!R41C2:R53C11 </w:instrText>
      </w:r>
      <w:r w:rsidR="00D2505F" w:rsidRPr="0076280D">
        <w:instrText xml:space="preserve">\a \f 4 \h </w:instrText>
      </w:r>
      <w:r w:rsidR="0076280D">
        <w:instrText xml:space="preserve"> \* MERGEFORMAT </w:instrText>
      </w:r>
      <w:r w:rsidRPr="0076280D">
        <w:fldChar w:fldCharType="separate"/>
      </w:r>
    </w:p>
    <w:tbl>
      <w:tblPr>
        <w:tblW w:w="14240" w:type="dxa"/>
        <w:tblInd w:w="108" w:type="dxa"/>
        <w:tblLook w:val="04A0" w:firstRow="1" w:lastRow="0" w:firstColumn="1" w:lastColumn="0" w:noHBand="0" w:noVBand="1"/>
      </w:tblPr>
      <w:tblGrid>
        <w:gridCol w:w="3100"/>
        <w:gridCol w:w="1263"/>
        <w:gridCol w:w="1100"/>
        <w:gridCol w:w="1012"/>
        <w:gridCol w:w="960"/>
        <w:gridCol w:w="1542"/>
        <w:gridCol w:w="1220"/>
        <w:gridCol w:w="1475"/>
        <w:gridCol w:w="960"/>
        <w:gridCol w:w="1800"/>
      </w:tblGrid>
      <w:tr w:rsidR="00794CF9" w:rsidRPr="00794CF9" w:rsidTr="00794CF9">
        <w:trPr>
          <w:divId w:val="1733574345"/>
          <w:trHeight w:val="360"/>
        </w:trPr>
        <w:tc>
          <w:tcPr>
            <w:tcW w:w="3100" w:type="dxa"/>
            <w:vMerge w:val="restart"/>
            <w:tcBorders>
              <w:top w:val="single" w:sz="4" w:space="0" w:color="auto"/>
              <w:left w:val="nil"/>
              <w:bottom w:val="single" w:sz="4" w:space="0" w:color="000000"/>
              <w:right w:val="nil"/>
            </w:tcBorders>
            <w:shd w:val="clear" w:color="auto" w:fill="auto"/>
            <w:vAlign w:val="center"/>
            <w:hideMark/>
          </w:tcPr>
          <w:p w:rsidR="00794CF9" w:rsidRPr="00794CF9" w:rsidRDefault="00794CF9" w:rsidP="00794CF9">
            <w:pPr>
              <w:widowControl/>
              <w:spacing w:line="240" w:lineRule="auto"/>
              <w:jc w:val="center"/>
              <w:rPr>
                <w:rFonts w:ascii="Calibri" w:eastAsia="Times New Roman" w:hAnsi="Calibri" w:cs="Calibri"/>
                <w:b/>
                <w:bCs/>
                <w:color w:val="000000"/>
                <w:kern w:val="0"/>
                <w:szCs w:val="24"/>
                <w:lang w:eastAsia="en-US"/>
              </w:rPr>
            </w:pPr>
            <w:r w:rsidRPr="00794CF9">
              <w:rPr>
                <w:rFonts w:ascii="Calibri" w:eastAsia="Times New Roman" w:hAnsi="Calibri" w:cs="Calibri"/>
                <w:b/>
                <w:bCs/>
                <w:color w:val="000000"/>
                <w:kern w:val="0"/>
                <w:szCs w:val="24"/>
                <w:lang w:eastAsia="en-US"/>
              </w:rPr>
              <w:t>Bank</w:t>
            </w:r>
          </w:p>
        </w:tc>
        <w:tc>
          <w:tcPr>
            <w:tcW w:w="1240" w:type="dxa"/>
            <w:vMerge w:val="restart"/>
            <w:tcBorders>
              <w:top w:val="single" w:sz="4" w:space="0" w:color="auto"/>
              <w:left w:val="nil"/>
              <w:bottom w:val="single" w:sz="4" w:space="0" w:color="000000"/>
              <w:right w:val="nil"/>
            </w:tcBorders>
            <w:shd w:val="clear" w:color="auto" w:fill="auto"/>
            <w:vAlign w:val="center"/>
            <w:hideMark/>
          </w:tcPr>
          <w:p w:rsidR="00794CF9" w:rsidRPr="00794CF9" w:rsidRDefault="00794CF9" w:rsidP="00794CF9">
            <w:pPr>
              <w:widowControl/>
              <w:spacing w:line="240" w:lineRule="auto"/>
              <w:jc w:val="center"/>
              <w:rPr>
                <w:rFonts w:ascii="Calibri" w:eastAsia="Times New Roman" w:hAnsi="Calibri" w:cs="Calibri"/>
                <w:b/>
                <w:bCs/>
                <w:color w:val="000000"/>
                <w:kern w:val="0"/>
                <w:szCs w:val="24"/>
                <w:lang w:eastAsia="en-US"/>
              </w:rPr>
            </w:pPr>
            <w:r w:rsidRPr="00794CF9">
              <w:rPr>
                <w:rFonts w:ascii="Calibri" w:eastAsia="Times New Roman" w:hAnsi="Calibri" w:cs="Calibri"/>
                <w:b/>
                <w:bCs/>
                <w:color w:val="000000"/>
                <w:kern w:val="0"/>
                <w:szCs w:val="24"/>
                <w:lang w:eastAsia="en-US"/>
              </w:rPr>
              <w:t>Year</w:t>
            </w:r>
          </w:p>
        </w:tc>
        <w:tc>
          <w:tcPr>
            <w:tcW w:w="1100" w:type="dxa"/>
            <w:vMerge w:val="restart"/>
            <w:tcBorders>
              <w:top w:val="single" w:sz="4" w:space="0" w:color="auto"/>
              <w:left w:val="nil"/>
              <w:bottom w:val="single" w:sz="4" w:space="0" w:color="000000"/>
              <w:right w:val="nil"/>
            </w:tcBorders>
            <w:shd w:val="clear" w:color="auto" w:fill="auto"/>
            <w:vAlign w:val="center"/>
            <w:hideMark/>
          </w:tcPr>
          <w:p w:rsidR="00794CF9" w:rsidRPr="00794CF9" w:rsidRDefault="00794CF9" w:rsidP="00794CF9">
            <w:pPr>
              <w:widowControl/>
              <w:spacing w:line="240" w:lineRule="auto"/>
              <w:jc w:val="center"/>
              <w:rPr>
                <w:rFonts w:ascii="Calibri" w:eastAsia="Times New Roman" w:hAnsi="Calibri" w:cs="Calibri"/>
                <w:b/>
                <w:bCs/>
                <w:color w:val="000000"/>
                <w:kern w:val="0"/>
                <w:szCs w:val="24"/>
                <w:lang w:eastAsia="en-US"/>
              </w:rPr>
            </w:pPr>
            <w:proofErr w:type="spellStart"/>
            <w:r w:rsidRPr="00794CF9">
              <w:rPr>
                <w:rFonts w:ascii="Calibri" w:eastAsia="Times New Roman" w:hAnsi="Calibri" w:cs="Calibri"/>
                <w:b/>
                <w:bCs/>
                <w:color w:val="000000"/>
                <w:kern w:val="0"/>
                <w:szCs w:val="24"/>
                <w:lang w:eastAsia="en-US"/>
              </w:rPr>
              <w:t>obs</w:t>
            </w:r>
            <w:proofErr w:type="spellEnd"/>
          </w:p>
        </w:tc>
        <w:tc>
          <w:tcPr>
            <w:tcW w:w="960" w:type="dxa"/>
            <w:vMerge w:val="restart"/>
            <w:tcBorders>
              <w:top w:val="single" w:sz="4" w:space="0" w:color="auto"/>
              <w:left w:val="nil"/>
              <w:bottom w:val="single" w:sz="4" w:space="0" w:color="000000"/>
              <w:right w:val="nil"/>
            </w:tcBorders>
            <w:shd w:val="clear" w:color="auto" w:fill="auto"/>
            <w:vAlign w:val="center"/>
            <w:hideMark/>
          </w:tcPr>
          <w:p w:rsidR="00794CF9" w:rsidRPr="00794CF9" w:rsidRDefault="00794CF9" w:rsidP="00794CF9">
            <w:pPr>
              <w:widowControl/>
              <w:spacing w:line="240" w:lineRule="auto"/>
              <w:jc w:val="center"/>
              <w:rPr>
                <w:rFonts w:ascii="Calibri" w:eastAsia="Times New Roman" w:hAnsi="Calibri" w:cs="Calibri"/>
                <w:b/>
                <w:bCs/>
                <w:color w:val="000000"/>
                <w:kern w:val="0"/>
                <w:szCs w:val="24"/>
                <w:lang w:eastAsia="en-US"/>
              </w:rPr>
            </w:pPr>
            <w:r w:rsidRPr="00794CF9">
              <w:rPr>
                <w:rFonts w:ascii="Calibri" w:eastAsia="Times New Roman" w:hAnsi="Calibri" w:cs="Calibri"/>
                <w:b/>
                <w:bCs/>
                <w:color w:val="000000"/>
                <w:kern w:val="0"/>
                <w:szCs w:val="24"/>
                <w:lang w:eastAsia="en-US"/>
              </w:rPr>
              <w:t>Country</w:t>
            </w:r>
          </w:p>
        </w:tc>
        <w:tc>
          <w:tcPr>
            <w:tcW w:w="960" w:type="dxa"/>
            <w:vMerge w:val="restart"/>
            <w:tcBorders>
              <w:top w:val="single" w:sz="4" w:space="0" w:color="auto"/>
              <w:left w:val="nil"/>
              <w:bottom w:val="single" w:sz="4" w:space="0" w:color="000000"/>
              <w:right w:val="nil"/>
            </w:tcBorders>
            <w:shd w:val="clear" w:color="auto" w:fill="auto"/>
            <w:vAlign w:val="center"/>
            <w:hideMark/>
          </w:tcPr>
          <w:p w:rsidR="00794CF9" w:rsidRPr="00794CF9" w:rsidRDefault="00794CF9" w:rsidP="00794CF9">
            <w:pPr>
              <w:widowControl/>
              <w:spacing w:line="240" w:lineRule="auto"/>
              <w:jc w:val="center"/>
              <w:rPr>
                <w:rFonts w:ascii="Calibri" w:eastAsia="Times New Roman" w:hAnsi="Calibri" w:cs="Calibri"/>
                <w:b/>
                <w:bCs/>
                <w:color w:val="000000"/>
                <w:kern w:val="0"/>
                <w:szCs w:val="24"/>
                <w:lang w:eastAsia="en-US"/>
              </w:rPr>
            </w:pPr>
            <w:r w:rsidRPr="00794CF9">
              <w:rPr>
                <w:rFonts w:ascii="Calibri" w:eastAsia="Times New Roman" w:hAnsi="Calibri" w:cs="Calibri"/>
                <w:b/>
                <w:bCs/>
                <w:color w:val="000000"/>
                <w:kern w:val="0"/>
                <w:szCs w:val="24"/>
                <w:lang w:eastAsia="en-US"/>
              </w:rPr>
              <w:t>Islamic</w:t>
            </w:r>
          </w:p>
        </w:tc>
        <w:tc>
          <w:tcPr>
            <w:tcW w:w="1480" w:type="dxa"/>
            <w:vMerge w:val="restart"/>
            <w:tcBorders>
              <w:top w:val="single" w:sz="4" w:space="0" w:color="auto"/>
              <w:left w:val="nil"/>
              <w:bottom w:val="single" w:sz="4" w:space="0" w:color="000000"/>
              <w:right w:val="nil"/>
            </w:tcBorders>
            <w:shd w:val="clear" w:color="auto" w:fill="auto"/>
            <w:vAlign w:val="center"/>
            <w:hideMark/>
          </w:tcPr>
          <w:p w:rsidR="00794CF9" w:rsidRPr="00794CF9" w:rsidRDefault="00794CF9" w:rsidP="00794CF9">
            <w:pPr>
              <w:widowControl/>
              <w:spacing w:line="240" w:lineRule="auto"/>
              <w:jc w:val="center"/>
              <w:rPr>
                <w:rFonts w:ascii="Calibri" w:eastAsia="Times New Roman" w:hAnsi="Calibri" w:cs="Calibri"/>
                <w:b/>
                <w:bCs/>
                <w:color w:val="000000"/>
                <w:kern w:val="0"/>
                <w:szCs w:val="24"/>
                <w:lang w:eastAsia="en-US"/>
              </w:rPr>
            </w:pPr>
            <w:r w:rsidRPr="00794CF9">
              <w:rPr>
                <w:rFonts w:ascii="Calibri" w:eastAsia="Times New Roman" w:hAnsi="Calibri" w:cs="Calibri"/>
                <w:b/>
                <w:bCs/>
                <w:color w:val="000000"/>
                <w:kern w:val="0"/>
                <w:szCs w:val="24"/>
                <w:lang w:eastAsia="en-US"/>
              </w:rPr>
              <w:t xml:space="preserve">Conventional </w:t>
            </w:r>
          </w:p>
        </w:tc>
        <w:tc>
          <w:tcPr>
            <w:tcW w:w="1220" w:type="dxa"/>
            <w:vMerge w:val="restart"/>
            <w:tcBorders>
              <w:top w:val="single" w:sz="4" w:space="0" w:color="auto"/>
              <w:left w:val="nil"/>
              <w:bottom w:val="single" w:sz="4" w:space="0" w:color="000000"/>
              <w:right w:val="nil"/>
            </w:tcBorders>
            <w:shd w:val="clear" w:color="auto" w:fill="auto"/>
            <w:vAlign w:val="center"/>
            <w:hideMark/>
          </w:tcPr>
          <w:p w:rsidR="00794CF9" w:rsidRPr="00794CF9" w:rsidRDefault="00794CF9" w:rsidP="00794CF9">
            <w:pPr>
              <w:widowControl/>
              <w:spacing w:line="240" w:lineRule="auto"/>
              <w:jc w:val="center"/>
              <w:rPr>
                <w:rFonts w:ascii="Calibri" w:eastAsia="Times New Roman" w:hAnsi="Calibri" w:cs="Calibri"/>
                <w:b/>
                <w:bCs/>
                <w:color w:val="000000"/>
                <w:kern w:val="0"/>
                <w:szCs w:val="24"/>
                <w:lang w:eastAsia="en-US"/>
              </w:rPr>
            </w:pPr>
            <w:r w:rsidRPr="00794CF9">
              <w:rPr>
                <w:rFonts w:ascii="Calibri" w:eastAsia="Times New Roman" w:hAnsi="Calibri" w:cs="Calibri"/>
                <w:b/>
                <w:bCs/>
                <w:color w:val="000000"/>
                <w:kern w:val="0"/>
                <w:szCs w:val="24"/>
                <w:lang w:eastAsia="en-US"/>
              </w:rPr>
              <w:t>Mixed Banks</w:t>
            </w:r>
          </w:p>
        </w:tc>
        <w:tc>
          <w:tcPr>
            <w:tcW w:w="1420" w:type="dxa"/>
            <w:vMerge w:val="restart"/>
            <w:tcBorders>
              <w:top w:val="single" w:sz="4" w:space="0" w:color="auto"/>
              <w:left w:val="nil"/>
              <w:bottom w:val="single" w:sz="4" w:space="0" w:color="000000"/>
              <w:right w:val="nil"/>
            </w:tcBorders>
            <w:shd w:val="clear" w:color="auto" w:fill="auto"/>
            <w:vAlign w:val="center"/>
            <w:hideMark/>
          </w:tcPr>
          <w:p w:rsidR="00794CF9" w:rsidRPr="00794CF9" w:rsidRDefault="00794CF9" w:rsidP="00794CF9">
            <w:pPr>
              <w:widowControl/>
              <w:spacing w:line="240" w:lineRule="auto"/>
              <w:jc w:val="center"/>
              <w:rPr>
                <w:rFonts w:ascii="Calibri" w:eastAsia="Times New Roman" w:hAnsi="Calibri" w:cs="Calibri"/>
                <w:b/>
                <w:bCs/>
                <w:color w:val="000000"/>
                <w:kern w:val="0"/>
                <w:szCs w:val="24"/>
                <w:lang w:eastAsia="en-US"/>
              </w:rPr>
            </w:pPr>
            <w:r w:rsidRPr="00794CF9">
              <w:rPr>
                <w:rFonts w:ascii="Calibri" w:eastAsia="Times New Roman" w:hAnsi="Calibri" w:cs="Calibri"/>
                <w:b/>
                <w:bCs/>
                <w:color w:val="000000"/>
                <w:kern w:val="0"/>
                <w:szCs w:val="24"/>
                <w:lang w:eastAsia="en-US"/>
              </w:rPr>
              <w:t>Government</w:t>
            </w:r>
          </w:p>
        </w:tc>
        <w:tc>
          <w:tcPr>
            <w:tcW w:w="960" w:type="dxa"/>
            <w:vMerge w:val="restart"/>
            <w:tcBorders>
              <w:top w:val="single" w:sz="4" w:space="0" w:color="auto"/>
              <w:left w:val="nil"/>
              <w:bottom w:val="single" w:sz="4" w:space="0" w:color="000000"/>
              <w:right w:val="nil"/>
            </w:tcBorders>
            <w:shd w:val="clear" w:color="auto" w:fill="auto"/>
            <w:vAlign w:val="center"/>
            <w:hideMark/>
          </w:tcPr>
          <w:p w:rsidR="00794CF9" w:rsidRPr="00794CF9" w:rsidRDefault="00794CF9" w:rsidP="00794CF9">
            <w:pPr>
              <w:widowControl/>
              <w:spacing w:line="240" w:lineRule="auto"/>
              <w:jc w:val="center"/>
              <w:rPr>
                <w:rFonts w:ascii="Calibri" w:eastAsia="Times New Roman" w:hAnsi="Calibri" w:cs="Calibri"/>
                <w:b/>
                <w:bCs/>
                <w:color w:val="000000"/>
                <w:kern w:val="0"/>
                <w:szCs w:val="24"/>
                <w:lang w:eastAsia="en-US"/>
              </w:rPr>
            </w:pPr>
            <w:r w:rsidRPr="00794CF9">
              <w:rPr>
                <w:rFonts w:ascii="Calibri" w:eastAsia="Times New Roman" w:hAnsi="Calibri" w:cs="Calibri"/>
                <w:b/>
                <w:bCs/>
                <w:color w:val="000000"/>
                <w:kern w:val="0"/>
                <w:szCs w:val="24"/>
                <w:lang w:eastAsia="en-US"/>
              </w:rPr>
              <w:t>Private</w:t>
            </w:r>
          </w:p>
        </w:tc>
        <w:tc>
          <w:tcPr>
            <w:tcW w:w="1800" w:type="dxa"/>
            <w:vMerge w:val="restart"/>
            <w:tcBorders>
              <w:top w:val="single" w:sz="4" w:space="0" w:color="auto"/>
              <w:left w:val="nil"/>
              <w:bottom w:val="single" w:sz="4" w:space="0" w:color="000000"/>
              <w:right w:val="nil"/>
            </w:tcBorders>
            <w:shd w:val="clear" w:color="auto" w:fill="auto"/>
            <w:vAlign w:val="center"/>
            <w:hideMark/>
          </w:tcPr>
          <w:p w:rsidR="00794CF9" w:rsidRPr="00794CF9" w:rsidRDefault="00794CF9" w:rsidP="00794CF9">
            <w:pPr>
              <w:widowControl/>
              <w:spacing w:line="240" w:lineRule="auto"/>
              <w:jc w:val="center"/>
              <w:rPr>
                <w:rFonts w:ascii="Calibri" w:eastAsia="Times New Roman" w:hAnsi="Calibri" w:cs="Calibri"/>
                <w:b/>
                <w:bCs/>
                <w:color w:val="000000"/>
                <w:kern w:val="0"/>
                <w:szCs w:val="24"/>
                <w:lang w:eastAsia="en-US"/>
              </w:rPr>
            </w:pPr>
            <w:r w:rsidRPr="00794CF9">
              <w:rPr>
                <w:rFonts w:ascii="Calibri" w:eastAsia="Times New Roman" w:hAnsi="Calibri" w:cs="Calibri"/>
                <w:b/>
                <w:bCs/>
                <w:color w:val="000000"/>
                <w:kern w:val="0"/>
                <w:szCs w:val="24"/>
                <w:lang w:eastAsia="en-US"/>
              </w:rPr>
              <w:t>Mixed owned Banks</w:t>
            </w:r>
          </w:p>
        </w:tc>
      </w:tr>
      <w:tr w:rsidR="00794CF9" w:rsidRPr="00794CF9" w:rsidTr="00794CF9">
        <w:trPr>
          <w:divId w:val="1733574345"/>
          <w:trHeight w:val="360"/>
        </w:trPr>
        <w:tc>
          <w:tcPr>
            <w:tcW w:w="3100" w:type="dxa"/>
            <w:vMerge/>
            <w:tcBorders>
              <w:top w:val="single" w:sz="4" w:space="0" w:color="auto"/>
              <w:left w:val="nil"/>
              <w:bottom w:val="single" w:sz="4" w:space="0" w:color="000000"/>
              <w:right w:val="nil"/>
            </w:tcBorders>
            <w:vAlign w:val="center"/>
            <w:hideMark/>
          </w:tcPr>
          <w:p w:rsidR="00794CF9" w:rsidRPr="00794CF9" w:rsidRDefault="00794CF9" w:rsidP="00794CF9">
            <w:pPr>
              <w:widowControl/>
              <w:spacing w:line="240" w:lineRule="auto"/>
              <w:rPr>
                <w:rFonts w:ascii="Calibri" w:eastAsia="Times New Roman" w:hAnsi="Calibri" w:cs="Calibri"/>
                <w:b/>
                <w:bCs/>
                <w:color w:val="000000"/>
                <w:kern w:val="0"/>
                <w:szCs w:val="24"/>
                <w:lang w:eastAsia="en-US"/>
              </w:rPr>
            </w:pPr>
          </w:p>
        </w:tc>
        <w:tc>
          <w:tcPr>
            <w:tcW w:w="1240" w:type="dxa"/>
            <w:vMerge/>
            <w:tcBorders>
              <w:top w:val="single" w:sz="4" w:space="0" w:color="auto"/>
              <w:left w:val="nil"/>
              <w:bottom w:val="single" w:sz="4" w:space="0" w:color="000000"/>
              <w:right w:val="nil"/>
            </w:tcBorders>
            <w:vAlign w:val="center"/>
            <w:hideMark/>
          </w:tcPr>
          <w:p w:rsidR="00794CF9" w:rsidRPr="00794CF9" w:rsidRDefault="00794CF9" w:rsidP="00794CF9">
            <w:pPr>
              <w:widowControl/>
              <w:spacing w:line="240" w:lineRule="auto"/>
              <w:rPr>
                <w:rFonts w:ascii="Calibri" w:eastAsia="Times New Roman" w:hAnsi="Calibri" w:cs="Calibri"/>
                <w:b/>
                <w:bCs/>
                <w:color w:val="000000"/>
                <w:kern w:val="0"/>
                <w:szCs w:val="24"/>
                <w:lang w:eastAsia="en-US"/>
              </w:rPr>
            </w:pPr>
          </w:p>
        </w:tc>
        <w:tc>
          <w:tcPr>
            <w:tcW w:w="1100" w:type="dxa"/>
            <w:vMerge/>
            <w:tcBorders>
              <w:top w:val="single" w:sz="4" w:space="0" w:color="auto"/>
              <w:left w:val="nil"/>
              <w:bottom w:val="single" w:sz="4" w:space="0" w:color="000000"/>
              <w:right w:val="nil"/>
            </w:tcBorders>
            <w:vAlign w:val="center"/>
            <w:hideMark/>
          </w:tcPr>
          <w:p w:rsidR="00794CF9" w:rsidRPr="00794CF9" w:rsidRDefault="00794CF9" w:rsidP="00794CF9">
            <w:pPr>
              <w:widowControl/>
              <w:spacing w:line="240" w:lineRule="auto"/>
              <w:rPr>
                <w:rFonts w:ascii="Calibri" w:eastAsia="Times New Roman" w:hAnsi="Calibri" w:cs="Calibri"/>
                <w:b/>
                <w:bCs/>
                <w:color w:val="000000"/>
                <w:kern w:val="0"/>
                <w:szCs w:val="24"/>
                <w:lang w:eastAsia="en-US"/>
              </w:rPr>
            </w:pPr>
          </w:p>
        </w:tc>
        <w:tc>
          <w:tcPr>
            <w:tcW w:w="960" w:type="dxa"/>
            <w:vMerge/>
            <w:tcBorders>
              <w:top w:val="single" w:sz="4" w:space="0" w:color="auto"/>
              <w:left w:val="nil"/>
              <w:bottom w:val="single" w:sz="4" w:space="0" w:color="000000"/>
              <w:right w:val="nil"/>
            </w:tcBorders>
            <w:vAlign w:val="center"/>
            <w:hideMark/>
          </w:tcPr>
          <w:p w:rsidR="00794CF9" w:rsidRPr="00794CF9" w:rsidRDefault="00794CF9" w:rsidP="00794CF9">
            <w:pPr>
              <w:widowControl/>
              <w:spacing w:line="240" w:lineRule="auto"/>
              <w:rPr>
                <w:rFonts w:ascii="Calibri" w:eastAsia="Times New Roman" w:hAnsi="Calibri" w:cs="Calibri"/>
                <w:b/>
                <w:bCs/>
                <w:color w:val="000000"/>
                <w:kern w:val="0"/>
                <w:szCs w:val="24"/>
                <w:lang w:eastAsia="en-US"/>
              </w:rPr>
            </w:pPr>
          </w:p>
        </w:tc>
        <w:tc>
          <w:tcPr>
            <w:tcW w:w="960" w:type="dxa"/>
            <w:vMerge/>
            <w:tcBorders>
              <w:top w:val="single" w:sz="4" w:space="0" w:color="auto"/>
              <w:left w:val="nil"/>
              <w:bottom w:val="single" w:sz="4" w:space="0" w:color="000000"/>
              <w:right w:val="nil"/>
            </w:tcBorders>
            <w:vAlign w:val="center"/>
            <w:hideMark/>
          </w:tcPr>
          <w:p w:rsidR="00794CF9" w:rsidRPr="00794CF9" w:rsidRDefault="00794CF9" w:rsidP="00794CF9">
            <w:pPr>
              <w:widowControl/>
              <w:spacing w:line="240" w:lineRule="auto"/>
              <w:rPr>
                <w:rFonts w:ascii="Calibri" w:eastAsia="Times New Roman" w:hAnsi="Calibri" w:cs="Calibri"/>
                <w:b/>
                <w:bCs/>
                <w:color w:val="000000"/>
                <w:kern w:val="0"/>
                <w:szCs w:val="24"/>
                <w:lang w:eastAsia="en-US"/>
              </w:rPr>
            </w:pPr>
          </w:p>
        </w:tc>
        <w:tc>
          <w:tcPr>
            <w:tcW w:w="1480" w:type="dxa"/>
            <w:vMerge/>
            <w:tcBorders>
              <w:top w:val="single" w:sz="4" w:space="0" w:color="auto"/>
              <w:left w:val="nil"/>
              <w:bottom w:val="single" w:sz="4" w:space="0" w:color="000000"/>
              <w:right w:val="nil"/>
            </w:tcBorders>
            <w:vAlign w:val="center"/>
            <w:hideMark/>
          </w:tcPr>
          <w:p w:rsidR="00794CF9" w:rsidRPr="00794CF9" w:rsidRDefault="00794CF9" w:rsidP="00794CF9">
            <w:pPr>
              <w:widowControl/>
              <w:spacing w:line="240" w:lineRule="auto"/>
              <w:rPr>
                <w:rFonts w:ascii="Calibri" w:eastAsia="Times New Roman" w:hAnsi="Calibri" w:cs="Calibri"/>
                <w:b/>
                <w:bCs/>
                <w:color w:val="000000"/>
                <w:kern w:val="0"/>
                <w:szCs w:val="24"/>
                <w:lang w:eastAsia="en-US"/>
              </w:rPr>
            </w:pPr>
          </w:p>
        </w:tc>
        <w:tc>
          <w:tcPr>
            <w:tcW w:w="1220" w:type="dxa"/>
            <w:vMerge/>
            <w:tcBorders>
              <w:top w:val="single" w:sz="4" w:space="0" w:color="auto"/>
              <w:left w:val="nil"/>
              <w:bottom w:val="single" w:sz="4" w:space="0" w:color="000000"/>
              <w:right w:val="nil"/>
            </w:tcBorders>
            <w:vAlign w:val="center"/>
            <w:hideMark/>
          </w:tcPr>
          <w:p w:rsidR="00794CF9" w:rsidRPr="00794CF9" w:rsidRDefault="00794CF9" w:rsidP="00794CF9">
            <w:pPr>
              <w:widowControl/>
              <w:spacing w:line="240" w:lineRule="auto"/>
              <w:rPr>
                <w:rFonts w:ascii="Calibri" w:eastAsia="Times New Roman" w:hAnsi="Calibri" w:cs="Calibri"/>
                <w:b/>
                <w:bCs/>
                <w:color w:val="000000"/>
                <w:kern w:val="0"/>
                <w:szCs w:val="24"/>
                <w:lang w:eastAsia="en-US"/>
              </w:rPr>
            </w:pPr>
          </w:p>
        </w:tc>
        <w:tc>
          <w:tcPr>
            <w:tcW w:w="1420" w:type="dxa"/>
            <w:vMerge/>
            <w:tcBorders>
              <w:top w:val="single" w:sz="4" w:space="0" w:color="auto"/>
              <w:left w:val="nil"/>
              <w:bottom w:val="single" w:sz="4" w:space="0" w:color="000000"/>
              <w:right w:val="nil"/>
            </w:tcBorders>
            <w:vAlign w:val="center"/>
            <w:hideMark/>
          </w:tcPr>
          <w:p w:rsidR="00794CF9" w:rsidRPr="00794CF9" w:rsidRDefault="00794CF9" w:rsidP="00794CF9">
            <w:pPr>
              <w:widowControl/>
              <w:spacing w:line="240" w:lineRule="auto"/>
              <w:rPr>
                <w:rFonts w:ascii="Calibri" w:eastAsia="Times New Roman" w:hAnsi="Calibri" w:cs="Calibri"/>
                <w:b/>
                <w:bCs/>
                <w:color w:val="000000"/>
                <w:kern w:val="0"/>
                <w:szCs w:val="24"/>
                <w:lang w:eastAsia="en-US"/>
              </w:rPr>
            </w:pPr>
          </w:p>
        </w:tc>
        <w:tc>
          <w:tcPr>
            <w:tcW w:w="960" w:type="dxa"/>
            <w:vMerge/>
            <w:tcBorders>
              <w:top w:val="single" w:sz="4" w:space="0" w:color="auto"/>
              <w:left w:val="nil"/>
              <w:bottom w:val="single" w:sz="4" w:space="0" w:color="000000"/>
              <w:right w:val="nil"/>
            </w:tcBorders>
            <w:vAlign w:val="center"/>
            <w:hideMark/>
          </w:tcPr>
          <w:p w:rsidR="00794CF9" w:rsidRPr="00794CF9" w:rsidRDefault="00794CF9" w:rsidP="00794CF9">
            <w:pPr>
              <w:widowControl/>
              <w:spacing w:line="240" w:lineRule="auto"/>
              <w:rPr>
                <w:rFonts w:ascii="Calibri" w:eastAsia="Times New Roman" w:hAnsi="Calibri" w:cs="Calibri"/>
                <w:b/>
                <w:bCs/>
                <w:color w:val="000000"/>
                <w:kern w:val="0"/>
                <w:szCs w:val="24"/>
                <w:lang w:eastAsia="en-US"/>
              </w:rPr>
            </w:pPr>
          </w:p>
        </w:tc>
        <w:tc>
          <w:tcPr>
            <w:tcW w:w="1800" w:type="dxa"/>
            <w:vMerge/>
            <w:tcBorders>
              <w:top w:val="single" w:sz="4" w:space="0" w:color="auto"/>
              <w:left w:val="nil"/>
              <w:bottom w:val="single" w:sz="4" w:space="0" w:color="000000"/>
              <w:right w:val="nil"/>
            </w:tcBorders>
            <w:vAlign w:val="center"/>
            <w:hideMark/>
          </w:tcPr>
          <w:p w:rsidR="00794CF9" w:rsidRPr="00794CF9" w:rsidRDefault="00794CF9" w:rsidP="00794CF9">
            <w:pPr>
              <w:widowControl/>
              <w:spacing w:line="240" w:lineRule="auto"/>
              <w:rPr>
                <w:rFonts w:ascii="Calibri" w:eastAsia="Times New Roman" w:hAnsi="Calibri" w:cs="Calibri"/>
                <w:b/>
                <w:bCs/>
                <w:color w:val="000000"/>
                <w:kern w:val="0"/>
                <w:szCs w:val="24"/>
                <w:lang w:eastAsia="en-US"/>
              </w:rPr>
            </w:pPr>
          </w:p>
        </w:tc>
      </w:tr>
      <w:tr w:rsidR="00794CF9" w:rsidRPr="00794CF9" w:rsidTr="00794CF9">
        <w:trPr>
          <w:divId w:val="1733574345"/>
          <w:trHeight w:val="300"/>
        </w:trPr>
        <w:tc>
          <w:tcPr>
            <w:tcW w:w="3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 xml:space="preserve">Emirates Bank International </w:t>
            </w:r>
          </w:p>
        </w:tc>
        <w:tc>
          <w:tcPr>
            <w:tcW w:w="124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1999-2008</w:t>
            </w:r>
          </w:p>
        </w:tc>
        <w:tc>
          <w:tcPr>
            <w:tcW w:w="1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10</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UAE</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48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4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r>
      <w:tr w:rsidR="00794CF9" w:rsidRPr="00794CF9" w:rsidTr="00794CF9">
        <w:trPr>
          <w:divId w:val="1733574345"/>
          <w:trHeight w:val="300"/>
        </w:trPr>
        <w:tc>
          <w:tcPr>
            <w:tcW w:w="3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First Gulf Bank</w:t>
            </w:r>
          </w:p>
        </w:tc>
        <w:tc>
          <w:tcPr>
            <w:tcW w:w="124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12</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UAE</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48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4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r>
      <w:tr w:rsidR="00794CF9" w:rsidRPr="00794CF9" w:rsidTr="00794CF9">
        <w:trPr>
          <w:divId w:val="1733574345"/>
          <w:trHeight w:val="300"/>
        </w:trPr>
        <w:tc>
          <w:tcPr>
            <w:tcW w:w="3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rPr>
                <w:rFonts w:ascii="Calibri" w:eastAsia="Times New Roman" w:hAnsi="Calibri" w:cs="Calibri"/>
                <w:color w:val="000000"/>
                <w:kern w:val="0"/>
                <w:szCs w:val="24"/>
                <w:lang w:eastAsia="en-US"/>
              </w:rPr>
            </w:pPr>
            <w:proofErr w:type="spellStart"/>
            <w:r w:rsidRPr="00794CF9">
              <w:rPr>
                <w:rFonts w:ascii="Calibri" w:eastAsia="Times New Roman" w:hAnsi="Calibri" w:cs="Calibri"/>
                <w:color w:val="000000"/>
                <w:kern w:val="0"/>
                <w:szCs w:val="24"/>
                <w:lang w:eastAsia="en-US"/>
              </w:rPr>
              <w:t>Mashreq</w:t>
            </w:r>
            <w:proofErr w:type="spellEnd"/>
            <w:r w:rsidRPr="00794CF9">
              <w:rPr>
                <w:rFonts w:ascii="Calibri" w:eastAsia="Times New Roman" w:hAnsi="Calibri" w:cs="Calibri"/>
                <w:color w:val="000000"/>
                <w:kern w:val="0"/>
                <w:szCs w:val="24"/>
                <w:lang w:eastAsia="en-US"/>
              </w:rPr>
              <w:t xml:space="preserve"> bank</w:t>
            </w:r>
          </w:p>
        </w:tc>
        <w:tc>
          <w:tcPr>
            <w:tcW w:w="124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12</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UAE</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48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4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r>
      <w:tr w:rsidR="00794CF9" w:rsidRPr="00794CF9" w:rsidTr="00794CF9">
        <w:trPr>
          <w:divId w:val="1733574345"/>
          <w:trHeight w:val="300"/>
        </w:trPr>
        <w:tc>
          <w:tcPr>
            <w:tcW w:w="3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National Bank of Abu Dhabi</w:t>
            </w:r>
          </w:p>
        </w:tc>
        <w:tc>
          <w:tcPr>
            <w:tcW w:w="124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12</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UAE</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48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4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r>
      <w:tr w:rsidR="00794CF9" w:rsidRPr="00794CF9" w:rsidTr="00794CF9">
        <w:trPr>
          <w:divId w:val="1733574345"/>
          <w:trHeight w:val="300"/>
        </w:trPr>
        <w:tc>
          <w:tcPr>
            <w:tcW w:w="3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National Bank of Dubai Public Joint Company</w:t>
            </w:r>
          </w:p>
        </w:tc>
        <w:tc>
          <w:tcPr>
            <w:tcW w:w="124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1999-2002</w:t>
            </w:r>
          </w:p>
        </w:tc>
        <w:tc>
          <w:tcPr>
            <w:tcW w:w="1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4</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UAE</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48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4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r>
      <w:tr w:rsidR="00794CF9" w:rsidRPr="00794CF9" w:rsidTr="00794CF9">
        <w:trPr>
          <w:divId w:val="1733574345"/>
          <w:trHeight w:val="300"/>
        </w:trPr>
        <w:tc>
          <w:tcPr>
            <w:tcW w:w="3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National Bank of Fujairah</w:t>
            </w:r>
          </w:p>
        </w:tc>
        <w:tc>
          <w:tcPr>
            <w:tcW w:w="124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12</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UAE</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48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4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 xml:space="preserve"> </w:t>
            </w:r>
          </w:p>
        </w:tc>
        <w:tc>
          <w:tcPr>
            <w:tcW w:w="18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r>
      <w:tr w:rsidR="00794CF9" w:rsidRPr="00794CF9" w:rsidTr="00794CF9">
        <w:trPr>
          <w:divId w:val="1733574345"/>
          <w:trHeight w:val="300"/>
        </w:trPr>
        <w:tc>
          <w:tcPr>
            <w:tcW w:w="3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National Bank of Umm Al-</w:t>
            </w:r>
            <w:proofErr w:type="spellStart"/>
            <w:r w:rsidRPr="00794CF9">
              <w:rPr>
                <w:rFonts w:ascii="Calibri" w:eastAsia="Times New Roman" w:hAnsi="Calibri" w:cs="Calibri"/>
                <w:color w:val="000000"/>
                <w:kern w:val="0"/>
                <w:szCs w:val="24"/>
                <w:lang w:eastAsia="en-US"/>
              </w:rPr>
              <w:t>Qaiwain</w:t>
            </w:r>
            <w:proofErr w:type="spellEnd"/>
          </w:p>
        </w:tc>
        <w:tc>
          <w:tcPr>
            <w:tcW w:w="124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12</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UAE</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48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4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8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r>
      <w:tr w:rsidR="00794CF9" w:rsidRPr="00794CF9" w:rsidTr="00794CF9">
        <w:trPr>
          <w:divId w:val="1733574345"/>
          <w:trHeight w:val="300"/>
        </w:trPr>
        <w:tc>
          <w:tcPr>
            <w:tcW w:w="3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 xml:space="preserve">National Bank of </w:t>
            </w:r>
            <w:proofErr w:type="spellStart"/>
            <w:r w:rsidRPr="00794CF9">
              <w:rPr>
                <w:rFonts w:ascii="Calibri" w:eastAsia="Times New Roman" w:hAnsi="Calibri" w:cs="Calibri"/>
                <w:color w:val="000000"/>
                <w:kern w:val="0"/>
                <w:szCs w:val="24"/>
                <w:lang w:eastAsia="en-US"/>
              </w:rPr>
              <w:t>Ras</w:t>
            </w:r>
            <w:proofErr w:type="spellEnd"/>
            <w:r w:rsidRPr="00794CF9">
              <w:rPr>
                <w:rFonts w:ascii="Calibri" w:eastAsia="Times New Roman" w:hAnsi="Calibri" w:cs="Calibri"/>
                <w:color w:val="000000"/>
                <w:kern w:val="0"/>
                <w:szCs w:val="24"/>
                <w:lang w:eastAsia="en-US"/>
              </w:rPr>
              <w:t xml:space="preserve"> Al-</w:t>
            </w:r>
            <w:proofErr w:type="spellStart"/>
            <w:r w:rsidRPr="00794CF9">
              <w:rPr>
                <w:rFonts w:ascii="Calibri" w:eastAsia="Times New Roman" w:hAnsi="Calibri" w:cs="Calibri"/>
                <w:color w:val="000000"/>
                <w:kern w:val="0"/>
                <w:szCs w:val="24"/>
                <w:lang w:eastAsia="en-US"/>
              </w:rPr>
              <w:t>Khaimah</w:t>
            </w:r>
            <w:proofErr w:type="spellEnd"/>
          </w:p>
        </w:tc>
        <w:tc>
          <w:tcPr>
            <w:tcW w:w="124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12</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UAE</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48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4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r>
      <w:tr w:rsidR="00794CF9" w:rsidRPr="00794CF9" w:rsidTr="00794CF9">
        <w:trPr>
          <w:divId w:val="1733574345"/>
          <w:trHeight w:val="300"/>
        </w:trPr>
        <w:tc>
          <w:tcPr>
            <w:tcW w:w="3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Union National Bank</w:t>
            </w:r>
          </w:p>
        </w:tc>
        <w:tc>
          <w:tcPr>
            <w:tcW w:w="124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12</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UAE</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48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4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r>
      <w:tr w:rsidR="00794CF9" w:rsidRPr="00794CF9" w:rsidTr="00794CF9">
        <w:trPr>
          <w:divId w:val="1733574345"/>
          <w:trHeight w:val="300"/>
        </w:trPr>
        <w:tc>
          <w:tcPr>
            <w:tcW w:w="3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United Arab Bank</w:t>
            </w:r>
          </w:p>
        </w:tc>
        <w:tc>
          <w:tcPr>
            <w:tcW w:w="124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1999-2010</w:t>
            </w:r>
          </w:p>
        </w:tc>
        <w:tc>
          <w:tcPr>
            <w:tcW w:w="11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12</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UAE</w:t>
            </w: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48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12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42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c>
          <w:tcPr>
            <w:tcW w:w="96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Y</w:t>
            </w:r>
          </w:p>
        </w:tc>
        <w:tc>
          <w:tcPr>
            <w:tcW w:w="1800" w:type="dxa"/>
            <w:tcBorders>
              <w:top w:val="nil"/>
              <w:left w:val="nil"/>
              <w:bottom w:val="nil"/>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p>
        </w:tc>
      </w:tr>
      <w:tr w:rsidR="00794CF9" w:rsidRPr="00794CF9" w:rsidTr="00794CF9">
        <w:trPr>
          <w:divId w:val="1733574345"/>
          <w:trHeight w:val="315"/>
        </w:trPr>
        <w:tc>
          <w:tcPr>
            <w:tcW w:w="3100" w:type="dxa"/>
            <w:tcBorders>
              <w:top w:val="single" w:sz="4" w:space="0" w:color="auto"/>
              <w:left w:val="nil"/>
              <w:bottom w:val="single" w:sz="8" w:space="0" w:color="auto"/>
              <w:right w:val="nil"/>
            </w:tcBorders>
            <w:shd w:val="clear" w:color="auto" w:fill="auto"/>
            <w:noWrap/>
            <w:vAlign w:val="center"/>
            <w:hideMark/>
          </w:tcPr>
          <w:p w:rsidR="00794CF9" w:rsidRPr="00794CF9" w:rsidRDefault="00794CF9" w:rsidP="00794CF9">
            <w:pPr>
              <w:widowControl/>
              <w:spacing w:line="240" w:lineRule="auto"/>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Total    45 banks</w:t>
            </w:r>
          </w:p>
        </w:tc>
        <w:tc>
          <w:tcPr>
            <w:tcW w:w="1240" w:type="dxa"/>
            <w:tcBorders>
              <w:top w:val="single" w:sz="4" w:space="0" w:color="auto"/>
              <w:left w:val="nil"/>
              <w:bottom w:val="single" w:sz="8" w:space="0" w:color="auto"/>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 xml:space="preserve"> </w:t>
            </w:r>
          </w:p>
        </w:tc>
        <w:tc>
          <w:tcPr>
            <w:tcW w:w="1100" w:type="dxa"/>
            <w:tcBorders>
              <w:top w:val="single" w:sz="4" w:space="0" w:color="auto"/>
              <w:left w:val="nil"/>
              <w:bottom w:val="single" w:sz="8" w:space="0" w:color="auto"/>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lang w:eastAsia="en-US"/>
              </w:rPr>
              <w:t>504</w:t>
            </w:r>
          </w:p>
        </w:tc>
        <w:tc>
          <w:tcPr>
            <w:tcW w:w="960" w:type="dxa"/>
            <w:tcBorders>
              <w:top w:val="single" w:sz="4" w:space="0" w:color="auto"/>
              <w:left w:val="nil"/>
              <w:bottom w:val="single" w:sz="8" w:space="0" w:color="auto"/>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rPr>
              <w:t> </w:t>
            </w:r>
          </w:p>
        </w:tc>
        <w:tc>
          <w:tcPr>
            <w:tcW w:w="960" w:type="dxa"/>
            <w:tcBorders>
              <w:top w:val="single" w:sz="4" w:space="0" w:color="auto"/>
              <w:left w:val="nil"/>
              <w:bottom w:val="single" w:sz="8" w:space="0" w:color="auto"/>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rPr>
              <w:t> </w:t>
            </w:r>
          </w:p>
        </w:tc>
        <w:tc>
          <w:tcPr>
            <w:tcW w:w="1480" w:type="dxa"/>
            <w:tcBorders>
              <w:top w:val="single" w:sz="4" w:space="0" w:color="auto"/>
              <w:left w:val="nil"/>
              <w:bottom w:val="single" w:sz="8" w:space="0" w:color="auto"/>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rPr>
              <w:t> </w:t>
            </w:r>
          </w:p>
        </w:tc>
        <w:tc>
          <w:tcPr>
            <w:tcW w:w="1220" w:type="dxa"/>
            <w:tcBorders>
              <w:top w:val="single" w:sz="4" w:space="0" w:color="auto"/>
              <w:left w:val="nil"/>
              <w:bottom w:val="single" w:sz="8" w:space="0" w:color="auto"/>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rPr>
              <w:t> </w:t>
            </w:r>
          </w:p>
        </w:tc>
        <w:tc>
          <w:tcPr>
            <w:tcW w:w="1420" w:type="dxa"/>
            <w:tcBorders>
              <w:top w:val="single" w:sz="4" w:space="0" w:color="auto"/>
              <w:left w:val="nil"/>
              <w:bottom w:val="single" w:sz="8" w:space="0" w:color="auto"/>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rPr>
              <w:t> </w:t>
            </w:r>
          </w:p>
        </w:tc>
        <w:tc>
          <w:tcPr>
            <w:tcW w:w="960" w:type="dxa"/>
            <w:tcBorders>
              <w:top w:val="single" w:sz="4" w:space="0" w:color="auto"/>
              <w:left w:val="nil"/>
              <w:bottom w:val="single" w:sz="8" w:space="0" w:color="auto"/>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rPr>
              <w:t> </w:t>
            </w:r>
          </w:p>
        </w:tc>
        <w:tc>
          <w:tcPr>
            <w:tcW w:w="1800" w:type="dxa"/>
            <w:tcBorders>
              <w:top w:val="single" w:sz="4" w:space="0" w:color="auto"/>
              <w:left w:val="nil"/>
              <w:bottom w:val="single" w:sz="8" w:space="0" w:color="auto"/>
              <w:right w:val="nil"/>
            </w:tcBorders>
            <w:shd w:val="clear" w:color="auto" w:fill="auto"/>
            <w:noWrap/>
            <w:vAlign w:val="center"/>
            <w:hideMark/>
          </w:tcPr>
          <w:p w:rsidR="00794CF9" w:rsidRPr="00794CF9" w:rsidRDefault="00794CF9" w:rsidP="00794CF9">
            <w:pPr>
              <w:widowControl/>
              <w:spacing w:line="240" w:lineRule="auto"/>
              <w:jc w:val="center"/>
              <w:rPr>
                <w:rFonts w:ascii="Calibri" w:eastAsia="Times New Roman" w:hAnsi="Calibri" w:cs="Calibri"/>
                <w:color w:val="000000"/>
                <w:kern w:val="0"/>
                <w:szCs w:val="24"/>
                <w:lang w:eastAsia="en-US"/>
              </w:rPr>
            </w:pPr>
            <w:r w:rsidRPr="00794CF9">
              <w:rPr>
                <w:rFonts w:ascii="Calibri" w:eastAsia="Times New Roman" w:hAnsi="Calibri" w:cs="Calibri"/>
                <w:color w:val="000000"/>
                <w:kern w:val="0"/>
                <w:szCs w:val="24"/>
              </w:rPr>
              <w:t> </w:t>
            </w:r>
          </w:p>
        </w:tc>
      </w:tr>
    </w:tbl>
    <w:p w:rsidR="008E3515" w:rsidRDefault="004202A3" w:rsidP="00A44EB0">
      <w:pPr>
        <w:widowControl/>
        <w:rPr>
          <w:szCs w:val="24"/>
        </w:rPr>
      </w:pPr>
      <w:r w:rsidRPr="0076280D">
        <w:rPr>
          <w:szCs w:val="24"/>
        </w:rPr>
        <w:fldChar w:fldCharType="end"/>
      </w:r>
    </w:p>
    <w:p w:rsidR="008E3515" w:rsidRDefault="008E3515" w:rsidP="00A44EB0">
      <w:pPr>
        <w:widowControl/>
        <w:rPr>
          <w:szCs w:val="24"/>
        </w:rPr>
      </w:pPr>
    </w:p>
    <w:p w:rsidR="00D2505F" w:rsidRDefault="00D2505F" w:rsidP="00582996">
      <w:pPr>
        <w:widowControl/>
        <w:rPr>
          <w:rFonts w:ascii="Times New Roman" w:hAnsi="Times New Roman" w:cs="Times New Roman"/>
          <w:sz w:val="20"/>
          <w:szCs w:val="20"/>
        </w:rPr>
      </w:pPr>
    </w:p>
    <w:p w:rsidR="00F00772" w:rsidRPr="00CB51B7" w:rsidRDefault="0032378E" w:rsidP="00F00772">
      <w:pPr>
        <w:pStyle w:val="BodyTextIndent"/>
      </w:pPr>
      <w:r>
        <w:lastRenderedPageBreak/>
        <w:t>T</w:t>
      </w:r>
      <w:r w:rsidR="00162BC0" w:rsidRPr="00F00772">
        <w:t>able 2</w:t>
      </w:r>
      <w:r w:rsidR="00162BC0" w:rsidRPr="0094518D">
        <w:rPr>
          <w:sz w:val="20"/>
          <w:szCs w:val="20"/>
        </w:rPr>
        <w:t xml:space="preserve"> </w:t>
      </w:r>
      <w:r w:rsidR="00F00772" w:rsidRPr="00CB51B7">
        <w:rPr>
          <w:bCs/>
        </w:rPr>
        <w:t>Definitions of Variables and Cross-Product Terms</w:t>
      </w:r>
    </w:p>
    <w:tbl>
      <w:tblPr>
        <w:tblW w:w="11560" w:type="dxa"/>
        <w:tblInd w:w="13" w:type="dxa"/>
        <w:tblCellMar>
          <w:left w:w="28" w:type="dxa"/>
          <w:right w:w="28" w:type="dxa"/>
        </w:tblCellMar>
        <w:tblLook w:val="04A0" w:firstRow="1" w:lastRow="0" w:firstColumn="1" w:lastColumn="0" w:noHBand="0" w:noVBand="1"/>
      </w:tblPr>
      <w:tblGrid>
        <w:gridCol w:w="1420"/>
        <w:gridCol w:w="10140"/>
      </w:tblGrid>
      <w:tr w:rsidR="00162BC0" w:rsidRPr="0094518D" w:rsidTr="00162BC0">
        <w:trPr>
          <w:trHeight w:val="315"/>
        </w:trPr>
        <w:tc>
          <w:tcPr>
            <w:tcW w:w="1420" w:type="dxa"/>
            <w:tcBorders>
              <w:top w:val="single" w:sz="4" w:space="0" w:color="auto"/>
              <w:left w:val="nil"/>
              <w:bottom w:val="single" w:sz="4" w:space="0" w:color="auto"/>
              <w:right w:val="nil"/>
            </w:tcBorders>
            <w:shd w:val="clear" w:color="auto" w:fill="auto"/>
            <w:noWrap/>
            <w:vAlign w:val="bottom"/>
            <w:hideMark/>
          </w:tcPr>
          <w:p w:rsidR="00162BC0" w:rsidRPr="0094518D" w:rsidRDefault="00162BC0" w:rsidP="00162BC0">
            <w:pPr>
              <w:widowControl/>
              <w:spacing w:line="240" w:lineRule="auto"/>
              <w:jc w:val="center"/>
              <w:rPr>
                <w:rFonts w:ascii="Times New Roman" w:eastAsia="PMingLiU" w:hAnsi="Times New Roman" w:cs="Times New Roman"/>
                <w:b/>
                <w:bCs/>
                <w:color w:val="000000"/>
                <w:kern w:val="0"/>
                <w:sz w:val="20"/>
                <w:szCs w:val="20"/>
              </w:rPr>
            </w:pPr>
            <w:r w:rsidRPr="0094518D">
              <w:rPr>
                <w:rFonts w:ascii="Times New Roman" w:eastAsia="PMingLiU" w:hAnsi="Times New Roman" w:cs="Times New Roman"/>
                <w:b/>
                <w:bCs/>
                <w:color w:val="000000"/>
                <w:kern w:val="0"/>
                <w:sz w:val="20"/>
                <w:szCs w:val="20"/>
              </w:rPr>
              <w:t>Variable</w:t>
            </w:r>
          </w:p>
        </w:tc>
        <w:tc>
          <w:tcPr>
            <w:tcW w:w="10140" w:type="dxa"/>
            <w:tcBorders>
              <w:top w:val="single" w:sz="4" w:space="0" w:color="auto"/>
              <w:left w:val="nil"/>
              <w:bottom w:val="single" w:sz="4" w:space="0" w:color="auto"/>
              <w:right w:val="nil"/>
            </w:tcBorders>
            <w:shd w:val="clear" w:color="auto" w:fill="auto"/>
            <w:noWrap/>
            <w:vAlign w:val="bottom"/>
            <w:hideMark/>
          </w:tcPr>
          <w:p w:rsidR="00162BC0" w:rsidRPr="0094518D" w:rsidRDefault="00162BC0" w:rsidP="00162BC0">
            <w:pPr>
              <w:widowControl/>
              <w:spacing w:line="240" w:lineRule="auto"/>
              <w:jc w:val="center"/>
              <w:rPr>
                <w:rFonts w:ascii="Times New Roman" w:eastAsia="PMingLiU" w:hAnsi="Times New Roman" w:cs="Times New Roman"/>
                <w:b/>
                <w:bCs/>
                <w:color w:val="000000"/>
                <w:kern w:val="0"/>
                <w:sz w:val="20"/>
                <w:szCs w:val="20"/>
              </w:rPr>
            </w:pPr>
            <w:r w:rsidRPr="0094518D">
              <w:rPr>
                <w:rFonts w:ascii="Times New Roman" w:eastAsia="PMingLiU" w:hAnsi="Times New Roman" w:cs="Times New Roman"/>
                <w:b/>
                <w:bCs/>
                <w:color w:val="000000"/>
                <w:kern w:val="0"/>
                <w:sz w:val="20"/>
                <w:szCs w:val="20"/>
              </w:rPr>
              <w:t>Description</w:t>
            </w:r>
          </w:p>
        </w:tc>
      </w:tr>
      <w:tr w:rsidR="00162BC0" w:rsidRPr="0094518D" w:rsidTr="00162BC0">
        <w:trPr>
          <w:trHeight w:val="315"/>
        </w:trPr>
        <w:tc>
          <w:tcPr>
            <w:tcW w:w="11560" w:type="dxa"/>
            <w:gridSpan w:val="2"/>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i/>
                <w:iCs/>
                <w:color w:val="000000"/>
                <w:kern w:val="0"/>
                <w:sz w:val="20"/>
                <w:szCs w:val="20"/>
              </w:rPr>
            </w:pPr>
            <w:r w:rsidRPr="0094518D">
              <w:rPr>
                <w:rFonts w:ascii="Times New Roman" w:eastAsia="PMingLiU" w:hAnsi="Times New Roman" w:cs="Times New Roman"/>
                <w:i/>
                <w:iCs/>
                <w:color w:val="000000"/>
                <w:kern w:val="0"/>
                <w:sz w:val="20"/>
                <w:szCs w:val="20"/>
              </w:rPr>
              <w:t>Dependent Variables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TC </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total costs=interest expenses, cost of premises and fixed cost in million US dollars.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NI </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Net income in million US dollars.</w:t>
            </w:r>
          </w:p>
        </w:tc>
      </w:tr>
      <w:tr w:rsidR="00162BC0" w:rsidRPr="0094518D" w:rsidTr="00162BC0">
        <w:trPr>
          <w:trHeight w:val="315"/>
        </w:trPr>
        <w:tc>
          <w:tcPr>
            <w:tcW w:w="11560" w:type="dxa"/>
            <w:gridSpan w:val="2"/>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i/>
                <w:iCs/>
                <w:color w:val="000000"/>
                <w:kern w:val="0"/>
                <w:sz w:val="20"/>
                <w:szCs w:val="20"/>
              </w:rPr>
            </w:pPr>
            <w:r w:rsidRPr="0094518D">
              <w:rPr>
                <w:rFonts w:ascii="Times New Roman" w:eastAsia="PMingLiU" w:hAnsi="Times New Roman" w:cs="Times New Roman"/>
                <w:i/>
                <w:iCs/>
                <w:color w:val="000000"/>
                <w:kern w:val="0"/>
                <w:sz w:val="20"/>
                <w:szCs w:val="20"/>
              </w:rPr>
              <w:t>Output Variables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Y1 </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total amount of net loans in million US dollars.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Y2 </w:t>
            </w:r>
          </w:p>
        </w:tc>
        <w:tc>
          <w:tcPr>
            <w:tcW w:w="10140" w:type="dxa"/>
            <w:tcBorders>
              <w:top w:val="nil"/>
              <w:left w:val="nil"/>
              <w:bottom w:val="nil"/>
              <w:right w:val="nil"/>
            </w:tcBorders>
            <w:shd w:val="clear" w:color="auto" w:fill="auto"/>
            <w:noWrap/>
            <w:vAlign w:val="bottom"/>
            <w:hideMark/>
          </w:tcPr>
          <w:p w:rsidR="00162BC0" w:rsidRPr="0094518D" w:rsidRDefault="0064514D"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total a</w:t>
            </w:r>
            <w:r w:rsidR="00162BC0" w:rsidRPr="0094518D">
              <w:rPr>
                <w:rFonts w:ascii="Times New Roman" w:eastAsia="PMingLiU" w:hAnsi="Times New Roman" w:cs="Times New Roman"/>
                <w:color w:val="000000"/>
                <w:kern w:val="0"/>
                <w:sz w:val="20"/>
                <w:szCs w:val="20"/>
              </w:rPr>
              <w:t>moun</w:t>
            </w:r>
            <w:r w:rsidRPr="0094518D">
              <w:rPr>
                <w:rFonts w:ascii="Times New Roman" w:eastAsia="PMingLiU" w:hAnsi="Times New Roman" w:cs="Times New Roman"/>
                <w:color w:val="000000"/>
                <w:kern w:val="0"/>
                <w:sz w:val="20"/>
                <w:szCs w:val="20"/>
              </w:rPr>
              <w:t>t</w:t>
            </w:r>
            <w:r w:rsidR="00162BC0" w:rsidRPr="0094518D">
              <w:rPr>
                <w:rFonts w:ascii="Times New Roman" w:eastAsia="PMingLiU" w:hAnsi="Times New Roman" w:cs="Times New Roman"/>
                <w:color w:val="000000"/>
                <w:kern w:val="0"/>
                <w:sz w:val="20"/>
                <w:szCs w:val="20"/>
              </w:rPr>
              <w:t xml:space="preserve"> of security investments in million US dollars.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Y3 </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Other earning assets in million US dollars.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i/>
                <w:iCs/>
                <w:color w:val="000000"/>
                <w:kern w:val="0"/>
                <w:sz w:val="20"/>
                <w:szCs w:val="20"/>
              </w:rPr>
            </w:pPr>
            <w:r w:rsidRPr="0094518D">
              <w:rPr>
                <w:rFonts w:ascii="Times New Roman" w:eastAsia="PMingLiU" w:hAnsi="Times New Roman" w:cs="Times New Roman"/>
                <w:i/>
                <w:iCs/>
                <w:color w:val="000000"/>
                <w:kern w:val="0"/>
                <w:sz w:val="20"/>
                <w:szCs w:val="20"/>
              </w:rPr>
              <w:t>Input Prices</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P1 </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cost of funds in percentage=ratio of interest expense to borrowed funds.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P2 </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cost of labor proxy=employee expenses/total assets in percentage.</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P3 </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cost of fi</w:t>
            </w:r>
            <w:r w:rsidR="00E642FB">
              <w:rPr>
                <w:rFonts w:ascii="Times New Roman" w:eastAsia="PMingLiU" w:hAnsi="Times New Roman" w:cs="Times New Roman"/>
                <w:color w:val="000000"/>
                <w:kern w:val="0"/>
                <w:sz w:val="20"/>
                <w:szCs w:val="20"/>
              </w:rPr>
              <w:t>xed cost proxy=fixed cost</w:t>
            </w:r>
            <w:r w:rsidR="009F53FA">
              <w:rPr>
                <w:rFonts w:ascii="Times New Roman" w:eastAsia="PMingLiU" w:hAnsi="Times New Roman" w:cs="Times New Roman"/>
                <w:color w:val="000000"/>
                <w:kern w:val="0"/>
                <w:sz w:val="20"/>
                <w:szCs w:val="20"/>
              </w:rPr>
              <w:t>/total Assets</w:t>
            </w:r>
          </w:p>
        </w:tc>
      </w:tr>
      <w:tr w:rsidR="00162BC0" w:rsidRPr="0094518D" w:rsidTr="00162BC0">
        <w:trPr>
          <w:trHeight w:val="315"/>
        </w:trPr>
        <w:tc>
          <w:tcPr>
            <w:tcW w:w="11560" w:type="dxa"/>
            <w:gridSpan w:val="2"/>
            <w:tcBorders>
              <w:top w:val="nil"/>
              <w:left w:val="nil"/>
              <w:bottom w:val="nil"/>
              <w:right w:val="nil"/>
            </w:tcBorders>
            <w:shd w:val="clear" w:color="auto" w:fill="auto"/>
            <w:noWrap/>
            <w:vAlign w:val="bottom"/>
            <w:hideMark/>
          </w:tcPr>
          <w:p w:rsidR="00162BC0" w:rsidRPr="0094518D" w:rsidRDefault="0064514D" w:rsidP="00162BC0">
            <w:pPr>
              <w:widowControl/>
              <w:spacing w:line="240" w:lineRule="auto"/>
              <w:rPr>
                <w:rFonts w:ascii="Times New Roman" w:eastAsia="PMingLiU" w:hAnsi="Times New Roman" w:cs="Times New Roman"/>
                <w:i/>
                <w:iCs/>
                <w:color w:val="000000"/>
                <w:kern w:val="0"/>
                <w:sz w:val="20"/>
                <w:szCs w:val="20"/>
              </w:rPr>
            </w:pPr>
            <w:r w:rsidRPr="0094518D">
              <w:rPr>
                <w:rFonts w:ascii="Times New Roman" w:eastAsia="PMingLiU" w:hAnsi="Times New Roman" w:cs="Times New Roman"/>
                <w:i/>
                <w:iCs/>
                <w:color w:val="000000"/>
                <w:kern w:val="0"/>
                <w:sz w:val="20"/>
                <w:szCs w:val="20"/>
              </w:rPr>
              <w:t xml:space="preserve">Other </w:t>
            </w:r>
            <w:r w:rsidR="00162BC0" w:rsidRPr="0094518D">
              <w:rPr>
                <w:rFonts w:ascii="Times New Roman" w:eastAsia="PMingLiU" w:hAnsi="Times New Roman" w:cs="Times New Roman"/>
                <w:i/>
                <w:iCs/>
                <w:color w:val="000000"/>
                <w:kern w:val="0"/>
                <w:sz w:val="20"/>
                <w:szCs w:val="20"/>
              </w:rPr>
              <w:t>Variables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EQUITY </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total amount of equities in million US dollars.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NPL </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non-performing loans/total gross loans in percentage.</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TIER1 </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Basel II tier-1 capital/total loans in percentage.</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CAPITAL </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capital ratio=total capital reserves/ total loans in percentage</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ASSET</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amount of total assets in million US dollars.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SIZE</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proxy of the size of a bank. It is the natural logrithm of the amount of total assets in million US dollars.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BORROW </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borrowed funds in million US dollars.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EA</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total equity to total asset ratio.</w:t>
            </w:r>
          </w:p>
        </w:tc>
      </w:tr>
      <w:tr w:rsidR="00162BC0" w:rsidRPr="0094518D" w:rsidTr="00162BC0">
        <w:trPr>
          <w:trHeight w:val="315"/>
        </w:trPr>
        <w:tc>
          <w:tcPr>
            <w:tcW w:w="11560" w:type="dxa"/>
            <w:gridSpan w:val="2"/>
            <w:tcBorders>
              <w:top w:val="nil"/>
              <w:left w:val="nil"/>
              <w:bottom w:val="nil"/>
              <w:right w:val="nil"/>
            </w:tcBorders>
            <w:shd w:val="clear" w:color="auto" w:fill="auto"/>
            <w:noWrap/>
            <w:vAlign w:val="bottom"/>
            <w:hideMark/>
          </w:tcPr>
          <w:p w:rsidR="00246252" w:rsidRDefault="00246252" w:rsidP="00162BC0">
            <w:pPr>
              <w:widowControl/>
              <w:spacing w:line="240" w:lineRule="auto"/>
              <w:rPr>
                <w:rFonts w:ascii="Times New Roman" w:eastAsia="PMingLiU" w:hAnsi="Times New Roman" w:cs="Times New Roman"/>
                <w:i/>
                <w:iCs/>
                <w:color w:val="000000"/>
                <w:kern w:val="0"/>
                <w:sz w:val="20"/>
                <w:szCs w:val="20"/>
              </w:rPr>
            </w:pPr>
          </w:p>
          <w:p w:rsidR="00246252" w:rsidRDefault="00246252" w:rsidP="00162BC0">
            <w:pPr>
              <w:widowControl/>
              <w:spacing w:line="240" w:lineRule="auto"/>
              <w:rPr>
                <w:rFonts w:ascii="Times New Roman" w:eastAsia="PMingLiU" w:hAnsi="Times New Roman" w:cs="Times New Roman"/>
                <w:i/>
                <w:iCs/>
                <w:color w:val="000000"/>
                <w:kern w:val="0"/>
                <w:sz w:val="20"/>
                <w:szCs w:val="20"/>
              </w:rPr>
            </w:pPr>
          </w:p>
          <w:p w:rsidR="00246252" w:rsidRPr="00AC3CBF" w:rsidRDefault="00246252" w:rsidP="00246252">
            <w:pPr>
              <w:pStyle w:val="BodyTextIndent"/>
              <w:rPr>
                <w:b/>
              </w:rPr>
            </w:pPr>
            <w:r w:rsidRPr="00AC3CBF">
              <w:rPr>
                <w:b/>
              </w:rPr>
              <w:t xml:space="preserve">Table 2 (Contd.) </w:t>
            </w:r>
            <w:r w:rsidRPr="00AC3CBF">
              <w:rPr>
                <w:b/>
                <w:sz w:val="20"/>
                <w:szCs w:val="20"/>
              </w:rPr>
              <w:t xml:space="preserve"> </w:t>
            </w:r>
            <w:r w:rsidRPr="00AC3CBF">
              <w:rPr>
                <w:b/>
                <w:bCs/>
              </w:rPr>
              <w:t>Definitions of Variables and Cross-Product Terms</w:t>
            </w:r>
          </w:p>
          <w:p w:rsidR="00246252" w:rsidRDefault="00246252" w:rsidP="00162BC0">
            <w:pPr>
              <w:widowControl/>
              <w:spacing w:line="240" w:lineRule="auto"/>
              <w:rPr>
                <w:rFonts w:ascii="Times New Roman" w:eastAsia="PMingLiU" w:hAnsi="Times New Roman" w:cs="Times New Roman"/>
                <w:i/>
                <w:iCs/>
                <w:color w:val="000000"/>
                <w:kern w:val="0"/>
                <w:sz w:val="20"/>
                <w:szCs w:val="20"/>
              </w:rPr>
            </w:pPr>
          </w:p>
          <w:p w:rsidR="00162BC0" w:rsidRPr="0094518D" w:rsidRDefault="00162BC0" w:rsidP="00162BC0">
            <w:pPr>
              <w:widowControl/>
              <w:spacing w:line="240" w:lineRule="auto"/>
              <w:rPr>
                <w:rFonts w:ascii="Times New Roman" w:eastAsia="PMingLiU" w:hAnsi="Times New Roman" w:cs="Times New Roman"/>
                <w:i/>
                <w:iCs/>
                <w:color w:val="000000"/>
                <w:kern w:val="0"/>
                <w:sz w:val="20"/>
                <w:szCs w:val="20"/>
              </w:rPr>
            </w:pPr>
            <w:r w:rsidRPr="0094518D">
              <w:rPr>
                <w:rFonts w:ascii="Times New Roman" w:eastAsia="PMingLiU" w:hAnsi="Times New Roman" w:cs="Times New Roman"/>
                <w:i/>
                <w:iCs/>
                <w:color w:val="000000"/>
                <w:kern w:val="0"/>
                <w:sz w:val="20"/>
                <w:szCs w:val="20"/>
              </w:rPr>
              <w:t>Dummy Variables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lastRenderedPageBreak/>
              <w:t>ISLAM</w:t>
            </w:r>
          </w:p>
        </w:tc>
        <w:tc>
          <w:tcPr>
            <w:tcW w:w="10140" w:type="dxa"/>
            <w:tcBorders>
              <w:top w:val="nil"/>
              <w:left w:val="nil"/>
              <w:bottom w:val="nil"/>
              <w:right w:val="nil"/>
            </w:tcBorders>
            <w:shd w:val="clear" w:color="auto" w:fill="auto"/>
            <w:noWrap/>
            <w:vAlign w:val="bottom"/>
            <w:hideMark/>
          </w:tcPr>
          <w:p w:rsidR="00162BC0" w:rsidRPr="0094518D" w:rsidRDefault="00162BC0" w:rsidP="00AF2E9F">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dummy variable indicates a bank fu</w:t>
            </w:r>
            <w:r w:rsidR="00AF2E9F" w:rsidRPr="0094518D">
              <w:rPr>
                <w:rFonts w:ascii="Times New Roman" w:eastAsia="PMingLiU" w:hAnsi="Times New Roman" w:cs="Times New Roman"/>
                <w:color w:val="000000"/>
                <w:kern w:val="0"/>
                <w:sz w:val="20"/>
                <w:szCs w:val="20"/>
              </w:rPr>
              <w:t>l</w:t>
            </w:r>
            <w:r w:rsidRPr="0094518D">
              <w:rPr>
                <w:rFonts w:ascii="Times New Roman" w:eastAsia="PMingLiU" w:hAnsi="Times New Roman" w:cs="Times New Roman"/>
                <w:color w:val="000000"/>
                <w:kern w:val="0"/>
                <w:sz w:val="20"/>
                <w:szCs w:val="20"/>
              </w:rPr>
              <w:t xml:space="preserve">ly or partially follows Islamic rules. </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For Islamic banking, ISLAM=1; otherwise, ISLAM=0.</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AF2E9F"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PRVATE</w:t>
            </w:r>
          </w:p>
        </w:tc>
        <w:tc>
          <w:tcPr>
            <w:tcW w:w="10140" w:type="dxa"/>
            <w:tcBorders>
              <w:top w:val="nil"/>
              <w:left w:val="nil"/>
              <w:bottom w:val="nil"/>
              <w:right w:val="nil"/>
            </w:tcBorders>
            <w:shd w:val="clear" w:color="auto" w:fill="auto"/>
            <w:noWrap/>
            <w:vAlign w:val="bottom"/>
            <w:hideMark/>
          </w:tcPr>
          <w:p w:rsidR="00162BC0" w:rsidRPr="0094518D" w:rsidRDefault="00162BC0" w:rsidP="00AF2E9F">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dummy variable indicates a bank is cla</w:t>
            </w:r>
            <w:r w:rsidR="00AF2E9F" w:rsidRPr="0094518D">
              <w:rPr>
                <w:rFonts w:ascii="Times New Roman" w:eastAsia="PMingLiU" w:hAnsi="Times New Roman" w:cs="Times New Roman"/>
                <w:color w:val="000000"/>
                <w:kern w:val="0"/>
                <w:sz w:val="20"/>
                <w:szCs w:val="20"/>
              </w:rPr>
              <w:t>s</w:t>
            </w:r>
            <w:r w:rsidRPr="0094518D">
              <w:rPr>
                <w:rFonts w:ascii="Times New Roman" w:eastAsia="PMingLiU" w:hAnsi="Times New Roman" w:cs="Times New Roman"/>
                <w:color w:val="000000"/>
                <w:kern w:val="0"/>
                <w:sz w:val="20"/>
                <w:szCs w:val="20"/>
              </w:rPr>
              <w:t>sif</w:t>
            </w:r>
            <w:r w:rsidR="00AF2E9F" w:rsidRPr="0094518D">
              <w:rPr>
                <w:rFonts w:ascii="Times New Roman" w:eastAsia="PMingLiU" w:hAnsi="Times New Roman" w:cs="Times New Roman"/>
                <w:color w:val="000000"/>
                <w:kern w:val="0"/>
                <w:sz w:val="20"/>
                <w:szCs w:val="20"/>
              </w:rPr>
              <w:t>i</w:t>
            </w:r>
            <w:r w:rsidRPr="0094518D">
              <w:rPr>
                <w:rFonts w:ascii="Times New Roman" w:eastAsia="PMingLiU" w:hAnsi="Times New Roman" w:cs="Times New Roman"/>
                <w:color w:val="000000"/>
                <w:kern w:val="0"/>
                <w:sz w:val="20"/>
                <w:szCs w:val="20"/>
              </w:rPr>
              <w:t xml:space="preserve">ed as </w:t>
            </w:r>
            <w:r w:rsidR="00AF2E9F" w:rsidRPr="0094518D">
              <w:rPr>
                <w:rFonts w:ascii="Times New Roman" w:eastAsia="PMingLiU" w:hAnsi="Times New Roman" w:cs="Times New Roman"/>
                <w:color w:val="000000"/>
                <w:kern w:val="0"/>
                <w:sz w:val="20"/>
                <w:szCs w:val="20"/>
              </w:rPr>
              <w:t>private</w:t>
            </w:r>
            <w:r w:rsidRPr="0094518D">
              <w:rPr>
                <w:rFonts w:ascii="Times New Roman" w:eastAsia="PMingLiU" w:hAnsi="Times New Roman" w:cs="Times New Roman"/>
                <w:color w:val="000000"/>
                <w:kern w:val="0"/>
                <w:sz w:val="20"/>
                <w:szCs w:val="20"/>
              </w:rPr>
              <w:t xml:space="preserve"> owned or </w:t>
            </w:r>
            <w:r w:rsidR="00AF2E9F" w:rsidRPr="0094518D">
              <w:rPr>
                <w:rFonts w:ascii="Times New Roman" w:eastAsia="PMingLiU" w:hAnsi="Times New Roman" w:cs="Times New Roman"/>
                <w:color w:val="000000"/>
                <w:kern w:val="0"/>
                <w:sz w:val="20"/>
                <w:szCs w:val="20"/>
              </w:rPr>
              <w:t>not privately</w:t>
            </w:r>
            <w:r w:rsidRPr="0094518D">
              <w:rPr>
                <w:rFonts w:ascii="Times New Roman" w:eastAsia="PMingLiU" w:hAnsi="Times New Roman" w:cs="Times New Roman"/>
                <w:color w:val="000000"/>
                <w:kern w:val="0"/>
                <w:sz w:val="20"/>
                <w:szCs w:val="20"/>
              </w:rPr>
              <w:t xml:space="preserve"> owned;</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p>
        </w:tc>
        <w:tc>
          <w:tcPr>
            <w:tcW w:w="10140" w:type="dxa"/>
            <w:tcBorders>
              <w:top w:val="nil"/>
              <w:left w:val="nil"/>
              <w:bottom w:val="nil"/>
              <w:right w:val="nil"/>
            </w:tcBorders>
            <w:shd w:val="clear" w:color="auto" w:fill="auto"/>
            <w:noWrap/>
            <w:vAlign w:val="bottom"/>
            <w:hideMark/>
          </w:tcPr>
          <w:p w:rsidR="00162BC0" w:rsidRPr="0094518D" w:rsidRDefault="00162BC0" w:rsidP="00AF2E9F">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f</w:t>
            </w:r>
            <w:r w:rsidR="00AF2E9F" w:rsidRPr="0094518D">
              <w:rPr>
                <w:rFonts w:ascii="Times New Roman" w:eastAsia="PMingLiU" w:hAnsi="Times New Roman" w:cs="Times New Roman"/>
                <w:color w:val="000000"/>
                <w:kern w:val="0"/>
                <w:sz w:val="20"/>
                <w:szCs w:val="20"/>
              </w:rPr>
              <w:t>or fully or partially privately</w:t>
            </w:r>
            <w:r w:rsidRPr="0094518D">
              <w:rPr>
                <w:rFonts w:ascii="Times New Roman" w:eastAsia="PMingLiU" w:hAnsi="Times New Roman" w:cs="Times New Roman"/>
                <w:color w:val="000000"/>
                <w:kern w:val="0"/>
                <w:sz w:val="20"/>
                <w:szCs w:val="20"/>
              </w:rPr>
              <w:t xml:space="preserve"> owned banks, </w:t>
            </w:r>
            <w:r w:rsidR="00AF2E9F" w:rsidRPr="0094518D">
              <w:rPr>
                <w:rFonts w:ascii="Times New Roman" w:eastAsia="PMingLiU" w:hAnsi="Times New Roman" w:cs="Times New Roman"/>
                <w:color w:val="000000"/>
                <w:kern w:val="0"/>
                <w:sz w:val="20"/>
                <w:szCs w:val="20"/>
              </w:rPr>
              <w:t>PRIVATE</w:t>
            </w:r>
            <w:r w:rsidRPr="0094518D">
              <w:rPr>
                <w:rFonts w:ascii="Times New Roman" w:eastAsia="PMingLiU" w:hAnsi="Times New Roman" w:cs="Times New Roman"/>
                <w:color w:val="000000"/>
                <w:kern w:val="0"/>
                <w:sz w:val="20"/>
                <w:szCs w:val="20"/>
              </w:rPr>
              <w:t xml:space="preserve">=1; otherwise </w:t>
            </w:r>
            <w:r w:rsidR="00AF2E9F" w:rsidRPr="0094518D">
              <w:rPr>
                <w:rFonts w:ascii="Times New Roman" w:eastAsia="PMingLiU" w:hAnsi="Times New Roman" w:cs="Times New Roman"/>
                <w:color w:val="000000"/>
                <w:kern w:val="0"/>
                <w:sz w:val="20"/>
                <w:szCs w:val="20"/>
              </w:rPr>
              <w:t>PRIVATE</w:t>
            </w:r>
            <w:r w:rsidRPr="0094518D">
              <w:rPr>
                <w:rFonts w:ascii="Times New Roman" w:eastAsia="PMingLiU" w:hAnsi="Times New Roman" w:cs="Times New Roman"/>
                <w:color w:val="000000"/>
                <w:kern w:val="0"/>
                <w:sz w:val="20"/>
                <w:szCs w:val="20"/>
              </w:rPr>
              <w:t xml:space="preserve">=0. </w:t>
            </w:r>
          </w:p>
        </w:tc>
      </w:tr>
      <w:tr w:rsidR="00162BC0" w:rsidRPr="0094518D" w:rsidTr="00162BC0">
        <w:trPr>
          <w:trHeight w:val="315"/>
        </w:trPr>
        <w:tc>
          <w:tcPr>
            <w:tcW w:w="1420" w:type="dxa"/>
            <w:tcBorders>
              <w:top w:val="nil"/>
              <w:left w:val="nil"/>
              <w:bottom w:val="nil"/>
              <w:right w:val="nil"/>
            </w:tcBorders>
            <w:shd w:val="clear" w:color="auto" w:fill="auto"/>
            <w:noWrap/>
            <w:vAlign w:val="center"/>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BR</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dummy indicates a bank located in Bahrain. For a bank in Bahrain, BR=1; otherwise BR=0.</w:t>
            </w:r>
          </w:p>
        </w:tc>
      </w:tr>
      <w:tr w:rsidR="00162BC0" w:rsidRPr="0094518D" w:rsidTr="00162BC0">
        <w:trPr>
          <w:trHeight w:val="315"/>
        </w:trPr>
        <w:tc>
          <w:tcPr>
            <w:tcW w:w="1420" w:type="dxa"/>
            <w:tcBorders>
              <w:top w:val="nil"/>
              <w:left w:val="nil"/>
              <w:bottom w:val="nil"/>
              <w:right w:val="nil"/>
            </w:tcBorders>
            <w:shd w:val="clear" w:color="auto" w:fill="auto"/>
            <w:noWrap/>
            <w:vAlign w:val="center"/>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KU</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dummy indicates a bank located in Kuwait. For a bank in Kuwait, KU=1; otherwise KU=0.</w:t>
            </w:r>
          </w:p>
        </w:tc>
      </w:tr>
      <w:tr w:rsidR="00162BC0" w:rsidRPr="0094518D" w:rsidTr="00162BC0">
        <w:trPr>
          <w:trHeight w:val="315"/>
        </w:trPr>
        <w:tc>
          <w:tcPr>
            <w:tcW w:w="1420" w:type="dxa"/>
            <w:tcBorders>
              <w:top w:val="nil"/>
              <w:left w:val="nil"/>
              <w:bottom w:val="nil"/>
              <w:right w:val="nil"/>
            </w:tcBorders>
            <w:shd w:val="clear" w:color="auto" w:fill="auto"/>
            <w:noWrap/>
            <w:vAlign w:val="center"/>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OM</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dummy indicates a bank located in Omen. For a bank in Omen, OM=1; otherwise OM=0.</w:t>
            </w:r>
          </w:p>
        </w:tc>
      </w:tr>
      <w:tr w:rsidR="00162BC0" w:rsidRPr="0094518D" w:rsidTr="00162BC0">
        <w:trPr>
          <w:trHeight w:val="315"/>
        </w:trPr>
        <w:tc>
          <w:tcPr>
            <w:tcW w:w="1420" w:type="dxa"/>
            <w:tcBorders>
              <w:top w:val="nil"/>
              <w:left w:val="nil"/>
              <w:bottom w:val="nil"/>
              <w:right w:val="nil"/>
            </w:tcBorders>
            <w:shd w:val="clear" w:color="auto" w:fill="auto"/>
            <w:noWrap/>
            <w:vAlign w:val="center"/>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QA</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dummy indicates a bank located in Qatar. For a bank in Qatar, QA=1; otherwise QA=0.</w:t>
            </w:r>
          </w:p>
        </w:tc>
      </w:tr>
      <w:tr w:rsidR="00162BC0" w:rsidRPr="0094518D" w:rsidTr="00162BC0">
        <w:trPr>
          <w:trHeight w:val="315"/>
        </w:trPr>
        <w:tc>
          <w:tcPr>
            <w:tcW w:w="1420" w:type="dxa"/>
            <w:tcBorders>
              <w:top w:val="nil"/>
              <w:left w:val="nil"/>
              <w:bottom w:val="single" w:sz="4" w:space="0" w:color="auto"/>
              <w:right w:val="nil"/>
            </w:tcBorders>
            <w:shd w:val="clear" w:color="auto" w:fill="auto"/>
            <w:noWrap/>
            <w:vAlign w:val="center"/>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SA</w:t>
            </w:r>
          </w:p>
        </w:tc>
        <w:tc>
          <w:tcPr>
            <w:tcW w:w="10140" w:type="dxa"/>
            <w:tcBorders>
              <w:top w:val="nil"/>
              <w:left w:val="nil"/>
              <w:bottom w:val="single" w:sz="4" w:space="0" w:color="auto"/>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dummy indicates a bank located in Saudi Arabia. For a bank in Saudi Arabia SA=1; otherwise SA=0.</w:t>
            </w:r>
          </w:p>
        </w:tc>
      </w:tr>
      <w:tr w:rsidR="00162BC0" w:rsidRPr="0094518D" w:rsidTr="00162BC0">
        <w:trPr>
          <w:trHeight w:val="315"/>
        </w:trPr>
        <w:tc>
          <w:tcPr>
            <w:tcW w:w="11560" w:type="dxa"/>
            <w:gridSpan w:val="2"/>
            <w:tcBorders>
              <w:top w:val="nil"/>
              <w:left w:val="nil"/>
              <w:bottom w:val="nil"/>
              <w:right w:val="nil"/>
            </w:tcBorders>
            <w:shd w:val="clear" w:color="auto" w:fill="auto"/>
            <w:noWrap/>
            <w:vAlign w:val="center"/>
            <w:hideMark/>
          </w:tcPr>
          <w:p w:rsidR="008E56C2" w:rsidRDefault="008E56C2" w:rsidP="00162BC0">
            <w:pPr>
              <w:widowControl/>
              <w:spacing w:line="240" w:lineRule="auto"/>
              <w:rPr>
                <w:rFonts w:ascii="Times New Roman" w:eastAsia="PMingLiU" w:hAnsi="Times New Roman" w:cs="Times New Roman"/>
                <w:i/>
                <w:iCs/>
                <w:color w:val="000000"/>
                <w:kern w:val="0"/>
                <w:sz w:val="20"/>
                <w:szCs w:val="20"/>
              </w:rPr>
            </w:pPr>
          </w:p>
          <w:p w:rsidR="0032378E" w:rsidRDefault="0032378E" w:rsidP="00162BC0">
            <w:pPr>
              <w:widowControl/>
              <w:spacing w:line="240" w:lineRule="auto"/>
              <w:rPr>
                <w:rFonts w:ascii="Times New Roman" w:eastAsia="PMingLiU" w:hAnsi="Times New Roman" w:cs="Times New Roman"/>
                <w:i/>
                <w:iCs/>
                <w:color w:val="000000"/>
                <w:kern w:val="0"/>
                <w:sz w:val="20"/>
                <w:szCs w:val="20"/>
              </w:rPr>
            </w:pPr>
          </w:p>
          <w:p w:rsidR="00162BC0" w:rsidRPr="00AC3CBF" w:rsidRDefault="00162BC0" w:rsidP="00162BC0">
            <w:pPr>
              <w:widowControl/>
              <w:spacing w:line="240" w:lineRule="auto"/>
              <w:rPr>
                <w:rFonts w:ascii="Times New Roman" w:eastAsia="PMingLiU" w:hAnsi="Times New Roman" w:cs="Times New Roman"/>
                <w:i/>
                <w:iCs/>
                <w:color w:val="000000"/>
                <w:kern w:val="0"/>
                <w:szCs w:val="24"/>
              </w:rPr>
            </w:pPr>
            <w:r w:rsidRPr="00AC3CBF">
              <w:rPr>
                <w:rFonts w:ascii="Times New Roman" w:eastAsia="PMingLiU" w:hAnsi="Times New Roman" w:cs="Times New Roman"/>
                <w:i/>
                <w:iCs/>
                <w:color w:val="000000"/>
                <w:kern w:val="0"/>
                <w:szCs w:val="24"/>
              </w:rPr>
              <w:t>Variables in Frontiers</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lnP1</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natural log</w:t>
            </w:r>
            <w:r w:rsidR="00620FE9" w:rsidRPr="0094518D">
              <w:rPr>
                <w:rFonts w:ascii="Times New Roman" w:eastAsia="PMingLiU" w:hAnsi="Times New Roman" w:cs="Times New Roman"/>
                <w:color w:val="000000"/>
                <w:kern w:val="0"/>
                <w:sz w:val="20"/>
                <w:szCs w:val="20"/>
              </w:rPr>
              <w:t>a</w:t>
            </w:r>
            <w:r w:rsidRPr="0094518D">
              <w:rPr>
                <w:rFonts w:ascii="Times New Roman" w:eastAsia="PMingLiU" w:hAnsi="Times New Roman" w:cs="Times New Roman"/>
                <w:color w:val="000000"/>
                <w:kern w:val="0"/>
                <w:sz w:val="20"/>
                <w:szCs w:val="20"/>
              </w:rPr>
              <w:t>rithm of P1.</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lnP2</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natural log</w:t>
            </w:r>
            <w:r w:rsidR="00620FE9" w:rsidRPr="0094518D">
              <w:rPr>
                <w:rFonts w:ascii="Times New Roman" w:eastAsia="PMingLiU" w:hAnsi="Times New Roman" w:cs="Times New Roman"/>
                <w:color w:val="000000"/>
                <w:kern w:val="0"/>
                <w:sz w:val="20"/>
                <w:szCs w:val="20"/>
              </w:rPr>
              <w:t>a</w:t>
            </w:r>
            <w:r w:rsidRPr="0094518D">
              <w:rPr>
                <w:rFonts w:ascii="Times New Roman" w:eastAsia="PMingLiU" w:hAnsi="Times New Roman" w:cs="Times New Roman"/>
                <w:color w:val="000000"/>
                <w:kern w:val="0"/>
                <w:sz w:val="20"/>
                <w:szCs w:val="20"/>
              </w:rPr>
              <w:t>rithm of P2.</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lnP3</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natural log</w:t>
            </w:r>
            <w:r w:rsidR="00620FE9" w:rsidRPr="0094518D">
              <w:rPr>
                <w:rFonts w:ascii="Times New Roman" w:eastAsia="PMingLiU" w:hAnsi="Times New Roman" w:cs="Times New Roman"/>
                <w:color w:val="000000"/>
                <w:kern w:val="0"/>
                <w:sz w:val="20"/>
                <w:szCs w:val="20"/>
              </w:rPr>
              <w:t>a</w:t>
            </w:r>
            <w:r w:rsidRPr="0094518D">
              <w:rPr>
                <w:rFonts w:ascii="Times New Roman" w:eastAsia="PMingLiU" w:hAnsi="Times New Roman" w:cs="Times New Roman"/>
                <w:color w:val="000000"/>
                <w:kern w:val="0"/>
                <w:sz w:val="20"/>
                <w:szCs w:val="20"/>
              </w:rPr>
              <w:t>rithm of P3.</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natural log</w:t>
            </w:r>
            <w:r w:rsidR="00620FE9" w:rsidRPr="0094518D">
              <w:rPr>
                <w:rFonts w:ascii="Times New Roman" w:eastAsia="PMingLiU" w:hAnsi="Times New Roman" w:cs="Times New Roman"/>
                <w:color w:val="000000"/>
                <w:kern w:val="0"/>
                <w:sz w:val="20"/>
                <w:szCs w:val="20"/>
              </w:rPr>
              <w:t>a</w:t>
            </w:r>
            <w:r w:rsidRPr="0094518D">
              <w:rPr>
                <w:rFonts w:ascii="Times New Roman" w:eastAsia="PMingLiU" w:hAnsi="Times New Roman" w:cs="Times New Roman"/>
                <w:color w:val="000000"/>
                <w:kern w:val="0"/>
                <w:sz w:val="20"/>
                <w:szCs w:val="20"/>
              </w:rPr>
              <w:t>rithm of Y1.</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natural log</w:t>
            </w:r>
            <w:r w:rsidR="00620FE9" w:rsidRPr="0094518D">
              <w:rPr>
                <w:rFonts w:ascii="Times New Roman" w:eastAsia="PMingLiU" w:hAnsi="Times New Roman" w:cs="Times New Roman"/>
                <w:color w:val="000000"/>
                <w:kern w:val="0"/>
                <w:sz w:val="20"/>
                <w:szCs w:val="20"/>
              </w:rPr>
              <w:t>a</w:t>
            </w:r>
            <w:r w:rsidRPr="0094518D">
              <w:rPr>
                <w:rFonts w:ascii="Times New Roman" w:eastAsia="PMingLiU" w:hAnsi="Times New Roman" w:cs="Times New Roman"/>
                <w:color w:val="000000"/>
                <w:kern w:val="0"/>
                <w:sz w:val="20"/>
                <w:szCs w:val="20"/>
              </w:rPr>
              <w:t>rithm of Y2.</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natural log</w:t>
            </w:r>
            <w:r w:rsidR="00620FE9" w:rsidRPr="0094518D">
              <w:rPr>
                <w:rFonts w:ascii="Times New Roman" w:eastAsia="PMingLiU" w:hAnsi="Times New Roman" w:cs="Times New Roman"/>
                <w:color w:val="000000"/>
                <w:kern w:val="0"/>
                <w:sz w:val="20"/>
                <w:szCs w:val="20"/>
              </w:rPr>
              <w:t>a</w:t>
            </w:r>
            <w:r w:rsidRPr="0094518D">
              <w:rPr>
                <w:rFonts w:ascii="Times New Roman" w:eastAsia="PMingLiU" w:hAnsi="Times New Roman" w:cs="Times New Roman"/>
                <w:color w:val="000000"/>
                <w:kern w:val="0"/>
                <w:sz w:val="20"/>
                <w:szCs w:val="20"/>
              </w:rPr>
              <w:t>rithm of Y3.</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1/2*lnP1*lnP1</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Squared LnP1 divided by 2.</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lastRenderedPageBreak/>
              <w:t>1/2*lnP2*lnP2</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Squared LnP2 divided by 2.</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1/2*lnP3*lnP3</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Squared LnP3 divided by 2.</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lnP1*lnP2</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lnP1 and LnP2</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lnP2*lnP3</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lnP2 and LnP3</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lnY1*lnP1</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lnY1 and LnP1</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lnY1*lnP2</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lnY1 and LnP2</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lnY1*lnP3</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lnY1 and LnP3</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lnY2*lnP1</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lnY2 and LnP1</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lnY2*lnP2</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lnY2 and LnP2</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lnY2*lnP3</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lnY2 and LnP3</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lnY3*lnP1</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lnY3 and LnP1</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lnY3*lnP2</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lnY3 and LnP2</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lnY3*lnP3</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lnY3 and LnP3</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lnY1*lnY2</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lnY1 and LnY2</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lnY1*lnY3</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lnY1 and LnY3</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lnY2*lnY3</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The product of lnY2 and LnY3</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1/2*lnY1*lnY1</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Squared LnY1 divided by 2.</w:t>
            </w:r>
          </w:p>
        </w:tc>
      </w:tr>
      <w:tr w:rsidR="00162BC0" w:rsidRPr="0094518D" w:rsidTr="00162BC0">
        <w:trPr>
          <w:trHeight w:val="315"/>
        </w:trPr>
        <w:tc>
          <w:tcPr>
            <w:tcW w:w="142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1/2*lnY2*lnY2</w:t>
            </w:r>
          </w:p>
        </w:tc>
        <w:tc>
          <w:tcPr>
            <w:tcW w:w="10140" w:type="dxa"/>
            <w:tcBorders>
              <w:top w:val="nil"/>
              <w:left w:val="nil"/>
              <w:bottom w:val="nil"/>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Squared LnY2 divided by 2.</w:t>
            </w:r>
          </w:p>
        </w:tc>
      </w:tr>
      <w:tr w:rsidR="00162BC0" w:rsidRPr="0094518D" w:rsidTr="00162BC0">
        <w:trPr>
          <w:trHeight w:val="315"/>
        </w:trPr>
        <w:tc>
          <w:tcPr>
            <w:tcW w:w="1420" w:type="dxa"/>
            <w:tcBorders>
              <w:top w:val="nil"/>
              <w:left w:val="nil"/>
              <w:bottom w:val="single" w:sz="4" w:space="0" w:color="auto"/>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1/2*lnY3*lnY3</w:t>
            </w:r>
          </w:p>
        </w:tc>
        <w:tc>
          <w:tcPr>
            <w:tcW w:w="10140" w:type="dxa"/>
            <w:tcBorders>
              <w:top w:val="nil"/>
              <w:left w:val="nil"/>
              <w:bottom w:val="single" w:sz="4" w:space="0" w:color="auto"/>
              <w:right w:val="nil"/>
            </w:tcBorders>
            <w:shd w:val="clear" w:color="auto" w:fill="auto"/>
            <w:noWrap/>
            <w:vAlign w:val="bottom"/>
            <w:hideMark/>
          </w:tcPr>
          <w:p w:rsidR="00162BC0" w:rsidRPr="0094518D" w:rsidRDefault="00162BC0" w:rsidP="00162BC0">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Squared LnY3 divided by 2.</w:t>
            </w:r>
          </w:p>
        </w:tc>
      </w:tr>
    </w:tbl>
    <w:p w:rsidR="00162BC0" w:rsidRPr="0094518D" w:rsidRDefault="00162BC0">
      <w:pPr>
        <w:rPr>
          <w:rFonts w:ascii="Times New Roman" w:hAnsi="Times New Roman" w:cs="Times New Roman"/>
          <w:sz w:val="20"/>
          <w:szCs w:val="20"/>
        </w:rPr>
      </w:pPr>
    </w:p>
    <w:p w:rsidR="00865D6C" w:rsidRDefault="00865D6C">
      <w:pPr>
        <w:rPr>
          <w:rFonts w:ascii="Times New Roman" w:hAnsi="Times New Roman" w:cs="Times New Roman"/>
          <w:b/>
          <w:sz w:val="22"/>
        </w:rPr>
      </w:pPr>
    </w:p>
    <w:p w:rsidR="00865D6C" w:rsidRDefault="00865D6C">
      <w:pPr>
        <w:rPr>
          <w:rFonts w:ascii="Times New Roman" w:hAnsi="Times New Roman" w:cs="Times New Roman"/>
          <w:b/>
          <w:sz w:val="22"/>
        </w:rPr>
      </w:pPr>
    </w:p>
    <w:p w:rsidR="00162BC0" w:rsidRPr="0094518D" w:rsidRDefault="00865D6C">
      <w:pPr>
        <w:rPr>
          <w:rFonts w:ascii="Times New Roman" w:hAnsi="Times New Roman" w:cs="Times New Roman"/>
          <w:sz w:val="20"/>
          <w:szCs w:val="20"/>
        </w:rPr>
      </w:pPr>
      <w:r w:rsidRPr="00AC3CBF">
        <w:rPr>
          <w:rFonts w:ascii="Times New Roman" w:hAnsi="Times New Roman" w:cs="Times New Roman"/>
          <w:b/>
          <w:sz w:val="22"/>
        </w:rPr>
        <w:lastRenderedPageBreak/>
        <w:t xml:space="preserve">Table 3 </w:t>
      </w:r>
      <w:r w:rsidRPr="00AC3CBF">
        <w:rPr>
          <w:rFonts w:ascii="Times New Roman" w:hAnsi="Times New Roman" w:cs="Times New Roman"/>
          <w:b/>
          <w:szCs w:val="24"/>
        </w:rPr>
        <w:t xml:space="preserve">Summary Statistics of </w:t>
      </w:r>
      <w:r>
        <w:rPr>
          <w:rFonts w:ascii="Times New Roman" w:hAnsi="Times New Roman" w:cs="Times New Roman"/>
          <w:b/>
          <w:szCs w:val="24"/>
        </w:rPr>
        <w:t>I</w:t>
      </w:r>
      <w:r w:rsidRPr="00AC3CBF">
        <w:rPr>
          <w:rFonts w:ascii="Times New Roman" w:hAnsi="Times New Roman" w:cs="Times New Roman"/>
          <w:b/>
          <w:szCs w:val="24"/>
        </w:rPr>
        <w:t xml:space="preserve">nputs and Outputs </w:t>
      </w:r>
      <w:r>
        <w:rPr>
          <w:rFonts w:ascii="Times New Roman" w:hAnsi="Times New Roman" w:cs="Times New Roman"/>
          <w:b/>
          <w:szCs w:val="24"/>
        </w:rPr>
        <w:t>V</w:t>
      </w:r>
      <w:r w:rsidRPr="00AC3CBF">
        <w:rPr>
          <w:rFonts w:ascii="Times New Roman" w:hAnsi="Times New Roman" w:cs="Times New Roman"/>
          <w:b/>
          <w:szCs w:val="24"/>
        </w:rPr>
        <w:t xml:space="preserve">ariables by </w:t>
      </w:r>
      <w:r>
        <w:rPr>
          <w:rFonts w:ascii="Times New Roman" w:hAnsi="Times New Roman" w:cs="Times New Roman"/>
          <w:b/>
          <w:szCs w:val="24"/>
        </w:rPr>
        <w:t>C</w:t>
      </w:r>
      <w:r w:rsidRPr="00AC3CBF">
        <w:rPr>
          <w:rFonts w:ascii="Times New Roman" w:hAnsi="Times New Roman" w:cs="Times New Roman"/>
          <w:b/>
          <w:szCs w:val="24"/>
        </w:rPr>
        <w:t xml:space="preserve">ountry, by </w:t>
      </w:r>
      <w:r>
        <w:rPr>
          <w:rFonts w:ascii="Times New Roman" w:hAnsi="Times New Roman" w:cs="Times New Roman"/>
          <w:b/>
          <w:szCs w:val="24"/>
        </w:rPr>
        <w:t>B</w:t>
      </w:r>
      <w:r w:rsidRPr="00AC3CBF">
        <w:rPr>
          <w:rFonts w:ascii="Times New Roman" w:hAnsi="Times New Roman" w:cs="Times New Roman"/>
          <w:b/>
          <w:szCs w:val="24"/>
        </w:rPr>
        <w:t xml:space="preserve">ank </w:t>
      </w:r>
      <w:r>
        <w:rPr>
          <w:rFonts w:ascii="Times New Roman" w:hAnsi="Times New Roman" w:cs="Times New Roman"/>
          <w:b/>
          <w:szCs w:val="24"/>
        </w:rPr>
        <w:t>T</w:t>
      </w:r>
      <w:r w:rsidRPr="00AC3CBF">
        <w:rPr>
          <w:rFonts w:ascii="Times New Roman" w:hAnsi="Times New Roman" w:cs="Times New Roman"/>
          <w:b/>
          <w:szCs w:val="24"/>
        </w:rPr>
        <w:t xml:space="preserve">ypes, and by </w:t>
      </w:r>
      <w:r>
        <w:rPr>
          <w:rFonts w:ascii="Times New Roman" w:hAnsi="Times New Roman" w:cs="Times New Roman"/>
          <w:b/>
          <w:szCs w:val="24"/>
        </w:rPr>
        <w:t>O</w:t>
      </w:r>
      <w:r w:rsidRPr="00AC3CBF">
        <w:rPr>
          <w:rFonts w:ascii="Times New Roman" w:hAnsi="Times New Roman" w:cs="Times New Roman"/>
          <w:b/>
          <w:szCs w:val="24"/>
        </w:rPr>
        <w:t>wnership</w:t>
      </w:r>
      <w:r>
        <w:rPr>
          <w:rFonts w:ascii="Times New Roman" w:hAnsi="Times New Roman" w:cs="Times New Roman"/>
          <w:b/>
          <w:szCs w:val="24"/>
        </w:rPr>
        <w:t xml:space="preserve"> (</w:t>
      </w:r>
      <w:r w:rsidRPr="00AC3CBF">
        <w:rPr>
          <w:rFonts w:ascii="Times New Roman" w:hAnsi="Times New Roman" w:cs="Times New Roman"/>
          <w:b/>
          <w:szCs w:val="24"/>
        </w:rPr>
        <w:t>1999-2010</w:t>
      </w:r>
      <w:r>
        <w:rPr>
          <w:rFonts w:ascii="Times New Roman" w:hAnsi="Times New Roman" w:cs="Times New Roman"/>
          <w:b/>
          <w:szCs w:val="24"/>
        </w:rPr>
        <w:t>)</w:t>
      </w:r>
    </w:p>
    <w:p w:rsidR="004C3618" w:rsidRPr="00AC3CBF" w:rsidRDefault="00865D6C">
      <w:pPr>
        <w:rPr>
          <w:rFonts w:ascii="Times New Roman" w:hAnsi="Times New Roman" w:cs="Times New Roman"/>
          <w:b/>
          <w:szCs w:val="24"/>
        </w:rPr>
      </w:pPr>
      <w:r w:rsidRPr="00841355">
        <w:rPr>
          <w:noProof/>
          <w:lang w:eastAsia="en-US"/>
        </w:rPr>
        <w:drawing>
          <wp:inline distT="0" distB="0" distL="0" distR="0" wp14:anchorId="6D0BF460" wp14:editId="7EAB0161">
            <wp:extent cx="8863330" cy="412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3"/>
                    <a:srcRect/>
                    <a:stretch>
                      <a:fillRect/>
                    </a:stretch>
                  </pic:blipFill>
                  <pic:spPr bwMode="auto">
                    <a:xfrm>
                      <a:off x="0" y="0"/>
                      <a:ext cx="8863330" cy="4127500"/>
                    </a:xfrm>
                    <a:prstGeom prst="rect">
                      <a:avLst/>
                    </a:prstGeom>
                    <a:noFill/>
                    <a:ln w="9525">
                      <a:noFill/>
                      <a:miter lim="800000"/>
                      <a:headEnd/>
                      <a:tailEnd/>
                    </a:ln>
                  </pic:spPr>
                </pic:pic>
              </a:graphicData>
            </a:graphic>
          </wp:inline>
        </w:drawing>
      </w:r>
    </w:p>
    <w:p w:rsidR="00162BC0" w:rsidRPr="0094518D" w:rsidRDefault="00162BC0">
      <w:pPr>
        <w:rPr>
          <w:rFonts w:ascii="Times New Roman" w:hAnsi="Times New Roman" w:cs="Times New Roman"/>
          <w:sz w:val="22"/>
        </w:rPr>
      </w:pPr>
    </w:p>
    <w:p w:rsidR="004C3618" w:rsidRDefault="004C3618">
      <w:pPr>
        <w:rPr>
          <w:rFonts w:ascii="Times New Roman" w:hAnsi="Times New Roman" w:cs="Times New Roman"/>
          <w:sz w:val="22"/>
        </w:rPr>
      </w:pPr>
    </w:p>
    <w:p w:rsidR="00995B74" w:rsidRPr="0094518D" w:rsidRDefault="0064719E">
      <w:pPr>
        <w:rPr>
          <w:rFonts w:ascii="Times New Roman" w:hAnsi="Times New Roman" w:cs="Times New Roman"/>
          <w:sz w:val="20"/>
          <w:szCs w:val="20"/>
        </w:rPr>
      </w:pPr>
      <w:proofErr w:type="gramStart"/>
      <w:r w:rsidRPr="00AC3CBF">
        <w:rPr>
          <w:rFonts w:ascii="Times New Roman" w:hAnsi="Times New Roman" w:cs="Times New Roman"/>
          <w:b/>
          <w:szCs w:val="24"/>
        </w:rPr>
        <w:lastRenderedPageBreak/>
        <w:t>Table 4</w:t>
      </w:r>
      <w:r w:rsidR="00AC3CBF">
        <w:rPr>
          <w:rFonts w:ascii="Times New Roman" w:hAnsi="Times New Roman" w:cs="Times New Roman"/>
          <w:b/>
          <w:szCs w:val="24"/>
        </w:rPr>
        <w:t>:</w:t>
      </w:r>
      <w:r w:rsidR="00252367" w:rsidRPr="00AC3CBF">
        <w:rPr>
          <w:rFonts w:ascii="Times New Roman" w:hAnsi="Times New Roman" w:cs="Times New Roman"/>
          <w:b/>
          <w:szCs w:val="24"/>
        </w:rPr>
        <w:t xml:space="preserve"> Measures of Cost Efficiency</w:t>
      </w:r>
      <w:r w:rsidR="005138D6" w:rsidRPr="00AC3CBF">
        <w:rPr>
          <w:rFonts w:ascii="Times New Roman" w:hAnsi="Times New Roman" w:cs="Times New Roman"/>
          <w:b/>
          <w:szCs w:val="24"/>
        </w:rPr>
        <w:t xml:space="preserve"> of GCC banks for the 1999-2010 period</w:t>
      </w:r>
      <w:r w:rsidR="005138D6" w:rsidRPr="005138D6">
        <w:rPr>
          <w:rFonts w:ascii="Times New Roman" w:hAnsi="Times New Roman" w:cs="Times New Roman"/>
          <w:sz w:val="28"/>
          <w:szCs w:val="28"/>
        </w:rPr>
        <w:t>.</w:t>
      </w:r>
      <w:proofErr w:type="gramEnd"/>
    </w:p>
    <w:tbl>
      <w:tblPr>
        <w:tblW w:w="13860" w:type="dxa"/>
        <w:tblInd w:w="13" w:type="dxa"/>
        <w:tblCellMar>
          <w:left w:w="28" w:type="dxa"/>
          <w:right w:w="28" w:type="dxa"/>
        </w:tblCellMar>
        <w:tblLook w:val="04A0" w:firstRow="1" w:lastRow="0" w:firstColumn="1" w:lastColumn="0" w:noHBand="0" w:noVBand="1"/>
      </w:tblPr>
      <w:tblGrid>
        <w:gridCol w:w="1880"/>
        <w:gridCol w:w="840"/>
        <w:gridCol w:w="1000"/>
        <w:gridCol w:w="980"/>
        <w:gridCol w:w="1040"/>
        <w:gridCol w:w="1000"/>
        <w:gridCol w:w="1080"/>
        <w:gridCol w:w="960"/>
        <w:gridCol w:w="960"/>
        <w:gridCol w:w="960"/>
        <w:gridCol w:w="960"/>
        <w:gridCol w:w="960"/>
        <w:gridCol w:w="960"/>
        <w:gridCol w:w="280"/>
      </w:tblGrid>
      <w:tr w:rsidR="0064719E" w:rsidRPr="0094518D" w:rsidTr="0064719E">
        <w:trPr>
          <w:trHeight w:val="315"/>
        </w:trPr>
        <w:tc>
          <w:tcPr>
            <w:tcW w:w="188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Year</w:t>
            </w:r>
          </w:p>
        </w:tc>
        <w:tc>
          <w:tcPr>
            <w:tcW w:w="84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1999</w:t>
            </w:r>
          </w:p>
        </w:tc>
        <w:tc>
          <w:tcPr>
            <w:tcW w:w="100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2000</w:t>
            </w:r>
          </w:p>
        </w:tc>
        <w:tc>
          <w:tcPr>
            <w:tcW w:w="98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2001</w:t>
            </w:r>
          </w:p>
        </w:tc>
        <w:tc>
          <w:tcPr>
            <w:tcW w:w="104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2002</w:t>
            </w:r>
          </w:p>
        </w:tc>
        <w:tc>
          <w:tcPr>
            <w:tcW w:w="100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2003</w:t>
            </w:r>
          </w:p>
        </w:tc>
        <w:tc>
          <w:tcPr>
            <w:tcW w:w="108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2004</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2005</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2006</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2007</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2008</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2009</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2010</w:t>
            </w:r>
          </w:p>
        </w:tc>
        <w:tc>
          <w:tcPr>
            <w:tcW w:w="28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64719E" w:rsidRPr="0094518D" w:rsidTr="0064719E">
        <w:trPr>
          <w:trHeight w:val="315"/>
        </w:trPr>
        <w:tc>
          <w:tcPr>
            <w:tcW w:w="1880" w:type="dxa"/>
            <w:tcBorders>
              <w:top w:val="nil"/>
              <w:left w:val="nil"/>
              <w:bottom w:val="single" w:sz="4" w:space="0" w:color="auto"/>
              <w:right w:val="nil"/>
            </w:tcBorders>
            <w:shd w:val="clear" w:color="auto" w:fill="auto"/>
            <w:noWrap/>
            <w:vAlign w:val="bottom"/>
            <w:hideMark/>
          </w:tcPr>
          <w:p w:rsidR="0064719E" w:rsidRPr="0094518D" w:rsidRDefault="0064719E" w:rsidP="005138D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Panel A:</w:t>
            </w:r>
            <w:r w:rsidR="005138D6">
              <w:rPr>
                <w:rFonts w:ascii="Times New Roman" w:eastAsia="PMingLiU" w:hAnsi="Times New Roman" w:cs="Times New Roman"/>
                <w:color w:val="000000"/>
                <w:kern w:val="0"/>
                <w:sz w:val="20"/>
                <w:szCs w:val="20"/>
              </w:rPr>
              <w:t xml:space="preserve"> </w:t>
            </w:r>
            <w:r w:rsidR="005138D6" w:rsidRPr="005138D6">
              <w:rPr>
                <w:rFonts w:ascii="Times New Roman" w:eastAsia="PMingLiU" w:hAnsi="Times New Roman" w:cs="Times New Roman"/>
                <w:color w:val="000000"/>
                <w:kern w:val="0"/>
                <w:szCs w:val="24"/>
              </w:rPr>
              <w:t>All Banks</w:t>
            </w:r>
            <w:r w:rsidR="005138D6">
              <w:rPr>
                <w:rFonts w:ascii="Times New Roman" w:eastAsia="PMingLiU" w:hAnsi="Times New Roman" w:cs="Times New Roman"/>
                <w:color w:val="000000"/>
                <w:kern w:val="0"/>
                <w:sz w:val="20"/>
                <w:szCs w:val="20"/>
              </w:rPr>
              <w:t xml:space="preserve">  </w:t>
            </w:r>
          </w:p>
        </w:tc>
        <w:tc>
          <w:tcPr>
            <w:tcW w:w="840" w:type="dxa"/>
            <w:tcBorders>
              <w:top w:val="nil"/>
              <w:left w:val="nil"/>
              <w:bottom w:val="single" w:sz="4" w:space="0" w:color="auto"/>
              <w:right w:val="nil"/>
            </w:tcBorders>
            <w:shd w:val="clear" w:color="auto" w:fill="auto"/>
            <w:noWrap/>
            <w:vAlign w:val="bottom"/>
            <w:hideMark/>
          </w:tcPr>
          <w:p w:rsidR="0064719E" w:rsidRPr="0094518D" w:rsidRDefault="005138D6" w:rsidP="005138D6">
            <w:pPr>
              <w:widowControl/>
              <w:spacing w:line="240" w:lineRule="auto"/>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 xml:space="preserve"> </w:t>
            </w:r>
          </w:p>
        </w:tc>
        <w:tc>
          <w:tcPr>
            <w:tcW w:w="100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104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100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10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2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64719E" w:rsidRPr="0094518D" w:rsidTr="0064719E">
        <w:trPr>
          <w:trHeight w:val="315"/>
        </w:trPr>
        <w:tc>
          <w:tcPr>
            <w:tcW w:w="18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Bahrain</w:t>
            </w:r>
          </w:p>
        </w:tc>
        <w:tc>
          <w:tcPr>
            <w:tcW w:w="8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0.7302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0.7395 </w:t>
            </w:r>
          </w:p>
        </w:tc>
        <w:tc>
          <w:tcPr>
            <w:tcW w:w="9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0.7304 </w:t>
            </w:r>
          </w:p>
        </w:tc>
        <w:tc>
          <w:tcPr>
            <w:tcW w:w="10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0.7162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0.8157 </w:t>
            </w:r>
          </w:p>
        </w:tc>
        <w:tc>
          <w:tcPr>
            <w:tcW w:w="10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0.8029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0.8079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0.8559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0.7645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0.8558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0.7623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0.8018 </w:t>
            </w:r>
          </w:p>
        </w:tc>
        <w:tc>
          <w:tcPr>
            <w:tcW w:w="2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8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Kuwait</w:t>
            </w:r>
          </w:p>
        </w:tc>
        <w:tc>
          <w:tcPr>
            <w:tcW w:w="8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0.8768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0.8292 </w:t>
            </w:r>
          </w:p>
        </w:tc>
        <w:tc>
          <w:tcPr>
            <w:tcW w:w="9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0.7704 </w:t>
            </w:r>
          </w:p>
        </w:tc>
        <w:tc>
          <w:tcPr>
            <w:tcW w:w="10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0.6857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0.6915 </w:t>
            </w:r>
          </w:p>
        </w:tc>
        <w:tc>
          <w:tcPr>
            <w:tcW w:w="10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0.7866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0.8233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0.8423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0.7767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0.7633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0.8150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0.6480 </w:t>
            </w:r>
          </w:p>
        </w:tc>
        <w:tc>
          <w:tcPr>
            <w:tcW w:w="2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880" w:type="dxa"/>
            <w:tcBorders>
              <w:top w:val="nil"/>
              <w:left w:val="nil"/>
              <w:bottom w:val="nil"/>
              <w:right w:val="nil"/>
            </w:tcBorders>
            <w:shd w:val="clear" w:color="auto" w:fill="auto"/>
            <w:noWrap/>
            <w:vAlign w:val="bottom"/>
            <w:hideMark/>
          </w:tcPr>
          <w:p w:rsidR="0064719E" w:rsidRPr="0094518D" w:rsidRDefault="0064719E" w:rsidP="001538F4">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Om</w:t>
            </w:r>
            <w:r w:rsidR="001538F4">
              <w:rPr>
                <w:rFonts w:ascii="Times New Roman" w:eastAsia="PMingLiU" w:hAnsi="Times New Roman" w:cs="Times New Roman"/>
                <w:color w:val="000000"/>
                <w:kern w:val="0"/>
                <w:sz w:val="20"/>
                <w:szCs w:val="20"/>
              </w:rPr>
              <w:t>a</w:t>
            </w:r>
            <w:r w:rsidRPr="0094518D">
              <w:rPr>
                <w:rFonts w:ascii="Times New Roman" w:eastAsia="PMingLiU" w:hAnsi="Times New Roman" w:cs="Times New Roman"/>
                <w:color w:val="000000"/>
                <w:kern w:val="0"/>
                <w:sz w:val="20"/>
                <w:szCs w:val="20"/>
              </w:rPr>
              <w:t>n</w:t>
            </w:r>
          </w:p>
        </w:tc>
        <w:tc>
          <w:tcPr>
            <w:tcW w:w="8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0.7594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0.7824 </w:t>
            </w:r>
          </w:p>
        </w:tc>
        <w:tc>
          <w:tcPr>
            <w:tcW w:w="9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0.6887 </w:t>
            </w:r>
          </w:p>
        </w:tc>
        <w:tc>
          <w:tcPr>
            <w:tcW w:w="10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0.8799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0.7083 </w:t>
            </w:r>
          </w:p>
        </w:tc>
        <w:tc>
          <w:tcPr>
            <w:tcW w:w="10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0.7716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0.7425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0.8275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0.6566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1.0000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0.8081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0.7538 </w:t>
            </w:r>
          </w:p>
        </w:tc>
        <w:tc>
          <w:tcPr>
            <w:tcW w:w="2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8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Qatar</w:t>
            </w:r>
          </w:p>
        </w:tc>
        <w:tc>
          <w:tcPr>
            <w:tcW w:w="8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0.8221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0.7263 </w:t>
            </w:r>
          </w:p>
        </w:tc>
        <w:tc>
          <w:tcPr>
            <w:tcW w:w="9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0.8367 </w:t>
            </w:r>
          </w:p>
        </w:tc>
        <w:tc>
          <w:tcPr>
            <w:tcW w:w="10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0.7993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0.7950 </w:t>
            </w:r>
          </w:p>
        </w:tc>
        <w:tc>
          <w:tcPr>
            <w:tcW w:w="10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0.7789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0.7465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0.8834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0.7152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0.7202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0.8067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0.7874 </w:t>
            </w:r>
          </w:p>
        </w:tc>
        <w:tc>
          <w:tcPr>
            <w:tcW w:w="2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8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Saudi Arabia</w:t>
            </w:r>
          </w:p>
        </w:tc>
        <w:tc>
          <w:tcPr>
            <w:tcW w:w="8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0.8508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0.6625 </w:t>
            </w:r>
          </w:p>
        </w:tc>
        <w:tc>
          <w:tcPr>
            <w:tcW w:w="9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0.7831 </w:t>
            </w:r>
          </w:p>
        </w:tc>
        <w:tc>
          <w:tcPr>
            <w:tcW w:w="10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0.8082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0.8474 </w:t>
            </w:r>
          </w:p>
        </w:tc>
        <w:tc>
          <w:tcPr>
            <w:tcW w:w="10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0.9391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0.9006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0.8273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0.8270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0.7182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0.7605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0.8428 </w:t>
            </w:r>
          </w:p>
        </w:tc>
        <w:tc>
          <w:tcPr>
            <w:tcW w:w="2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8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UAE</w:t>
            </w:r>
          </w:p>
        </w:tc>
        <w:tc>
          <w:tcPr>
            <w:tcW w:w="8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0.7103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0.7453 </w:t>
            </w:r>
          </w:p>
        </w:tc>
        <w:tc>
          <w:tcPr>
            <w:tcW w:w="9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0.6716 </w:t>
            </w:r>
          </w:p>
        </w:tc>
        <w:tc>
          <w:tcPr>
            <w:tcW w:w="10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0.8060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0.7273 </w:t>
            </w:r>
          </w:p>
        </w:tc>
        <w:tc>
          <w:tcPr>
            <w:tcW w:w="10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0.7093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0.8302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0.5518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0.5624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0.5565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0.5674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0.5796 </w:t>
            </w:r>
          </w:p>
        </w:tc>
        <w:tc>
          <w:tcPr>
            <w:tcW w:w="2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8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All Bank</w:t>
            </w:r>
          </w:p>
        </w:tc>
        <w:tc>
          <w:tcPr>
            <w:tcW w:w="84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0.7916 </w:t>
            </w:r>
          </w:p>
        </w:tc>
        <w:tc>
          <w:tcPr>
            <w:tcW w:w="100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0.7475 </w:t>
            </w:r>
          </w:p>
        </w:tc>
        <w:tc>
          <w:tcPr>
            <w:tcW w:w="98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0.7468 </w:t>
            </w:r>
          </w:p>
        </w:tc>
        <w:tc>
          <w:tcPr>
            <w:tcW w:w="104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0.7825 </w:t>
            </w:r>
          </w:p>
        </w:tc>
        <w:tc>
          <w:tcPr>
            <w:tcW w:w="100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0.7642 </w:t>
            </w:r>
          </w:p>
        </w:tc>
        <w:tc>
          <w:tcPr>
            <w:tcW w:w="108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0.7981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0.8085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0.7981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0.7171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0.7690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0.7533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0.7356 </w:t>
            </w:r>
          </w:p>
        </w:tc>
        <w:tc>
          <w:tcPr>
            <w:tcW w:w="2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64719E" w:rsidRPr="0094518D" w:rsidTr="0064719E">
        <w:trPr>
          <w:trHeight w:val="315"/>
        </w:trPr>
        <w:tc>
          <w:tcPr>
            <w:tcW w:w="1880" w:type="dxa"/>
            <w:tcBorders>
              <w:top w:val="nil"/>
              <w:left w:val="nil"/>
              <w:bottom w:val="single" w:sz="4" w:space="0" w:color="auto"/>
              <w:right w:val="nil"/>
            </w:tcBorders>
            <w:shd w:val="clear" w:color="auto" w:fill="auto"/>
            <w:noWrap/>
            <w:vAlign w:val="bottom"/>
            <w:hideMark/>
          </w:tcPr>
          <w:p w:rsidR="0064719E" w:rsidRPr="0094518D" w:rsidRDefault="005138D6" w:rsidP="005138D6">
            <w:pPr>
              <w:widowControl/>
              <w:spacing w:line="240" w:lineRule="auto"/>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 xml:space="preserve">Panel B: </w:t>
            </w:r>
            <w:r w:rsidRPr="005138D6">
              <w:rPr>
                <w:rFonts w:ascii="Times New Roman" w:eastAsia="PMingLiU" w:hAnsi="Times New Roman" w:cs="Times New Roman"/>
                <w:color w:val="000000"/>
                <w:kern w:val="0"/>
                <w:szCs w:val="24"/>
              </w:rPr>
              <w:t>Bank Type</w:t>
            </w:r>
          </w:p>
        </w:tc>
        <w:tc>
          <w:tcPr>
            <w:tcW w:w="84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100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104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100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10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2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64719E" w:rsidRPr="0094518D" w:rsidTr="0064719E">
        <w:trPr>
          <w:trHeight w:val="315"/>
        </w:trPr>
        <w:tc>
          <w:tcPr>
            <w:tcW w:w="18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Islamic Bank</w:t>
            </w:r>
          </w:p>
        </w:tc>
        <w:tc>
          <w:tcPr>
            <w:tcW w:w="8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0.8159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0.8133 </w:t>
            </w:r>
          </w:p>
        </w:tc>
        <w:tc>
          <w:tcPr>
            <w:tcW w:w="9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0.8301 </w:t>
            </w:r>
          </w:p>
        </w:tc>
        <w:tc>
          <w:tcPr>
            <w:tcW w:w="10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0.7696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0.7871 </w:t>
            </w:r>
          </w:p>
        </w:tc>
        <w:tc>
          <w:tcPr>
            <w:tcW w:w="10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0.8107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0.7975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0.9999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0.8595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0.8361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0.7735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0.8117 </w:t>
            </w:r>
          </w:p>
        </w:tc>
        <w:tc>
          <w:tcPr>
            <w:tcW w:w="2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8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Conventional Bank</w:t>
            </w:r>
          </w:p>
        </w:tc>
        <w:tc>
          <w:tcPr>
            <w:tcW w:w="8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0.7612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0.7571 </w:t>
            </w:r>
          </w:p>
        </w:tc>
        <w:tc>
          <w:tcPr>
            <w:tcW w:w="9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0.8201 </w:t>
            </w:r>
          </w:p>
        </w:tc>
        <w:tc>
          <w:tcPr>
            <w:tcW w:w="10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0.8151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0.8765 </w:t>
            </w:r>
          </w:p>
        </w:tc>
        <w:tc>
          <w:tcPr>
            <w:tcW w:w="10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0.8904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0.8919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0.8540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0.8373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0.9038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0.9042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0.8823 </w:t>
            </w:r>
          </w:p>
        </w:tc>
        <w:tc>
          <w:tcPr>
            <w:tcW w:w="2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8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Mixed Bank</w:t>
            </w:r>
          </w:p>
        </w:tc>
        <w:tc>
          <w:tcPr>
            <w:tcW w:w="84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0.7775 </w:t>
            </w:r>
          </w:p>
        </w:tc>
        <w:tc>
          <w:tcPr>
            <w:tcW w:w="100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0.7514 </w:t>
            </w:r>
          </w:p>
        </w:tc>
        <w:tc>
          <w:tcPr>
            <w:tcW w:w="98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0.7652 </w:t>
            </w:r>
          </w:p>
        </w:tc>
        <w:tc>
          <w:tcPr>
            <w:tcW w:w="104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0.7570 </w:t>
            </w:r>
          </w:p>
        </w:tc>
        <w:tc>
          <w:tcPr>
            <w:tcW w:w="100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0.8241 </w:t>
            </w:r>
          </w:p>
        </w:tc>
        <w:tc>
          <w:tcPr>
            <w:tcW w:w="108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0.8490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0.8653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0.8670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0.8649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0.8657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0.8242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0.7885 </w:t>
            </w:r>
          </w:p>
        </w:tc>
        <w:tc>
          <w:tcPr>
            <w:tcW w:w="2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64719E" w:rsidRPr="0094518D" w:rsidTr="0064719E">
        <w:trPr>
          <w:trHeight w:val="315"/>
        </w:trPr>
        <w:tc>
          <w:tcPr>
            <w:tcW w:w="18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Panel C:</w:t>
            </w:r>
            <w:r w:rsidR="005138D6">
              <w:rPr>
                <w:rFonts w:ascii="Times New Roman" w:eastAsia="PMingLiU" w:hAnsi="Times New Roman" w:cs="Times New Roman"/>
                <w:color w:val="000000"/>
                <w:kern w:val="0"/>
                <w:sz w:val="20"/>
                <w:szCs w:val="20"/>
              </w:rPr>
              <w:t xml:space="preserve"> </w:t>
            </w:r>
            <w:r w:rsidR="005138D6" w:rsidRPr="005138D6">
              <w:rPr>
                <w:rFonts w:ascii="Times New Roman" w:eastAsia="PMingLiU" w:hAnsi="Times New Roman" w:cs="Times New Roman"/>
                <w:color w:val="000000"/>
                <w:kern w:val="0"/>
                <w:szCs w:val="24"/>
              </w:rPr>
              <w:t>Ownership</w:t>
            </w:r>
          </w:p>
        </w:tc>
        <w:tc>
          <w:tcPr>
            <w:tcW w:w="84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100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104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100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10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2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64719E" w:rsidRPr="0094518D" w:rsidTr="0064719E">
        <w:trPr>
          <w:trHeight w:val="315"/>
        </w:trPr>
        <w:tc>
          <w:tcPr>
            <w:tcW w:w="18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Privately Owned</w:t>
            </w:r>
          </w:p>
        </w:tc>
        <w:tc>
          <w:tcPr>
            <w:tcW w:w="8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0.7873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0.7770 </w:t>
            </w:r>
          </w:p>
        </w:tc>
        <w:tc>
          <w:tcPr>
            <w:tcW w:w="9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0.7881 </w:t>
            </w:r>
          </w:p>
        </w:tc>
        <w:tc>
          <w:tcPr>
            <w:tcW w:w="104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0.7831 </w:t>
            </w:r>
          </w:p>
        </w:tc>
        <w:tc>
          <w:tcPr>
            <w:tcW w:w="100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0.8382 </w:t>
            </w:r>
          </w:p>
        </w:tc>
        <w:tc>
          <w:tcPr>
            <w:tcW w:w="108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0.8659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0.8709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0.8849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0.8669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0.8675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0.8335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0.8252 </w:t>
            </w:r>
          </w:p>
        </w:tc>
        <w:tc>
          <w:tcPr>
            <w:tcW w:w="28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8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Government Owned</w:t>
            </w:r>
          </w:p>
        </w:tc>
        <w:tc>
          <w:tcPr>
            <w:tcW w:w="84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0.7985 </w:t>
            </w:r>
          </w:p>
        </w:tc>
        <w:tc>
          <w:tcPr>
            <w:tcW w:w="100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0.7386 </w:t>
            </w:r>
          </w:p>
        </w:tc>
        <w:tc>
          <w:tcPr>
            <w:tcW w:w="98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0.8496 </w:t>
            </w:r>
          </w:p>
        </w:tc>
        <w:tc>
          <w:tcPr>
            <w:tcW w:w="104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0.8031 </w:t>
            </w:r>
          </w:p>
        </w:tc>
        <w:tc>
          <w:tcPr>
            <w:tcW w:w="100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0.9084 </w:t>
            </w:r>
          </w:p>
        </w:tc>
        <w:tc>
          <w:tcPr>
            <w:tcW w:w="108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0.9014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0.9309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0.9106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0.8910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0.9999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0.9710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0.8456 </w:t>
            </w:r>
          </w:p>
        </w:tc>
        <w:tc>
          <w:tcPr>
            <w:tcW w:w="28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bl>
    <w:p w:rsidR="0064719E" w:rsidRPr="0094518D" w:rsidRDefault="0064719E">
      <w:pPr>
        <w:rPr>
          <w:rFonts w:ascii="Times New Roman" w:hAnsi="Times New Roman" w:cs="Times New Roman"/>
          <w:sz w:val="20"/>
          <w:szCs w:val="20"/>
        </w:rPr>
      </w:pPr>
    </w:p>
    <w:p w:rsidR="0064719E" w:rsidRPr="0094518D" w:rsidRDefault="0064719E">
      <w:pPr>
        <w:rPr>
          <w:rFonts w:ascii="Times New Roman" w:hAnsi="Times New Roman" w:cs="Times New Roman"/>
          <w:sz w:val="20"/>
          <w:szCs w:val="20"/>
        </w:rPr>
      </w:pPr>
    </w:p>
    <w:p w:rsidR="0064719E" w:rsidRPr="0094518D" w:rsidRDefault="0064719E">
      <w:pPr>
        <w:rPr>
          <w:rFonts w:ascii="Times New Roman" w:hAnsi="Times New Roman" w:cs="Times New Roman"/>
          <w:sz w:val="20"/>
          <w:szCs w:val="20"/>
        </w:rPr>
      </w:pPr>
    </w:p>
    <w:p w:rsidR="00A47E16" w:rsidRDefault="00A47E16">
      <w:pPr>
        <w:rPr>
          <w:rFonts w:ascii="Times New Roman" w:hAnsi="Times New Roman" w:cs="Times New Roman"/>
          <w:sz w:val="20"/>
          <w:szCs w:val="20"/>
        </w:rPr>
      </w:pPr>
    </w:p>
    <w:p w:rsidR="0064719E" w:rsidRPr="00AC3CBF" w:rsidRDefault="00252367">
      <w:pPr>
        <w:rPr>
          <w:rFonts w:ascii="Times New Roman" w:hAnsi="Times New Roman" w:cs="Times New Roman"/>
          <w:b/>
          <w:szCs w:val="24"/>
        </w:rPr>
      </w:pPr>
      <w:r w:rsidRPr="00AC3CBF">
        <w:rPr>
          <w:rFonts w:ascii="Times New Roman" w:hAnsi="Times New Roman" w:cs="Times New Roman"/>
          <w:b/>
          <w:szCs w:val="24"/>
        </w:rPr>
        <w:lastRenderedPageBreak/>
        <w:t xml:space="preserve">Table 5: </w:t>
      </w:r>
      <w:r w:rsidR="00F00772" w:rsidRPr="00AC3CBF">
        <w:rPr>
          <w:rFonts w:ascii="Times New Roman" w:hAnsi="Times New Roman" w:cs="Times New Roman"/>
          <w:b/>
          <w:szCs w:val="24"/>
        </w:rPr>
        <w:t xml:space="preserve"> Measures of Cost Efficiency of GCC banks for the 1999-2010 period</w:t>
      </w:r>
    </w:p>
    <w:tbl>
      <w:tblPr>
        <w:tblW w:w="13780" w:type="dxa"/>
        <w:tblInd w:w="13" w:type="dxa"/>
        <w:tblCellMar>
          <w:left w:w="28" w:type="dxa"/>
          <w:right w:w="28" w:type="dxa"/>
        </w:tblCellMar>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340"/>
      </w:tblGrid>
      <w:tr w:rsidR="0064719E" w:rsidRPr="0094518D" w:rsidTr="0064719E">
        <w:trPr>
          <w:trHeight w:val="315"/>
        </w:trPr>
        <w:tc>
          <w:tcPr>
            <w:tcW w:w="192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c>
          <w:tcPr>
            <w:tcW w:w="34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92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Year</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1999</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2000</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2001</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2002</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2003</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2004</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2005</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2006</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2007</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2008</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2009</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2010</w:t>
            </w:r>
          </w:p>
        </w:tc>
        <w:tc>
          <w:tcPr>
            <w:tcW w:w="34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64719E" w:rsidRPr="0094518D" w:rsidTr="0064719E">
        <w:trPr>
          <w:trHeight w:val="315"/>
        </w:trPr>
        <w:tc>
          <w:tcPr>
            <w:tcW w:w="192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Panel A:</w:t>
            </w:r>
            <w:r w:rsidR="00F00772" w:rsidRPr="005138D6">
              <w:rPr>
                <w:rFonts w:ascii="Times New Roman" w:eastAsia="PMingLiU" w:hAnsi="Times New Roman" w:cs="Times New Roman"/>
                <w:color w:val="000000"/>
                <w:kern w:val="0"/>
                <w:szCs w:val="24"/>
              </w:rPr>
              <w:t xml:space="preserve"> All Banks</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34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64719E" w:rsidRPr="0094518D" w:rsidTr="0064719E">
        <w:trPr>
          <w:trHeight w:val="315"/>
        </w:trPr>
        <w:tc>
          <w:tcPr>
            <w:tcW w:w="192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Bahrain</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0.9057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0.9368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0.9171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0.8542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0.8789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0.9155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0.8936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0.8917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0.8079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0.7540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0.8339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0.8596 </w:t>
            </w:r>
          </w:p>
        </w:tc>
        <w:tc>
          <w:tcPr>
            <w:tcW w:w="34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92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Kuwait</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0.8923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0.9210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0.8918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0.8730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0.8779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0.9134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0.9440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0.9541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0.9747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0.7400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0.7948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0.8343 </w:t>
            </w:r>
          </w:p>
        </w:tc>
        <w:tc>
          <w:tcPr>
            <w:tcW w:w="34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920" w:type="dxa"/>
            <w:tcBorders>
              <w:top w:val="nil"/>
              <w:left w:val="nil"/>
              <w:bottom w:val="nil"/>
              <w:right w:val="nil"/>
            </w:tcBorders>
            <w:shd w:val="clear" w:color="auto" w:fill="auto"/>
            <w:noWrap/>
            <w:vAlign w:val="bottom"/>
            <w:hideMark/>
          </w:tcPr>
          <w:p w:rsidR="0064719E" w:rsidRPr="0094518D" w:rsidRDefault="0064719E" w:rsidP="001538F4">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Om</w:t>
            </w:r>
            <w:r w:rsidR="001538F4">
              <w:rPr>
                <w:rFonts w:ascii="Times New Roman" w:eastAsia="PMingLiU" w:hAnsi="Times New Roman" w:cs="Times New Roman"/>
                <w:color w:val="000000"/>
                <w:kern w:val="0"/>
                <w:sz w:val="20"/>
                <w:szCs w:val="20"/>
              </w:rPr>
              <w:t>a</w:t>
            </w:r>
            <w:r w:rsidRPr="0094518D">
              <w:rPr>
                <w:rFonts w:ascii="Times New Roman" w:eastAsia="PMingLiU" w:hAnsi="Times New Roman" w:cs="Times New Roman"/>
                <w:color w:val="000000"/>
                <w:kern w:val="0"/>
                <w:sz w:val="20"/>
                <w:szCs w:val="20"/>
              </w:rPr>
              <w:t>n</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0.9387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0.9678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0.9505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0.9545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0.9153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0.9258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0.9456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0.9551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0.9515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0.9559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0.9394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0.9521 </w:t>
            </w:r>
          </w:p>
        </w:tc>
        <w:tc>
          <w:tcPr>
            <w:tcW w:w="34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92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Qatar</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0.9142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0.8849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0.9037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0.8353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0.8697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0.8732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0.8840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0.8915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0.8624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0.8705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0.8647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0.9000 </w:t>
            </w:r>
          </w:p>
        </w:tc>
        <w:tc>
          <w:tcPr>
            <w:tcW w:w="34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92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Saudi Arabia</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0.6746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0.7557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0.7583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0.7512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0.7533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0.7761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0.8557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0.9045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0.8185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0.7498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0.7392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0.7533 </w:t>
            </w:r>
          </w:p>
        </w:tc>
        <w:tc>
          <w:tcPr>
            <w:tcW w:w="34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92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UAE</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0.9093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0.9236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0.9191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0.9004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0.9017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0.9059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0.9533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0.9075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0.9053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0.8839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0.8437 </w:t>
            </w:r>
          </w:p>
        </w:tc>
        <w:tc>
          <w:tcPr>
            <w:tcW w:w="96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0.8649 </w:t>
            </w:r>
          </w:p>
        </w:tc>
        <w:tc>
          <w:tcPr>
            <w:tcW w:w="34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92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All Bank</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0.8725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0.8983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0.8901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0.8614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0.8661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0.8850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0.9127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0.9174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0.8867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0.8257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0.8359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0.8607 </w:t>
            </w:r>
          </w:p>
        </w:tc>
        <w:tc>
          <w:tcPr>
            <w:tcW w:w="34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64719E" w:rsidRPr="0094518D" w:rsidTr="0064719E">
        <w:trPr>
          <w:trHeight w:val="315"/>
        </w:trPr>
        <w:tc>
          <w:tcPr>
            <w:tcW w:w="192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Panel B:</w:t>
            </w:r>
            <w:r w:rsidR="00F00772" w:rsidRPr="005138D6">
              <w:rPr>
                <w:rFonts w:ascii="Times New Roman" w:eastAsia="PMingLiU" w:hAnsi="Times New Roman" w:cs="Times New Roman"/>
                <w:color w:val="000000"/>
                <w:kern w:val="0"/>
                <w:szCs w:val="24"/>
              </w:rPr>
              <w:t xml:space="preserve"> Bank Type</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34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64719E" w:rsidRPr="0094518D" w:rsidTr="0064719E">
        <w:trPr>
          <w:trHeight w:val="315"/>
        </w:trPr>
        <w:tc>
          <w:tcPr>
            <w:tcW w:w="192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Islamic Bank</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0.8043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0.8404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0.8263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0.8350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0.8433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0.9288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0.9876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0.8888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0.7533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0.7073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0.7528 </w:t>
            </w:r>
          </w:p>
        </w:tc>
        <w:tc>
          <w:tcPr>
            <w:tcW w:w="34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92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Conventional Bank</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0.9343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0.9410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0.9225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0.8829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0.8887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0.9125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0.9378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0.9408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0.9402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0.4081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0.9018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0.9029 </w:t>
            </w:r>
          </w:p>
        </w:tc>
        <w:tc>
          <w:tcPr>
            <w:tcW w:w="34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92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Mixed Bank</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0.8586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0.8723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0.8677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0.8498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0.8537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0.8672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0.9028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0.8911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0.8421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0.8075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0.8082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0.8403 </w:t>
            </w:r>
          </w:p>
        </w:tc>
        <w:tc>
          <w:tcPr>
            <w:tcW w:w="34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64719E" w:rsidRPr="0094518D" w:rsidTr="0064719E">
        <w:trPr>
          <w:trHeight w:val="315"/>
        </w:trPr>
        <w:tc>
          <w:tcPr>
            <w:tcW w:w="192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Panel C:</w:t>
            </w:r>
            <w:r w:rsidR="00F00772">
              <w:rPr>
                <w:rFonts w:ascii="Times New Roman" w:eastAsia="PMingLiU" w:hAnsi="Times New Roman" w:cs="Times New Roman"/>
                <w:color w:val="000000"/>
                <w:kern w:val="0"/>
                <w:sz w:val="20"/>
                <w:szCs w:val="20"/>
              </w:rPr>
              <w:t xml:space="preserve"> </w:t>
            </w:r>
            <w:r w:rsidR="00F00772" w:rsidRPr="005138D6">
              <w:rPr>
                <w:rFonts w:ascii="Times New Roman" w:eastAsia="PMingLiU" w:hAnsi="Times New Roman" w:cs="Times New Roman"/>
                <w:color w:val="000000"/>
                <w:kern w:val="0"/>
                <w:szCs w:val="24"/>
              </w:rPr>
              <w:t>Ownership</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34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64719E" w:rsidRPr="0094518D" w:rsidTr="0064719E">
        <w:trPr>
          <w:trHeight w:val="315"/>
        </w:trPr>
        <w:tc>
          <w:tcPr>
            <w:tcW w:w="192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Privately Owned</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0.8051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0.8773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0.8747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0.8571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0.8604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0.8739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0.9118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0.9117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0.8652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0.6252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0.8035 </w:t>
            </w:r>
          </w:p>
        </w:tc>
        <w:tc>
          <w:tcPr>
            <w:tcW w:w="960" w:type="dxa"/>
            <w:tcBorders>
              <w:top w:val="nil"/>
              <w:left w:val="nil"/>
              <w:bottom w:val="nil"/>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0.8315 </w:t>
            </w:r>
          </w:p>
        </w:tc>
        <w:tc>
          <w:tcPr>
            <w:tcW w:w="340" w:type="dxa"/>
            <w:tcBorders>
              <w:top w:val="nil"/>
              <w:left w:val="nil"/>
              <w:bottom w:val="nil"/>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p>
        </w:tc>
      </w:tr>
      <w:tr w:rsidR="0064719E" w:rsidRPr="0094518D" w:rsidTr="0064719E">
        <w:trPr>
          <w:trHeight w:val="315"/>
        </w:trPr>
        <w:tc>
          <w:tcPr>
            <w:tcW w:w="192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Government Owned</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0.9126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0.9248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0.9143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0.8576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0.8711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0.8998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0.9294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0.9193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0.9092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0.9319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0.9308 </w:t>
            </w:r>
          </w:p>
        </w:tc>
        <w:tc>
          <w:tcPr>
            <w:tcW w:w="960" w:type="dxa"/>
            <w:tcBorders>
              <w:top w:val="nil"/>
              <w:left w:val="nil"/>
              <w:bottom w:val="single" w:sz="4" w:space="0" w:color="auto"/>
              <w:right w:val="nil"/>
            </w:tcBorders>
            <w:shd w:val="clear" w:color="auto" w:fill="auto"/>
            <w:noWrap/>
            <w:vAlign w:val="center"/>
            <w:hideMark/>
          </w:tcPr>
          <w:p w:rsidR="0064719E" w:rsidRPr="0094518D" w:rsidRDefault="0064719E" w:rsidP="0064719E">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0.9469 </w:t>
            </w:r>
          </w:p>
        </w:tc>
        <w:tc>
          <w:tcPr>
            <w:tcW w:w="340" w:type="dxa"/>
            <w:tcBorders>
              <w:top w:val="nil"/>
              <w:left w:val="nil"/>
              <w:bottom w:val="single" w:sz="4" w:space="0" w:color="auto"/>
              <w:right w:val="nil"/>
            </w:tcBorders>
            <w:shd w:val="clear" w:color="auto" w:fill="auto"/>
            <w:noWrap/>
            <w:vAlign w:val="bottom"/>
            <w:hideMark/>
          </w:tcPr>
          <w:p w:rsidR="0064719E" w:rsidRPr="0094518D" w:rsidRDefault="0064719E" w:rsidP="0064719E">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bl>
    <w:p w:rsidR="009B29E1" w:rsidRPr="0094518D" w:rsidRDefault="009B29E1">
      <w:pPr>
        <w:rPr>
          <w:rFonts w:ascii="Times New Roman" w:hAnsi="Times New Roman" w:cs="Times New Roman"/>
          <w:sz w:val="20"/>
          <w:szCs w:val="20"/>
        </w:rPr>
      </w:pPr>
    </w:p>
    <w:p w:rsidR="008E56C2" w:rsidRDefault="008E56C2">
      <w:pPr>
        <w:rPr>
          <w:rFonts w:ascii="Times New Roman" w:hAnsi="Times New Roman" w:cs="Times New Roman"/>
          <w:sz w:val="20"/>
          <w:szCs w:val="20"/>
        </w:rPr>
        <w:sectPr w:rsidR="008E56C2" w:rsidSect="008E56C2">
          <w:pgSz w:w="16838" w:h="11906" w:orient="landscape"/>
          <w:pgMar w:top="1440" w:right="1440" w:bottom="1440" w:left="1440" w:header="851" w:footer="992" w:gutter="0"/>
          <w:cols w:space="425"/>
          <w:docGrid w:type="lines" w:linePitch="360"/>
        </w:sectPr>
      </w:pPr>
    </w:p>
    <w:p w:rsidR="009B29E1" w:rsidRDefault="009B29E1">
      <w:pPr>
        <w:rPr>
          <w:rFonts w:ascii="Times New Roman" w:hAnsi="Times New Roman" w:cs="Times New Roman"/>
          <w:b/>
          <w:szCs w:val="24"/>
        </w:rPr>
      </w:pPr>
      <w:r w:rsidRPr="00AC3CBF">
        <w:rPr>
          <w:rFonts w:ascii="Times New Roman" w:hAnsi="Times New Roman" w:cs="Times New Roman"/>
          <w:b/>
          <w:szCs w:val="24"/>
        </w:rPr>
        <w:lastRenderedPageBreak/>
        <w:t xml:space="preserve">Table 6 </w:t>
      </w:r>
      <w:r w:rsidR="009D4541" w:rsidRPr="00AC3CBF">
        <w:rPr>
          <w:rFonts w:ascii="Times New Roman" w:hAnsi="Times New Roman" w:cs="Times New Roman"/>
          <w:b/>
          <w:szCs w:val="24"/>
        </w:rPr>
        <w:t>Single</w:t>
      </w:r>
      <w:r w:rsidR="00AC3CBF" w:rsidRPr="00AC3CBF">
        <w:rPr>
          <w:rFonts w:ascii="Times New Roman" w:hAnsi="Times New Roman" w:cs="Times New Roman"/>
          <w:b/>
          <w:szCs w:val="24"/>
        </w:rPr>
        <w:t>-</w:t>
      </w:r>
      <w:r w:rsidR="009D4541" w:rsidRPr="00AC3CBF">
        <w:rPr>
          <w:rFonts w:ascii="Times New Roman" w:hAnsi="Times New Roman" w:cs="Times New Roman"/>
          <w:b/>
          <w:szCs w:val="24"/>
        </w:rPr>
        <w:t>step Heteroskedastic SF estimates for Cost Efficiency</w:t>
      </w:r>
    </w:p>
    <w:p w:rsidR="00AC3CBF" w:rsidRPr="00AC3CBF" w:rsidRDefault="00AC3CBF">
      <w:pPr>
        <w:rPr>
          <w:rFonts w:ascii="Times New Roman" w:hAnsi="Times New Roman" w:cs="Times New Roman"/>
          <w:b/>
          <w:szCs w:val="24"/>
        </w:rPr>
      </w:pPr>
    </w:p>
    <w:tbl>
      <w:tblPr>
        <w:tblW w:w="7006" w:type="dxa"/>
        <w:tblInd w:w="13" w:type="dxa"/>
        <w:tblCellMar>
          <w:left w:w="28" w:type="dxa"/>
          <w:right w:w="28" w:type="dxa"/>
        </w:tblCellMar>
        <w:tblLook w:val="04A0" w:firstRow="1" w:lastRow="0" w:firstColumn="1" w:lastColumn="0" w:noHBand="0" w:noVBand="1"/>
      </w:tblPr>
      <w:tblGrid>
        <w:gridCol w:w="1246"/>
        <w:gridCol w:w="960"/>
        <w:gridCol w:w="960"/>
        <w:gridCol w:w="960"/>
        <w:gridCol w:w="960"/>
        <w:gridCol w:w="960"/>
        <w:gridCol w:w="960"/>
      </w:tblGrid>
      <w:tr w:rsidR="009B29E1" w:rsidRPr="0094518D" w:rsidTr="00F56B01">
        <w:trPr>
          <w:trHeight w:val="315"/>
        </w:trPr>
        <w:tc>
          <w:tcPr>
            <w:tcW w:w="1246"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Variable</w:t>
            </w:r>
          </w:p>
        </w:tc>
        <w:tc>
          <w:tcPr>
            <w:tcW w:w="96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Coefficient </w:t>
            </w:r>
          </w:p>
        </w:tc>
        <w:tc>
          <w:tcPr>
            <w:tcW w:w="96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t-ratio</w:t>
            </w:r>
          </w:p>
        </w:tc>
        <w:tc>
          <w:tcPr>
            <w:tcW w:w="96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Coefficient </w:t>
            </w:r>
          </w:p>
        </w:tc>
        <w:tc>
          <w:tcPr>
            <w:tcW w:w="96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t-ratio</w:t>
            </w:r>
          </w:p>
        </w:tc>
        <w:tc>
          <w:tcPr>
            <w:tcW w:w="96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Constant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-3.7964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-11.02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-2.9944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-9.00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0.1251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1.50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-0.0766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-1.11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0.2288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1.72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0.1376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1.05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-0.1402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-0.2129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-1.26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1.0700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6.05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0.5436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3.67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-0.0018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0.0051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0.1120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1.43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0.3937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5.03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1/2*lnP1*lnP1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0.1575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7.74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0.2201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13.21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1/2*lnP2*lnP2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0.2168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4.00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0.2613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5.82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1/2*lnP3*lnP3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-0.0460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-0.0298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lnP1*lnP2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-0.0585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-1.94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-0.0055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lnP2*lnP3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-0.0133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-0.0689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lnY1*lnP1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0.1640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4.80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0.1108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3.83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lnY1*lnP2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-0.1330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-3.10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-0.1897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-4.46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lnY1*lnP3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-0.0230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0.0700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lnY2*lnP1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-0.0531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-1.81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-0.0114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lnY2*lnP2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0.1021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2.89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0.1037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3.12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lnY2*lnP3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0.0861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1.51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0.0061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lnY3*lnP1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-0.0842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-4.51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-0.0559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-3.27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lnY3*lnP2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0.0467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2.63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0.1123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5.37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lnY3*lnP3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-0.0480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-1.16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-0.0527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single" w:sz="4" w:space="0" w:color="auto"/>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lnY1*lnY2</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-0.0407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-1.21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-0.0372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-1.30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F56B01" w:rsidRPr="0094518D" w:rsidTr="00F56B01">
        <w:trPr>
          <w:trHeight w:val="315"/>
        </w:trPr>
        <w:tc>
          <w:tcPr>
            <w:tcW w:w="1246" w:type="dxa"/>
            <w:tcBorders>
              <w:top w:val="single" w:sz="4" w:space="0" w:color="auto"/>
              <w:left w:val="nil"/>
              <w:bottom w:val="single" w:sz="4" w:space="0" w:color="auto"/>
              <w:right w:val="nil"/>
            </w:tcBorders>
            <w:shd w:val="clear" w:color="auto" w:fill="auto"/>
            <w:noWrap/>
            <w:vAlign w:val="bottom"/>
            <w:hideMark/>
          </w:tcPr>
          <w:p w:rsidR="00F56B01" w:rsidRPr="0094518D" w:rsidRDefault="00F56B01" w:rsidP="00F17769">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Variable</w:t>
            </w:r>
          </w:p>
        </w:tc>
        <w:tc>
          <w:tcPr>
            <w:tcW w:w="960" w:type="dxa"/>
            <w:tcBorders>
              <w:top w:val="single" w:sz="4" w:space="0" w:color="auto"/>
              <w:left w:val="nil"/>
              <w:bottom w:val="single" w:sz="4" w:space="0" w:color="auto"/>
              <w:right w:val="nil"/>
            </w:tcBorders>
            <w:shd w:val="clear" w:color="auto" w:fill="auto"/>
            <w:noWrap/>
            <w:vAlign w:val="center"/>
            <w:hideMark/>
          </w:tcPr>
          <w:p w:rsidR="00F56B01" w:rsidRPr="0094518D" w:rsidRDefault="00F56B01" w:rsidP="00F56B0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Coefficient </w:t>
            </w:r>
          </w:p>
        </w:tc>
        <w:tc>
          <w:tcPr>
            <w:tcW w:w="960" w:type="dxa"/>
            <w:tcBorders>
              <w:top w:val="single" w:sz="4" w:space="0" w:color="auto"/>
              <w:left w:val="nil"/>
              <w:bottom w:val="single" w:sz="4" w:space="0" w:color="auto"/>
              <w:right w:val="nil"/>
            </w:tcBorders>
            <w:shd w:val="clear" w:color="auto" w:fill="auto"/>
            <w:noWrap/>
            <w:vAlign w:val="center"/>
            <w:hideMark/>
          </w:tcPr>
          <w:p w:rsidR="00F56B01" w:rsidRPr="0094518D" w:rsidRDefault="00F56B01" w:rsidP="00F17769">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t-ratio</w:t>
            </w:r>
          </w:p>
        </w:tc>
        <w:tc>
          <w:tcPr>
            <w:tcW w:w="960" w:type="dxa"/>
            <w:tcBorders>
              <w:top w:val="single" w:sz="4" w:space="0" w:color="auto"/>
              <w:left w:val="nil"/>
              <w:bottom w:val="single" w:sz="4" w:space="0" w:color="auto"/>
              <w:right w:val="nil"/>
            </w:tcBorders>
            <w:shd w:val="clear" w:color="auto" w:fill="auto"/>
            <w:noWrap/>
            <w:vAlign w:val="center"/>
            <w:hideMark/>
          </w:tcPr>
          <w:p w:rsidR="00F56B01" w:rsidRPr="0094518D" w:rsidRDefault="00F56B01" w:rsidP="00F17769">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56B01" w:rsidRPr="0094518D" w:rsidRDefault="00F56B01" w:rsidP="00F56B0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Coefficient </w:t>
            </w:r>
          </w:p>
        </w:tc>
        <w:tc>
          <w:tcPr>
            <w:tcW w:w="960" w:type="dxa"/>
            <w:tcBorders>
              <w:top w:val="single" w:sz="4" w:space="0" w:color="auto"/>
              <w:left w:val="nil"/>
              <w:bottom w:val="single" w:sz="4" w:space="0" w:color="auto"/>
              <w:right w:val="nil"/>
            </w:tcBorders>
            <w:shd w:val="clear" w:color="auto" w:fill="auto"/>
            <w:noWrap/>
            <w:vAlign w:val="center"/>
            <w:hideMark/>
          </w:tcPr>
          <w:p w:rsidR="00F56B01" w:rsidRPr="0094518D" w:rsidRDefault="00F56B01" w:rsidP="00F17769">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t-ratio</w:t>
            </w:r>
          </w:p>
        </w:tc>
        <w:tc>
          <w:tcPr>
            <w:tcW w:w="960" w:type="dxa"/>
            <w:tcBorders>
              <w:top w:val="single" w:sz="4" w:space="0" w:color="auto"/>
              <w:left w:val="nil"/>
              <w:bottom w:val="single" w:sz="4" w:space="0" w:color="auto"/>
              <w:right w:val="nil"/>
            </w:tcBorders>
            <w:shd w:val="clear" w:color="auto" w:fill="auto"/>
            <w:noWrap/>
            <w:vAlign w:val="center"/>
            <w:hideMark/>
          </w:tcPr>
          <w:p w:rsidR="00F56B01" w:rsidRPr="0094518D" w:rsidRDefault="00F56B01" w:rsidP="00F17769">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9B29E1" w:rsidRPr="0094518D" w:rsidTr="00F56B01">
        <w:trPr>
          <w:trHeight w:val="315"/>
        </w:trPr>
        <w:tc>
          <w:tcPr>
            <w:tcW w:w="1246" w:type="dxa"/>
            <w:tcBorders>
              <w:top w:val="single" w:sz="4" w:space="0" w:color="auto"/>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lnY1*lnY3</w:t>
            </w:r>
          </w:p>
        </w:tc>
        <w:tc>
          <w:tcPr>
            <w:tcW w:w="960" w:type="dxa"/>
            <w:tcBorders>
              <w:top w:val="single" w:sz="4" w:space="0" w:color="auto"/>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-0.0999 </w:t>
            </w:r>
          </w:p>
        </w:tc>
        <w:tc>
          <w:tcPr>
            <w:tcW w:w="960" w:type="dxa"/>
            <w:tcBorders>
              <w:top w:val="single" w:sz="4" w:space="0" w:color="auto"/>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-2.50 </w:t>
            </w:r>
          </w:p>
        </w:tc>
        <w:tc>
          <w:tcPr>
            <w:tcW w:w="960" w:type="dxa"/>
            <w:tcBorders>
              <w:top w:val="single" w:sz="4" w:space="0" w:color="auto"/>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single" w:sz="4" w:space="0" w:color="auto"/>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-0.1962 </w:t>
            </w:r>
          </w:p>
        </w:tc>
        <w:tc>
          <w:tcPr>
            <w:tcW w:w="960" w:type="dxa"/>
            <w:tcBorders>
              <w:top w:val="single" w:sz="4" w:space="0" w:color="auto"/>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-5.18 </w:t>
            </w:r>
          </w:p>
        </w:tc>
        <w:tc>
          <w:tcPr>
            <w:tcW w:w="960" w:type="dxa"/>
            <w:tcBorders>
              <w:top w:val="single" w:sz="4" w:space="0" w:color="auto"/>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lnY2*lnY3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0.0303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0.0136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lnY1*lnY1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0.0538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0.2057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3.40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lnY2*lnY2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0.0356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1.77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0.0394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2.74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lnY3*lnY3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0.1044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4.86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0.1893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9.60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BR</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0.0942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1.62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0.4268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7.36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KU</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-0.0844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-1.52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0.3781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7.28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OM</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-0.0988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-1.03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0.3926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6.64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QA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-0.0044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-0.9494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0.2102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4.76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0.6574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13.23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lastRenderedPageBreak/>
              <w:t xml:space="preserve"> </w:t>
            </w:r>
          </w:p>
        </w:tc>
        <w:tc>
          <w:tcPr>
            <w:tcW w:w="2880" w:type="dxa"/>
            <w:gridSpan w:val="3"/>
            <w:tcBorders>
              <w:top w:val="single" w:sz="4" w:space="0" w:color="auto"/>
              <w:left w:val="nil"/>
              <w:bottom w:val="single" w:sz="4" w:space="0" w:color="auto"/>
              <w:right w:val="nil"/>
            </w:tcBorders>
            <w:shd w:val="clear" w:color="auto" w:fill="auto"/>
            <w:noWrap/>
            <w:vAlign w:val="center"/>
            <w:hideMark/>
          </w:tcPr>
          <w:p w:rsidR="009B29E1" w:rsidRPr="0094518D" w:rsidRDefault="00AC3CBF" w:rsidP="009B29E1">
            <w:pPr>
              <w:widowControl/>
              <w:spacing w:line="240" w:lineRule="auto"/>
              <w:jc w:val="center"/>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C</w:t>
            </w:r>
            <w:r w:rsidR="009B29E1" w:rsidRPr="0094518D">
              <w:rPr>
                <w:rFonts w:ascii="Times New Roman" w:eastAsia="PMingLiU" w:hAnsi="Times New Roman" w:cs="Times New Roman"/>
                <w:color w:val="000000"/>
                <w:kern w:val="0"/>
                <w:sz w:val="20"/>
                <w:szCs w:val="20"/>
              </w:rPr>
              <w:t>omponents of the mean of u</w:t>
            </w:r>
          </w:p>
        </w:tc>
        <w:tc>
          <w:tcPr>
            <w:tcW w:w="2880" w:type="dxa"/>
            <w:gridSpan w:val="3"/>
            <w:tcBorders>
              <w:top w:val="single" w:sz="4" w:space="0" w:color="auto"/>
              <w:left w:val="single" w:sz="4" w:space="0" w:color="auto"/>
              <w:bottom w:val="single" w:sz="4" w:space="0" w:color="auto"/>
              <w:right w:val="nil"/>
            </w:tcBorders>
            <w:shd w:val="clear" w:color="auto" w:fill="auto"/>
            <w:noWrap/>
            <w:vAlign w:val="center"/>
            <w:hideMark/>
          </w:tcPr>
          <w:p w:rsidR="009B29E1" w:rsidRPr="0094518D" w:rsidRDefault="00AC3CBF" w:rsidP="009B29E1">
            <w:pPr>
              <w:widowControl/>
              <w:spacing w:line="240" w:lineRule="auto"/>
              <w:jc w:val="center"/>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C</w:t>
            </w:r>
            <w:r w:rsidR="009B29E1" w:rsidRPr="0094518D">
              <w:rPr>
                <w:rFonts w:ascii="Times New Roman" w:eastAsia="PMingLiU" w:hAnsi="Times New Roman" w:cs="Times New Roman"/>
                <w:color w:val="000000"/>
                <w:kern w:val="0"/>
                <w:sz w:val="20"/>
                <w:szCs w:val="20"/>
              </w:rPr>
              <w:t>omponents of the mean of u</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NPL</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0.0060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-0.0002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-1.67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TIER1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-0.0009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-1.41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0.0000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EA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1.9778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1.89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SIZE</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-0.3632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-1.22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PRIVATE</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-0.0519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ISLAM</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0.4951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5.53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BR</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-2.2408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-0.5517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-2.93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KU</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-1.9272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-0.9594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-1.53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OM</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-5.9606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-1.2386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QA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0.8872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0.9355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1.6683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1.52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-0.7543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-5.15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2880" w:type="dxa"/>
            <w:gridSpan w:val="3"/>
            <w:tcBorders>
              <w:top w:val="single" w:sz="4" w:space="0" w:color="auto"/>
              <w:left w:val="nil"/>
              <w:bottom w:val="single" w:sz="4" w:space="0" w:color="auto"/>
              <w:right w:val="nil"/>
            </w:tcBorders>
            <w:shd w:val="clear" w:color="auto" w:fill="auto"/>
            <w:noWrap/>
            <w:vAlign w:val="center"/>
            <w:hideMark/>
          </w:tcPr>
          <w:p w:rsidR="009B29E1" w:rsidRPr="0094518D" w:rsidRDefault="00AC3CBF" w:rsidP="00AC3CBF">
            <w:pPr>
              <w:widowControl/>
              <w:spacing w:line="240" w:lineRule="auto"/>
              <w:jc w:val="center"/>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C</w:t>
            </w:r>
            <w:r w:rsidR="009B29E1" w:rsidRPr="0094518D">
              <w:rPr>
                <w:rFonts w:ascii="Times New Roman" w:eastAsia="PMingLiU" w:hAnsi="Times New Roman" w:cs="Times New Roman"/>
                <w:color w:val="000000"/>
                <w:kern w:val="0"/>
                <w:sz w:val="20"/>
                <w:szCs w:val="20"/>
              </w:rPr>
              <w:t>omponents of the variance of u</w:t>
            </w:r>
          </w:p>
        </w:tc>
        <w:tc>
          <w:tcPr>
            <w:tcW w:w="2880" w:type="dxa"/>
            <w:gridSpan w:val="3"/>
            <w:tcBorders>
              <w:top w:val="single" w:sz="4" w:space="0" w:color="auto"/>
              <w:left w:val="single" w:sz="4" w:space="0" w:color="auto"/>
              <w:bottom w:val="single" w:sz="4" w:space="0" w:color="auto"/>
              <w:right w:val="nil"/>
            </w:tcBorders>
            <w:shd w:val="clear" w:color="auto" w:fill="auto"/>
            <w:noWrap/>
            <w:vAlign w:val="center"/>
            <w:hideMark/>
          </w:tcPr>
          <w:p w:rsidR="009B29E1" w:rsidRPr="0094518D" w:rsidRDefault="00AC3CBF" w:rsidP="00AC3CBF">
            <w:pPr>
              <w:widowControl/>
              <w:spacing w:line="240" w:lineRule="auto"/>
              <w:jc w:val="center"/>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C</w:t>
            </w:r>
            <w:r w:rsidR="009B29E1" w:rsidRPr="0094518D">
              <w:rPr>
                <w:rFonts w:ascii="Times New Roman" w:eastAsia="PMingLiU" w:hAnsi="Times New Roman" w:cs="Times New Roman"/>
                <w:color w:val="000000"/>
                <w:kern w:val="0"/>
                <w:sz w:val="20"/>
                <w:szCs w:val="20"/>
              </w:rPr>
              <w:t>omponents of the variance of u</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Constant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-1.3966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-7.1025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-3.78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NPL</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0.0299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1.19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-0.0002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TIER1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-0.0004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-0.0004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-1.42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EA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1.9795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2.79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SIZE</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-0.4138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-2.24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PRIVATE</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-1.2386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-1.26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ISLAM</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2.5153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1.64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BR</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-4.7110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-1.02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KU</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-1.2896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OM</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-57.5951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QA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0.5389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F56B01">
        <w:trPr>
          <w:trHeight w:val="315"/>
        </w:trPr>
        <w:tc>
          <w:tcPr>
            <w:tcW w:w="1246"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SA</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2.3351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3.62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9B29E1" w:rsidRPr="0094518D" w:rsidTr="00F56B01">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Lambda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4.5045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2.38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2.5530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7.61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F56B01">
        <w:trPr>
          <w:trHeight w:val="315"/>
        </w:trPr>
        <w:tc>
          <w:tcPr>
            <w:tcW w:w="1246"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Sigma</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0.5675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2.50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0.2222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22.14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bl>
    <w:p w:rsidR="009B29E1" w:rsidRPr="0094518D" w:rsidRDefault="009B29E1">
      <w:pPr>
        <w:rPr>
          <w:rFonts w:ascii="Times New Roman" w:hAnsi="Times New Roman" w:cs="Times New Roman"/>
          <w:sz w:val="20"/>
          <w:szCs w:val="20"/>
        </w:rPr>
      </w:pPr>
    </w:p>
    <w:p w:rsidR="009B29E1" w:rsidRPr="0094518D" w:rsidRDefault="009B29E1">
      <w:pPr>
        <w:rPr>
          <w:rFonts w:ascii="Times New Roman" w:hAnsi="Times New Roman" w:cs="Times New Roman"/>
          <w:sz w:val="20"/>
          <w:szCs w:val="20"/>
        </w:rPr>
      </w:pPr>
    </w:p>
    <w:p w:rsidR="009B29E1" w:rsidRPr="0094518D" w:rsidRDefault="009B29E1">
      <w:pPr>
        <w:rPr>
          <w:rFonts w:ascii="Times New Roman" w:hAnsi="Times New Roman" w:cs="Times New Roman"/>
          <w:sz w:val="20"/>
          <w:szCs w:val="20"/>
        </w:rPr>
      </w:pPr>
    </w:p>
    <w:p w:rsidR="009B29E1" w:rsidRPr="0094518D" w:rsidRDefault="009B29E1">
      <w:pPr>
        <w:rPr>
          <w:rFonts w:ascii="Times New Roman" w:hAnsi="Times New Roman" w:cs="Times New Roman"/>
          <w:sz w:val="20"/>
          <w:szCs w:val="20"/>
        </w:rPr>
      </w:pPr>
    </w:p>
    <w:p w:rsidR="00F56B01" w:rsidRDefault="00F56B01">
      <w:pPr>
        <w:rPr>
          <w:rFonts w:ascii="Times New Roman" w:hAnsi="Times New Roman" w:cs="Times New Roman"/>
          <w:sz w:val="20"/>
          <w:szCs w:val="20"/>
        </w:rPr>
      </w:pPr>
    </w:p>
    <w:p w:rsidR="00F56B01" w:rsidRDefault="00F56B01">
      <w:pPr>
        <w:rPr>
          <w:rFonts w:ascii="Times New Roman" w:hAnsi="Times New Roman" w:cs="Times New Roman"/>
          <w:sz w:val="20"/>
          <w:szCs w:val="20"/>
        </w:rPr>
      </w:pPr>
    </w:p>
    <w:p w:rsidR="00F56B01" w:rsidRDefault="00F56B01">
      <w:pPr>
        <w:rPr>
          <w:rFonts w:ascii="Times New Roman" w:hAnsi="Times New Roman" w:cs="Times New Roman"/>
          <w:sz w:val="20"/>
          <w:szCs w:val="20"/>
        </w:rPr>
      </w:pPr>
    </w:p>
    <w:p w:rsidR="00AC3CBF" w:rsidRDefault="00AC3CBF">
      <w:pPr>
        <w:rPr>
          <w:rFonts w:ascii="Times New Roman" w:hAnsi="Times New Roman" w:cs="Times New Roman"/>
          <w:sz w:val="20"/>
          <w:szCs w:val="20"/>
        </w:rPr>
      </w:pPr>
    </w:p>
    <w:p w:rsidR="009B29E1" w:rsidRPr="00AC3CBF" w:rsidRDefault="009B29E1">
      <w:pPr>
        <w:rPr>
          <w:rFonts w:ascii="Times New Roman" w:hAnsi="Times New Roman" w:cs="Times New Roman"/>
          <w:b/>
          <w:szCs w:val="24"/>
        </w:rPr>
      </w:pPr>
      <w:r w:rsidRPr="00AC3CBF">
        <w:rPr>
          <w:rFonts w:ascii="Times New Roman" w:hAnsi="Times New Roman" w:cs="Times New Roman"/>
          <w:b/>
          <w:szCs w:val="24"/>
        </w:rPr>
        <w:t xml:space="preserve">Table 7 </w:t>
      </w:r>
      <w:r w:rsidR="00AC3CBF" w:rsidRPr="00AC3CBF">
        <w:rPr>
          <w:rFonts w:ascii="Times New Roman" w:hAnsi="Times New Roman" w:cs="Times New Roman"/>
          <w:b/>
          <w:szCs w:val="24"/>
        </w:rPr>
        <w:t>Single-</w:t>
      </w:r>
      <w:r w:rsidR="009D4541" w:rsidRPr="00AC3CBF">
        <w:rPr>
          <w:rFonts w:ascii="Times New Roman" w:hAnsi="Times New Roman" w:cs="Times New Roman"/>
          <w:b/>
          <w:szCs w:val="24"/>
        </w:rPr>
        <w:t>step Heteroskedastic SF estimates for Profit Efficiency</w:t>
      </w:r>
    </w:p>
    <w:tbl>
      <w:tblPr>
        <w:tblW w:w="7006" w:type="dxa"/>
        <w:tblInd w:w="13" w:type="dxa"/>
        <w:tblCellMar>
          <w:left w:w="28" w:type="dxa"/>
          <w:right w:w="28" w:type="dxa"/>
        </w:tblCellMar>
        <w:tblLook w:val="04A0" w:firstRow="1" w:lastRow="0" w:firstColumn="1" w:lastColumn="0" w:noHBand="0" w:noVBand="1"/>
      </w:tblPr>
      <w:tblGrid>
        <w:gridCol w:w="1246"/>
        <w:gridCol w:w="960"/>
        <w:gridCol w:w="960"/>
        <w:gridCol w:w="960"/>
        <w:gridCol w:w="960"/>
        <w:gridCol w:w="960"/>
        <w:gridCol w:w="960"/>
      </w:tblGrid>
      <w:tr w:rsidR="009B29E1" w:rsidRPr="0094518D" w:rsidTr="008726B0">
        <w:trPr>
          <w:trHeight w:val="315"/>
        </w:trPr>
        <w:tc>
          <w:tcPr>
            <w:tcW w:w="1246"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Variable</w:t>
            </w:r>
          </w:p>
        </w:tc>
        <w:tc>
          <w:tcPr>
            <w:tcW w:w="96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Coefficient </w:t>
            </w:r>
          </w:p>
        </w:tc>
        <w:tc>
          <w:tcPr>
            <w:tcW w:w="96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t-ratio</w:t>
            </w:r>
          </w:p>
        </w:tc>
        <w:tc>
          <w:tcPr>
            <w:tcW w:w="96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Coefficient </w:t>
            </w:r>
          </w:p>
        </w:tc>
        <w:tc>
          <w:tcPr>
            <w:tcW w:w="96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t-ratio</w:t>
            </w:r>
          </w:p>
        </w:tc>
        <w:tc>
          <w:tcPr>
            <w:tcW w:w="96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Constant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8.4690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9.19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9.4109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12.93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-0.3924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-1.63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0.2413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1.44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-0.4787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-0.4863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-0.1506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-0.3329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-1.00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-0.0740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-0.1669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0.0583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-0.1195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-0.1919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-0.3662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-2.06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1/2*lnP1*lnP1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0.0255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-0.0851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-2.29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1/2*lnP2*lnP2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-0.0719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0.1862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1.21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1/2*lnP3*lnP3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0.1135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0.64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0.1070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lnP1*lnP2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0.0700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0.0244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lnP2*lnP3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0.0680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0.0665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lnY1*lnP1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-0.1522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0.0597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lnY1*lnP2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0.2566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-0.0260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lnY1*lnP3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-0.0024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0.0685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lnY2*lnP1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0.1457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-0.0601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lnY2*lnP2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-0.0636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0.0534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lnY2*lnP3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-0.0441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-0.0583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lnY3*lnP1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0.0298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-0.0220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lnY3*lnP2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-0.1879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-2.79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0.0388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lnY3*lnP3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0.0506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0.0313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lnY1*lnY2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0.0240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-0.0670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lnY1*lnY3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0.1390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-0.1276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-1.10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lnY2*lnY3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-0.1202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0.1048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lnY1*lnY1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-0.1296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0.2049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lnY2*lnY2</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0.0704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1.20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-0.0055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bottom"/>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lnY3*lnY3</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0.0015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0.0849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1.29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BR</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0.1202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0.0356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KU</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0.1401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0.79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0.2039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1.60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OM</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0.0263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-0.0851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QA</w:t>
            </w:r>
          </w:p>
        </w:tc>
        <w:tc>
          <w:tcPr>
            <w:tcW w:w="960" w:type="dxa"/>
            <w:tcBorders>
              <w:top w:val="nil"/>
              <w:left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0.0372 </w:t>
            </w:r>
          </w:p>
        </w:tc>
        <w:tc>
          <w:tcPr>
            <w:tcW w:w="960" w:type="dxa"/>
            <w:tcBorders>
              <w:top w:val="nil"/>
              <w:left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0.18 </w:t>
            </w:r>
          </w:p>
        </w:tc>
        <w:tc>
          <w:tcPr>
            <w:tcW w:w="960" w:type="dxa"/>
            <w:tcBorders>
              <w:top w:val="nil"/>
              <w:left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-0.0035 </w:t>
            </w:r>
          </w:p>
        </w:tc>
        <w:tc>
          <w:tcPr>
            <w:tcW w:w="960" w:type="dxa"/>
            <w:tcBorders>
              <w:top w:val="nil"/>
              <w:left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-0.05 </w:t>
            </w:r>
          </w:p>
        </w:tc>
        <w:tc>
          <w:tcPr>
            <w:tcW w:w="960" w:type="dxa"/>
            <w:tcBorders>
              <w:top w:val="nil"/>
              <w:left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single" w:sz="4" w:space="0" w:color="auto"/>
              <w:right w:val="nil"/>
            </w:tcBorders>
            <w:shd w:val="clear" w:color="auto" w:fill="auto"/>
            <w:noWrap/>
            <w:vAlign w:val="center"/>
            <w:hideMark/>
          </w:tcPr>
          <w:p w:rsidR="009B29E1" w:rsidRDefault="009B29E1" w:rsidP="00F12E2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SA</w:t>
            </w:r>
          </w:p>
          <w:p w:rsidR="00F12E26" w:rsidRPr="0094518D" w:rsidRDefault="00F12E26" w:rsidP="00F12E26">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F12E26">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-0.0104</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F12E26">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-0.07</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F12E26">
            <w:pPr>
              <w:widowControl/>
              <w:spacing w:line="240" w:lineRule="auto"/>
              <w:jc w:val="right"/>
              <w:rPr>
                <w:rFonts w:ascii="Times New Roman" w:eastAsia="PMingLiU" w:hAnsi="Times New Roman" w:cs="Times New Roman"/>
                <w:color w:val="000000"/>
                <w:kern w:val="0"/>
                <w:sz w:val="20"/>
                <w:szCs w:val="20"/>
              </w:rPr>
            </w:pPr>
          </w:p>
        </w:tc>
        <w:tc>
          <w:tcPr>
            <w:tcW w:w="960" w:type="dxa"/>
            <w:tcBorders>
              <w:top w:val="nil"/>
              <w:left w:val="single" w:sz="4" w:space="0" w:color="auto"/>
              <w:bottom w:val="single" w:sz="4" w:space="0" w:color="auto"/>
              <w:right w:val="nil"/>
            </w:tcBorders>
            <w:shd w:val="clear" w:color="auto" w:fill="auto"/>
            <w:noWrap/>
            <w:vAlign w:val="center"/>
            <w:hideMark/>
          </w:tcPr>
          <w:p w:rsidR="009B29E1" w:rsidRPr="0094518D" w:rsidRDefault="009B29E1" w:rsidP="00F12E26">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0.0821</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F12E26">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0.89</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F12E26">
            <w:pPr>
              <w:widowControl/>
              <w:spacing w:line="240" w:lineRule="auto"/>
              <w:jc w:val="right"/>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single" w:sz="4" w:space="0" w:color="auto"/>
              <w:left w:val="nil"/>
              <w:bottom w:val="single" w:sz="4" w:space="0" w:color="auto"/>
              <w:right w:val="nil"/>
            </w:tcBorders>
            <w:shd w:val="clear" w:color="auto" w:fill="auto"/>
            <w:noWrap/>
            <w:vAlign w:val="center"/>
            <w:hideMark/>
          </w:tcPr>
          <w:p w:rsidR="008E56C2"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lastRenderedPageBreak/>
              <w:t xml:space="preserve"> </w:t>
            </w:r>
          </w:p>
        </w:tc>
        <w:tc>
          <w:tcPr>
            <w:tcW w:w="2880" w:type="dxa"/>
            <w:gridSpan w:val="3"/>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components of the mean of u</w:t>
            </w:r>
          </w:p>
        </w:tc>
        <w:tc>
          <w:tcPr>
            <w:tcW w:w="2880" w:type="dxa"/>
            <w:gridSpan w:val="3"/>
            <w:tcBorders>
              <w:top w:val="single" w:sz="4" w:space="0" w:color="auto"/>
              <w:left w:val="single" w:sz="4" w:space="0" w:color="auto"/>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components of the mean of u</w:t>
            </w: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NPL</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-0.0033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-1.11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0.0121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3.36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TIER1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0.0026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1.65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0.0025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1.60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EA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-18.7568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-4.51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SIZE</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0.4597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0.67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PRIVATE</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5.4624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1.15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ISLAM</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-11.6603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-3.02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BR</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0.8780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0.41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2.9627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KU</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8.6128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2.47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4.9358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1.05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OM</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3.8498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1.09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-2.8071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QA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-2.8935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-4.8702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-1.00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-2.6462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4.8838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2880" w:type="dxa"/>
            <w:gridSpan w:val="3"/>
            <w:tcBorders>
              <w:top w:val="single" w:sz="4" w:space="0" w:color="auto"/>
              <w:left w:val="nil"/>
              <w:bottom w:val="single" w:sz="4" w:space="0" w:color="auto"/>
              <w:right w:val="nil"/>
            </w:tcBorders>
            <w:shd w:val="clear" w:color="auto" w:fill="auto"/>
            <w:noWrap/>
            <w:vAlign w:val="center"/>
            <w:hideMark/>
          </w:tcPr>
          <w:p w:rsidR="009B29E1" w:rsidRPr="0094518D" w:rsidRDefault="001A0299" w:rsidP="009B29E1">
            <w:pPr>
              <w:widowControl/>
              <w:spacing w:line="240" w:lineRule="auto"/>
              <w:jc w:val="center"/>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C</w:t>
            </w:r>
            <w:r w:rsidR="009B29E1" w:rsidRPr="0094518D">
              <w:rPr>
                <w:rFonts w:ascii="Times New Roman" w:eastAsia="PMingLiU" w:hAnsi="Times New Roman" w:cs="Times New Roman"/>
                <w:color w:val="000000"/>
                <w:kern w:val="0"/>
                <w:sz w:val="20"/>
                <w:szCs w:val="20"/>
              </w:rPr>
              <w:t>omponents of the variance of u</w:t>
            </w:r>
          </w:p>
        </w:tc>
        <w:tc>
          <w:tcPr>
            <w:tcW w:w="2880" w:type="dxa"/>
            <w:gridSpan w:val="3"/>
            <w:tcBorders>
              <w:top w:val="single" w:sz="4" w:space="0" w:color="auto"/>
              <w:left w:val="single" w:sz="4" w:space="0" w:color="auto"/>
              <w:bottom w:val="single" w:sz="4" w:space="0" w:color="auto"/>
              <w:right w:val="nil"/>
            </w:tcBorders>
            <w:shd w:val="clear" w:color="auto" w:fill="auto"/>
            <w:noWrap/>
            <w:vAlign w:val="center"/>
            <w:hideMark/>
          </w:tcPr>
          <w:p w:rsidR="009B29E1" w:rsidRPr="0094518D" w:rsidRDefault="001A0299" w:rsidP="009B29E1">
            <w:pPr>
              <w:widowControl/>
              <w:spacing w:line="240" w:lineRule="auto"/>
              <w:jc w:val="center"/>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C</w:t>
            </w:r>
            <w:r w:rsidR="009B29E1" w:rsidRPr="0094518D">
              <w:rPr>
                <w:rFonts w:ascii="Times New Roman" w:eastAsia="PMingLiU" w:hAnsi="Times New Roman" w:cs="Times New Roman"/>
                <w:color w:val="000000"/>
                <w:kern w:val="0"/>
                <w:sz w:val="20"/>
                <w:szCs w:val="20"/>
              </w:rPr>
              <w:t>omponents of the variance of u</w:t>
            </w: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Constant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-19.7572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-9.74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-7.7299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-7.51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NPL</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0.0689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3.75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0.1326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13.69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TIER1</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0.0001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0.22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0.0014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6.66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EA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-12.4924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-20.27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SIZE</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1.7464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9.17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PRIVATE</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-6.1671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-6.08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ISLAM</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-2.2364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-19.12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BR</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1.3628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4.03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KU</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6.8068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14.55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OM</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3.4008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3.05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QA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0.3385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0.55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p>
        </w:tc>
      </w:tr>
      <w:tr w:rsidR="009B29E1" w:rsidRPr="0094518D" w:rsidTr="008726B0">
        <w:trPr>
          <w:trHeight w:val="315"/>
        </w:trPr>
        <w:tc>
          <w:tcPr>
            <w:tcW w:w="1246"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SA</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0.9943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2.88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r w:rsidR="009B29E1" w:rsidRPr="0094518D" w:rsidTr="008726B0">
        <w:trPr>
          <w:trHeight w:val="315"/>
        </w:trPr>
        <w:tc>
          <w:tcPr>
            <w:tcW w:w="1246"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Lambda</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3.8120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3.64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7.3902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8.05 </w:t>
            </w:r>
          </w:p>
        </w:tc>
        <w:tc>
          <w:tcPr>
            <w:tcW w:w="960" w:type="dxa"/>
            <w:tcBorders>
              <w:top w:val="nil"/>
              <w:left w:val="nil"/>
              <w:bottom w:val="nil"/>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r w:rsidR="009B29E1" w:rsidRPr="0094518D" w:rsidTr="008726B0">
        <w:trPr>
          <w:trHeight w:val="315"/>
        </w:trPr>
        <w:tc>
          <w:tcPr>
            <w:tcW w:w="1246"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Sigma</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1.4545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5.14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c>
          <w:tcPr>
            <w:tcW w:w="960" w:type="dxa"/>
            <w:tcBorders>
              <w:top w:val="nil"/>
              <w:left w:val="single" w:sz="4" w:space="0" w:color="auto"/>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1.3835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right"/>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13.06 </w:t>
            </w:r>
          </w:p>
        </w:tc>
        <w:tc>
          <w:tcPr>
            <w:tcW w:w="960" w:type="dxa"/>
            <w:tcBorders>
              <w:top w:val="nil"/>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w:t>
            </w:r>
          </w:p>
        </w:tc>
      </w:tr>
    </w:tbl>
    <w:p w:rsidR="009B29E1" w:rsidRPr="0094518D" w:rsidRDefault="009B29E1">
      <w:pPr>
        <w:rPr>
          <w:rFonts w:ascii="Times New Roman" w:hAnsi="Times New Roman" w:cs="Times New Roman"/>
          <w:sz w:val="20"/>
          <w:szCs w:val="20"/>
        </w:rPr>
      </w:pPr>
    </w:p>
    <w:p w:rsidR="0016347F" w:rsidRDefault="0016347F" w:rsidP="0016347F">
      <w:pPr>
        <w:widowControl/>
        <w:rPr>
          <w:rFonts w:ascii="Times New Roman" w:hAnsi="Times New Roman" w:cs="Times New Roman"/>
          <w:sz w:val="20"/>
          <w:szCs w:val="20"/>
        </w:rPr>
      </w:pPr>
    </w:p>
    <w:p w:rsidR="0016347F" w:rsidRDefault="0016347F" w:rsidP="0016347F">
      <w:pPr>
        <w:widowControl/>
        <w:rPr>
          <w:rFonts w:ascii="Times New Roman" w:hAnsi="Times New Roman" w:cs="Times New Roman"/>
          <w:sz w:val="20"/>
          <w:szCs w:val="20"/>
        </w:rPr>
      </w:pPr>
    </w:p>
    <w:p w:rsidR="008726B0" w:rsidRDefault="008726B0" w:rsidP="0016347F">
      <w:pPr>
        <w:widowControl/>
        <w:rPr>
          <w:rFonts w:ascii="Times New Roman" w:hAnsi="Times New Roman" w:cs="Times New Roman"/>
          <w:sz w:val="20"/>
          <w:szCs w:val="20"/>
        </w:rPr>
      </w:pPr>
    </w:p>
    <w:p w:rsidR="008726B0" w:rsidRDefault="008726B0" w:rsidP="0016347F">
      <w:pPr>
        <w:widowControl/>
        <w:rPr>
          <w:rFonts w:ascii="Times New Roman" w:hAnsi="Times New Roman" w:cs="Times New Roman"/>
          <w:sz w:val="20"/>
          <w:szCs w:val="20"/>
        </w:rPr>
      </w:pPr>
    </w:p>
    <w:p w:rsidR="001A0299" w:rsidRDefault="001A0299" w:rsidP="0016347F">
      <w:pPr>
        <w:widowControl/>
        <w:rPr>
          <w:rFonts w:ascii="Times New Roman" w:hAnsi="Times New Roman" w:cs="Times New Roman"/>
          <w:sz w:val="20"/>
          <w:szCs w:val="20"/>
        </w:rPr>
      </w:pPr>
    </w:p>
    <w:p w:rsidR="001A0299" w:rsidRDefault="001A0299" w:rsidP="0016347F">
      <w:pPr>
        <w:widowControl/>
        <w:rPr>
          <w:rFonts w:ascii="Times New Roman" w:hAnsi="Times New Roman" w:cs="Times New Roman"/>
          <w:sz w:val="20"/>
          <w:szCs w:val="20"/>
        </w:rPr>
      </w:pPr>
    </w:p>
    <w:p w:rsidR="009B29E1" w:rsidRPr="001A0299" w:rsidRDefault="009B29E1" w:rsidP="0016347F">
      <w:pPr>
        <w:widowControl/>
        <w:rPr>
          <w:rFonts w:ascii="Times New Roman" w:hAnsi="Times New Roman" w:cs="Times New Roman"/>
          <w:b/>
          <w:szCs w:val="24"/>
        </w:rPr>
      </w:pPr>
      <w:r w:rsidRPr="001A0299">
        <w:rPr>
          <w:rFonts w:ascii="Times New Roman" w:hAnsi="Times New Roman" w:cs="Times New Roman"/>
          <w:b/>
          <w:szCs w:val="24"/>
        </w:rPr>
        <w:lastRenderedPageBreak/>
        <w:t xml:space="preserve">Table 8 </w:t>
      </w:r>
      <w:r w:rsidR="009D4541" w:rsidRPr="001A0299">
        <w:rPr>
          <w:rFonts w:ascii="Times New Roman" w:hAnsi="Times New Roman" w:cs="Times New Roman"/>
          <w:b/>
          <w:szCs w:val="24"/>
        </w:rPr>
        <w:t>Ranking of banks based on cost efficiency, profit efficiency, and both</w:t>
      </w:r>
    </w:p>
    <w:tbl>
      <w:tblPr>
        <w:tblW w:w="9467" w:type="dxa"/>
        <w:tblInd w:w="118" w:type="dxa"/>
        <w:tblCellMar>
          <w:left w:w="28" w:type="dxa"/>
          <w:right w:w="28" w:type="dxa"/>
        </w:tblCellMar>
        <w:tblLook w:val="04A0" w:firstRow="1" w:lastRow="0" w:firstColumn="1" w:lastColumn="0" w:noHBand="0" w:noVBand="1"/>
      </w:tblPr>
      <w:tblGrid>
        <w:gridCol w:w="3507"/>
        <w:gridCol w:w="1380"/>
        <w:gridCol w:w="960"/>
        <w:gridCol w:w="960"/>
        <w:gridCol w:w="1180"/>
        <w:gridCol w:w="1480"/>
      </w:tblGrid>
      <w:tr w:rsidR="009B29E1" w:rsidRPr="0094518D" w:rsidTr="0016347F">
        <w:trPr>
          <w:trHeight w:val="315"/>
        </w:trPr>
        <w:tc>
          <w:tcPr>
            <w:tcW w:w="3507"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Bank</w:t>
            </w:r>
          </w:p>
        </w:tc>
        <w:tc>
          <w:tcPr>
            <w:tcW w:w="138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Cost Eff</w:t>
            </w:r>
          </w:p>
        </w:tc>
        <w:tc>
          <w:tcPr>
            <w:tcW w:w="96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Rank</w:t>
            </w:r>
          </w:p>
        </w:tc>
        <w:tc>
          <w:tcPr>
            <w:tcW w:w="96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Profit Eff.</w:t>
            </w:r>
          </w:p>
        </w:tc>
        <w:tc>
          <w:tcPr>
            <w:tcW w:w="118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Rank</w:t>
            </w:r>
          </w:p>
        </w:tc>
        <w:tc>
          <w:tcPr>
            <w:tcW w:w="1480" w:type="dxa"/>
            <w:tcBorders>
              <w:top w:val="single" w:sz="4" w:space="0" w:color="auto"/>
              <w:left w:val="nil"/>
              <w:bottom w:val="single" w:sz="4" w:space="0" w:color="auto"/>
              <w:right w:val="nil"/>
            </w:tcBorders>
            <w:shd w:val="clear" w:color="auto" w:fill="auto"/>
            <w:noWrap/>
            <w:vAlign w:val="center"/>
            <w:hideMark/>
          </w:tcPr>
          <w:p w:rsidR="009B29E1" w:rsidRPr="0094518D" w:rsidRDefault="009B29E1"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Sum of Ranks</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Ahli United Bank BSC </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0.7258</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41</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0.9323</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8</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49</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Arab Banking</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0.9189</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6</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0.6906</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42</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48</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Bahrain Saudi Bank BSC</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0.8386</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24</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0.7659</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38</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62</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BBK</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0.7911</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33</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0.9308</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11</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44</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Gulf International Bank </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0.8329</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26</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0.6448</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43</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69</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National bank of Bahrain </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0.8655</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19</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0.9213</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15</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34</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Alahli Bank of Kuwiat  </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0.8765</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14</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0.9626</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16</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Burgan Bank</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0.8797</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13</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0.8043</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30</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43</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Gulf Bank</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0.9220</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0.3547</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45</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49</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National Bank of Kuwait</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0.9153</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7</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0.7915</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34</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41</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Commercial Bank of Kuwait SAK</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0.9095</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9</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0.8620</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25</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34</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Bank Dhofar </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0.9411</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0.9101</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18</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21</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Bank Muscat </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0.7605</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39</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0.9324</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7</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46</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National Bank of Oman</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0.8016</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30</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0.9312</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10</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40</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Oman Arab Bank</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0.8726</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17</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0.8887</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37</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Oman International Bank</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0.8682</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18</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0.8970</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19</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37</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Ahli Bank QSC</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0.7715</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36</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0.9330</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6</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42</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Commercial bank of Qatar </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0.8620</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0.8787</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23</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43</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Doha Bank </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0.7939</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32</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0.8853</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21</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53</w:t>
            </w:r>
          </w:p>
        </w:tc>
      </w:tr>
      <w:tr w:rsidR="009B29E1" w:rsidRPr="0094518D" w:rsidTr="0016347F">
        <w:trPr>
          <w:trHeight w:val="315"/>
        </w:trPr>
        <w:tc>
          <w:tcPr>
            <w:tcW w:w="3507" w:type="dxa"/>
            <w:tcBorders>
              <w:top w:val="nil"/>
              <w:left w:val="nil"/>
              <w:bottom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International Bank of Qatar </w:t>
            </w:r>
          </w:p>
        </w:tc>
        <w:tc>
          <w:tcPr>
            <w:tcW w:w="13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0.8347</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25</w:t>
            </w:r>
          </w:p>
        </w:tc>
        <w:tc>
          <w:tcPr>
            <w:tcW w:w="96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0.9162</w:t>
            </w:r>
          </w:p>
        </w:tc>
        <w:tc>
          <w:tcPr>
            <w:tcW w:w="11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17</w:t>
            </w:r>
          </w:p>
        </w:tc>
        <w:tc>
          <w:tcPr>
            <w:tcW w:w="1480" w:type="dxa"/>
            <w:tcBorders>
              <w:top w:val="nil"/>
              <w:left w:val="nil"/>
              <w:bottom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42</w:t>
            </w:r>
          </w:p>
        </w:tc>
      </w:tr>
      <w:tr w:rsidR="009B29E1" w:rsidRPr="0094518D" w:rsidTr="008E56C2">
        <w:trPr>
          <w:trHeight w:val="315"/>
        </w:trPr>
        <w:tc>
          <w:tcPr>
            <w:tcW w:w="3507" w:type="dxa"/>
            <w:tcBorders>
              <w:top w:val="nil"/>
              <w:left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Qatar Development Bank</w:t>
            </w:r>
          </w:p>
        </w:tc>
        <w:tc>
          <w:tcPr>
            <w:tcW w:w="1380" w:type="dxa"/>
            <w:tcBorders>
              <w:top w:val="nil"/>
              <w:left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0.8823</w:t>
            </w:r>
          </w:p>
        </w:tc>
        <w:tc>
          <w:tcPr>
            <w:tcW w:w="960" w:type="dxa"/>
            <w:tcBorders>
              <w:top w:val="nil"/>
              <w:left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11</w:t>
            </w:r>
          </w:p>
        </w:tc>
        <w:tc>
          <w:tcPr>
            <w:tcW w:w="960" w:type="dxa"/>
            <w:tcBorders>
              <w:top w:val="nil"/>
              <w:left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0.8546</w:t>
            </w:r>
          </w:p>
        </w:tc>
        <w:tc>
          <w:tcPr>
            <w:tcW w:w="1180" w:type="dxa"/>
            <w:tcBorders>
              <w:top w:val="nil"/>
              <w:left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27</w:t>
            </w:r>
          </w:p>
        </w:tc>
        <w:tc>
          <w:tcPr>
            <w:tcW w:w="1480" w:type="dxa"/>
            <w:tcBorders>
              <w:top w:val="nil"/>
              <w:left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38</w:t>
            </w:r>
          </w:p>
        </w:tc>
      </w:tr>
      <w:tr w:rsidR="009B29E1" w:rsidRPr="0094518D" w:rsidTr="008E56C2">
        <w:trPr>
          <w:trHeight w:val="315"/>
        </w:trPr>
        <w:tc>
          <w:tcPr>
            <w:tcW w:w="3507" w:type="dxa"/>
            <w:tcBorders>
              <w:top w:val="nil"/>
              <w:left w:val="nil"/>
              <w:right w:val="nil"/>
            </w:tcBorders>
            <w:shd w:val="clear" w:color="000000" w:fill="FFFFFF"/>
            <w:noWrap/>
            <w:vAlign w:val="bottom"/>
            <w:hideMark/>
          </w:tcPr>
          <w:p w:rsidR="009B29E1" w:rsidRPr="0094518D" w:rsidRDefault="009B29E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Qatar National Bank</w:t>
            </w:r>
          </w:p>
        </w:tc>
        <w:tc>
          <w:tcPr>
            <w:tcW w:w="1380" w:type="dxa"/>
            <w:tcBorders>
              <w:top w:val="nil"/>
              <w:left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0.8559</w:t>
            </w:r>
          </w:p>
        </w:tc>
        <w:tc>
          <w:tcPr>
            <w:tcW w:w="960" w:type="dxa"/>
            <w:tcBorders>
              <w:top w:val="nil"/>
              <w:left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22</w:t>
            </w:r>
          </w:p>
        </w:tc>
        <w:tc>
          <w:tcPr>
            <w:tcW w:w="960" w:type="dxa"/>
            <w:tcBorders>
              <w:top w:val="nil"/>
              <w:left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0.8657</w:t>
            </w:r>
          </w:p>
        </w:tc>
        <w:tc>
          <w:tcPr>
            <w:tcW w:w="1180" w:type="dxa"/>
            <w:tcBorders>
              <w:top w:val="nil"/>
              <w:left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24</w:t>
            </w:r>
          </w:p>
        </w:tc>
        <w:tc>
          <w:tcPr>
            <w:tcW w:w="1480" w:type="dxa"/>
            <w:tcBorders>
              <w:top w:val="nil"/>
              <w:left w:val="nil"/>
              <w:right w:val="nil"/>
            </w:tcBorders>
            <w:shd w:val="clear" w:color="auto" w:fill="auto"/>
            <w:noWrap/>
            <w:vAlign w:val="center"/>
            <w:hideMark/>
          </w:tcPr>
          <w:p w:rsidR="009B29E1" w:rsidRPr="0094518D" w:rsidRDefault="009B29E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46</w:t>
            </w:r>
          </w:p>
        </w:tc>
      </w:tr>
      <w:tr w:rsidR="00F56B01" w:rsidRPr="0094518D" w:rsidTr="008E56C2">
        <w:trPr>
          <w:trHeight w:val="315"/>
        </w:trPr>
        <w:tc>
          <w:tcPr>
            <w:tcW w:w="3507" w:type="dxa"/>
            <w:tcBorders>
              <w:left w:val="nil"/>
              <w:bottom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Qatar International Islamic Bank</w:t>
            </w:r>
          </w:p>
        </w:tc>
        <w:tc>
          <w:tcPr>
            <w:tcW w:w="1380" w:type="dxa"/>
            <w:tcBorders>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0.8809</w:t>
            </w:r>
          </w:p>
        </w:tc>
        <w:tc>
          <w:tcPr>
            <w:tcW w:w="960" w:type="dxa"/>
            <w:tcBorders>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w:t>
            </w:r>
          </w:p>
        </w:tc>
        <w:tc>
          <w:tcPr>
            <w:tcW w:w="960" w:type="dxa"/>
            <w:tcBorders>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0.9264</w:t>
            </w:r>
          </w:p>
        </w:tc>
        <w:tc>
          <w:tcPr>
            <w:tcW w:w="1180" w:type="dxa"/>
            <w:tcBorders>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14</w:t>
            </w:r>
          </w:p>
        </w:tc>
        <w:tc>
          <w:tcPr>
            <w:tcW w:w="1480" w:type="dxa"/>
            <w:tcBorders>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26</w:t>
            </w:r>
          </w:p>
        </w:tc>
      </w:tr>
      <w:tr w:rsidR="00F56B01" w:rsidRPr="0094518D" w:rsidTr="0016347F">
        <w:trPr>
          <w:trHeight w:val="315"/>
        </w:trPr>
        <w:tc>
          <w:tcPr>
            <w:tcW w:w="3507" w:type="dxa"/>
            <w:tcBorders>
              <w:top w:val="nil"/>
              <w:left w:val="nil"/>
              <w:bottom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Arab National Bank </w:t>
            </w:r>
          </w:p>
        </w:tc>
        <w:tc>
          <w:tcPr>
            <w:tcW w:w="13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0.7794</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34</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0.7492</w:t>
            </w:r>
          </w:p>
        </w:tc>
        <w:tc>
          <w:tcPr>
            <w:tcW w:w="11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39</w:t>
            </w:r>
          </w:p>
        </w:tc>
        <w:tc>
          <w:tcPr>
            <w:tcW w:w="14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73</w:t>
            </w:r>
          </w:p>
        </w:tc>
      </w:tr>
      <w:tr w:rsidR="00F56B01" w:rsidRPr="0094518D" w:rsidTr="0016347F">
        <w:trPr>
          <w:trHeight w:val="315"/>
        </w:trPr>
        <w:tc>
          <w:tcPr>
            <w:tcW w:w="3507" w:type="dxa"/>
            <w:tcBorders>
              <w:top w:val="nil"/>
              <w:left w:val="nil"/>
              <w:bottom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Bank Al-Jazira </w:t>
            </w:r>
          </w:p>
        </w:tc>
        <w:tc>
          <w:tcPr>
            <w:tcW w:w="13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0.6817</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43</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0.8519</w:t>
            </w:r>
          </w:p>
        </w:tc>
        <w:tc>
          <w:tcPr>
            <w:tcW w:w="11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28</w:t>
            </w:r>
          </w:p>
        </w:tc>
        <w:tc>
          <w:tcPr>
            <w:tcW w:w="14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71</w:t>
            </w:r>
          </w:p>
        </w:tc>
      </w:tr>
      <w:tr w:rsidR="00F56B01" w:rsidRPr="0094518D" w:rsidTr="0016347F">
        <w:trPr>
          <w:trHeight w:val="315"/>
        </w:trPr>
        <w:tc>
          <w:tcPr>
            <w:tcW w:w="3507" w:type="dxa"/>
            <w:tcBorders>
              <w:top w:val="nil"/>
              <w:left w:val="nil"/>
              <w:bottom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Banque Saudi Fransi</w:t>
            </w:r>
          </w:p>
        </w:tc>
        <w:tc>
          <w:tcPr>
            <w:tcW w:w="13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0.7728</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35</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0.8321</w:t>
            </w:r>
          </w:p>
        </w:tc>
        <w:tc>
          <w:tcPr>
            <w:tcW w:w="11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29</w:t>
            </w:r>
          </w:p>
        </w:tc>
        <w:tc>
          <w:tcPr>
            <w:tcW w:w="14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64</w:t>
            </w:r>
          </w:p>
        </w:tc>
      </w:tr>
      <w:tr w:rsidR="00F56B01" w:rsidRPr="0094518D" w:rsidTr="0016347F">
        <w:trPr>
          <w:trHeight w:val="315"/>
        </w:trPr>
        <w:tc>
          <w:tcPr>
            <w:tcW w:w="3507" w:type="dxa"/>
            <w:tcBorders>
              <w:top w:val="nil"/>
              <w:left w:val="nil"/>
              <w:bottom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National Commercial Bank</w:t>
            </w:r>
          </w:p>
        </w:tc>
        <w:tc>
          <w:tcPr>
            <w:tcW w:w="13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0.7690</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38</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0.5971</w:t>
            </w:r>
          </w:p>
        </w:tc>
        <w:tc>
          <w:tcPr>
            <w:tcW w:w="11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44</w:t>
            </w:r>
          </w:p>
        </w:tc>
        <w:tc>
          <w:tcPr>
            <w:tcW w:w="14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82</w:t>
            </w:r>
          </w:p>
        </w:tc>
      </w:tr>
      <w:tr w:rsidR="00F56B01" w:rsidRPr="0094518D" w:rsidTr="0016347F">
        <w:trPr>
          <w:trHeight w:val="315"/>
        </w:trPr>
        <w:tc>
          <w:tcPr>
            <w:tcW w:w="3507" w:type="dxa"/>
            <w:tcBorders>
              <w:top w:val="nil"/>
              <w:left w:val="nil"/>
              <w:bottom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Riyad Bank </w:t>
            </w:r>
          </w:p>
        </w:tc>
        <w:tc>
          <w:tcPr>
            <w:tcW w:w="13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0.7970</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31</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0.7347</w:t>
            </w:r>
          </w:p>
        </w:tc>
        <w:tc>
          <w:tcPr>
            <w:tcW w:w="11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40</w:t>
            </w:r>
          </w:p>
        </w:tc>
        <w:tc>
          <w:tcPr>
            <w:tcW w:w="14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71</w:t>
            </w:r>
          </w:p>
        </w:tc>
      </w:tr>
      <w:tr w:rsidR="00F56B01" w:rsidRPr="0094518D" w:rsidTr="0016347F">
        <w:trPr>
          <w:trHeight w:val="315"/>
        </w:trPr>
        <w:tc>
          <w:tcPr>
            <w:tcW w:w="3507" w:type="dxa"/>
            <w:tcBorders>
              <w:top w:val="nil"/>
              <w:left w:val="nil"/>
              <w:bottom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Samba Financial Group</w:t>
            </w:r>
          </w:p>
        </w:tc>
        <w:tc>
          <w:tcPr>
            <w:tcW w:w="13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0.8514</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23</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0.7861</w:t>
            </w:r>
          </w:p>
        </w:tc>
        <w:tc>
          <w:tcPr>
            <w:tcW w:w="11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36</w:t>
            </w:r>
          </w:p>
        </w:tc>
        <w:tc>
          <w:tcPr>
            <w:tcW w:w="14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59</w:t>
            </w:r>
          </w:p>
        </w:tc>
      </w:tr>
      <w:tr w:rsidR="00F56B01" w:rsidRPr="0094518D" w:rsidTr="0016347F">
        <w:trPr>
          <w:trHeight w:val="315"/>
        </w:trPr>
        <w:tc>
          <w:tcPr>
            <w:tcW w:w="3507" w:type="dxa"/>
            <w:tcBorders>
              <w:top w:val="nil"/>
              <w:left w:val="nil"/>
              <w:bottom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Saudi British Bank</w:t>
            </w:r>
          </w:p>
        </w:tc>
        <w:tc>
          <w:tcPr>
            <w:tcW w:w="13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0.6519</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44</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0.8017</w:t>
            </w:r>
          </w:p>
        </w:tc>
        <w:tc>
          <w:tcPr>
            <w:tcW w:w="11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31</w:t>
            </w:r>
          </w:p>
        </w:tc>
        <w:tc>
          <w:tcPr>
            <w:tcW w:w="14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75</w:t>
            </w:r>
          </w:p>
        </w:tc>
      </w:tr>
      <w:tr w:rsidR="00F56B01" w:rsidRPr="0094518D" w:rsidTr="0016347F">
        <w:trPr>
          <w:trHeight w:val="315"/>
        </w:trPr>
        <w:tc>
          <w:tcPr>
            <w:tcW w:w="3507" w:type="dxa"/>
            <w:tcBorders>
              <w:top w:val="nil"/>
              <w:left w:val="nil"/>
              <w:bottom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Saudi Hollandi Bank</w:t>
            </w:r>
          </w:p>
        </w:tc>
        <w:tc>
          <w:tcPr>
            <w:tcW w:w="13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0.7351</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40</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0.7918</w:t>
            </w:r>
          </w:p>
        </w:tc>
        <w:tc>
          <w:tcPr>
            <w:tcW w:w="11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33</w:t>
            </w:r>
          </w:p>
        </w:tc>
        <w:tc>
          <w:tcPr>
            <w:tcW w:w="14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73</w:t>
            </w:r>
          </w:p>
        </w:tc>
      </w:tr>
      <w:tr w:rsidR="00F56B01" w:rsidRPr="0094518D" w:rsidTr="0016347F">
        <w:trPr>
          <w:trHeight w:val="315"/>
        </w:trPr>
        <w:tc>
          <w:tcPr>
            <w:tcW w:w="3507" w:type="dxa"/>
            <w:tcBorders>
              <w:top w:val="nil"/>
              <w:left w:val="nil"/>
              <w:bottom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Abu Dhabi Commercial Bank</w:t>
            </w:r>
          </w:p>
        </w:tc>
        <w:tc>
          <w:tcPr>
            <w:tcW w:w="13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0.9843</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0.7883</w:t>
            </w:r>
          </w:p>
        </w:tc>
        <w:tc>
          <w:tcPr>
            <w:tcW w:w="11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35</w:t>
            </w:r>
          </w:p>
        </w:tc>
        <w:tc>
          <w:tcPr>
            <w:tcW w:w="14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37</w:t>
            </w:r>
          </w:p>
        </w:tc>
      </w:tr>
      <w:tr w:rsidR="00F56B01" w:rsidRPr="0094518D" w:rsidTr="0016347F">
        <w:trPr>
          <w:trHeight w:val="315"/>
        </w:trPr>
        <w:tc>
          <w:tcPr>
            <w:tcW w:w="3507" w:type="dxa"/>
            <w:tcBorders>
              <w:top w:val="nil"/>
              <w:left w:val="nil"/>
              <w:bottom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Arab Bank for Investment &amp;Foreign Trade</w:t>
            </w:r>
          </w:p>
        </w:tc>
        <w:tc>
          <w:tcPr>
            <w:tcW w:w="13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0.9999</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0.9316</w:t>
            </w:r>
          </w:p>
        </w:tc>
        <w:tc>
          <w:tcPr>
            <w:tcW w:w="11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9</w:t>
            </w:r>
          </w:p>
        </w:tc>
        <w:tc>
          <w:tcPr>
            <w:tcW w:w="14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10</w:t>
            </w:r>
          </w:p>
        </w:tc>
      </w:tr>
      <w:tr w:rsidR="00F56B01" w:rsidRPr="0094518D" w:rsidTr="0016347F">
        <w:trPr>
          <w:trHeight w:val="315"/>
        </w:trPr>
        <w:tc>
          <w:tcPr>
            <w:tcW w:w="3507" w:type="dxa"/>
            <w:tcBorders>
              <w:top w:val="nil"/>
              <w:left w:val="nil"/>
              <w:bottom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Bank of Sharjah</w:t>
            </w:r>
          </w:p>
        </w:tc>
        <w:tc>
          <w:tcPr>
            <w:tcW w:w="13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0.9199</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5</w:t>
            </w:r>
          </w:p>
        </w:tc>
        <w:tc>
          <w:tcPr>
            <w:tcW w:w="96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0.9629</w:t>
            </w:r>
          </w:p>
        </w:tc>
        <w:tc>
          <w:tcPr>
            <w:tcW w:w="11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w:t>
            </w:r>
          </w:p>
        </w:tc>
        <w:tc>
          <w:tcPr>
            <w:tcW w:w="1480" w:type="dxa"/>
            <w:tcBorders>
              <w:top w:val="nil"/>
              <w:left w:val="nil"/>
              <w:bottom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6</w:t>
            </w:r>
          </w:p>
        </w:tc>
      </w:tr>
      <w:tr w:rsidR="00F56B01" w:rsidRPr="0094518D" w:rsidTr="00AE2BE0">
        <w:trPr>
          <w:trHeight w:val="315"/>
        </w:trPr>
        <w:tc>
          <w:tcPr>
            <w:tcW w:w="3507" w:type="dxa"/>
            <w:tcBorders>
              <w:top w:val="nil"/>
              <w:left w:val="nil"/>
              <w:right w:val="nil"/>
            </w:tcBorders>
            <w:shd w:val="clear" w:color="000000" w:fill="FFFFFF"/>
            <w:noWrap/>
            <w:vAlign w:val="bottom"/>
            <w:hideMark/>
          </w:tcPr>
          <w:p w:rsidR="00F56B01" w:rsidRPr="0094518D" w:rsidRDefault="00F56B01" w:rsidP="008312F6">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Commercial Bank of International PSC</w:t>
            </w:r>
          </w:p>
        </w:tc>
        <w:tc>
          <w:tcPr>
            <w:tcW w:w="1380" w:type="dxa"/>
            <w:tcBorders>
              <w:top w:val="nil"/>
              <w:left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0.7700</w:t>
            </w:r>
          </w:p>
        </w:tc>
        <w:tc>
          <w:tcPr>
            <w:tcW w:w="960" w:type="dxa"/>
            <w:tcBorders>
              <w:top w:val="nil"/>
              <w:left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37</w:t>
            </w:r>
          </w:p>
        </w:tc>
        <w:tc>
          <w:tcPr>
            <w:tcW w:w="960" w:type="dxa"/>
            <w:tcBorders>
              <w:top w:val="nil"/>
              <w:left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0.9480</w:t>
            </w:r>
          </w:p>
        </w:tc>
        <w:tc>
          <w:tcPr>
            <w:tcW w:w="1180" w:type="dxa"/>
            <w:tcBorders>
              <w:top w:val="nil"/>
              <w:left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w:t>
            </w:r>
          </w:p>
        </w:tc>
        <w:tc>
          <w:tcPr>
            <w:tcW w:w="1480" w:type="dxa"/>
            <w:tcBorders>
              <w:top w:val="nil"/>
              <w:left w:val="nil"/>
              <w:right w:val="nil"/>
            </w:tcBorders>
            <w:shd w:val="clear" w:color="auto" w:fill="auto"/>
            <w:noWrap/>
            <w:vAlign w:val="center"/>
            <w:hideMark/>
          </w:tcPr>
          <w:p w:rsidR="00F56B01" w:rsidRPr="0094518D" w:rsidRDefault="00F56B01" w:rsidP="008312F6">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41</w:t>
            </w:r>
          </w:p>
        </w:tc>
      </w:tr>
      <w:tr w:rsidR="00F56B01" w:rsidRPr="0094518D" w:rsidTr="00C71B19">
        <w:trPr>
          <w:trHeight w:val="315"/>
        </w:trPr>
        <w:tc>
          <w:tcPr>
            <w:tcW w:w="3507" w:type="dxa"/>
            <w:tcBorders>
              <w:top w:val="nil"/>
              <w:left w:val="nil"/>
              <w:bottom w:val="single" w:sz="4" w:space="0" w:color="auto"/>
              <w:right w:val="nil"/>
            </w:tcBorders>
            <w:shd w:val="clear" w:color="000000" w:fill="FFFFFF"/>
            <w:noWrap/>
            <w:vAlign w:val="bottom"/>
            <w:hideMark/>
          </w:tcPr>
          <w:p w:rsidR="001A0299" w:rsidRPr="001A0299" w:rsidRDefault="001A0299" w:rsidP="001A0299">
            <w:pPr>
              <w:widowControl/>
              <w:rPr>
                <w:rFonts w:ascii="Times New Roman" w:hAnsi="Times New Roman" w:cs="Times New Roman"/>
                <w:b/>
                <w:szCs w:val="24"/>
              </w:rPr>
            </w:pPr>
            <w:r w:rsidRPr="001A0299">
              <w:rPr>
                <w:rFonts w:ascii="Times New Roman" w:hAnsi="Times New Roman" w:cs="Times New Roman"/>
                <w:b/>
                <w:szCs w:val="24"/>
              </w:rPr>
              <w:lastRenderedPageBreak/>
              <w:t xml:space="preserve">Table 8 </w:t>
            </w:r>
            <w:r>
              <w:rPr>
                <w:rFonts w:ascii="Times New Roman" w:hAnsi="Times New Roman" w:cs="Times New Roman"/>
                <w:b/>
                <w:szCs w:val="24"/>
              </w:rPr>
              <w:t>(Contd.)</w:t>
            </w:r>
          </w:p>
          <w:p w:rsidR="00F56B01" w:rsidRPr="0094518D" w:rsidRDefault="00F56B01" w:rsidP="009B29E1">
            <w:pPr>
              <w:widowControl/>
              <w:spacing w:line="240" w:lineRule="auto"/>
              <w:rPr>
                <w:rFonts w:ascii="Times New Roman" w:eastAsia="PMingLiU" w:hAnsi="Times New Roman" w:cs="Times New Roman"/>
                <w:color w:val="000000"/>
                <w:kern w:val="0"/>
                <w:sz w:val="20"/>
                <w:szCs w:val="20"/>
              </w:rPr>
            </w:pPr>
          </w:p>
        </w:tc>
        <w:tc>
          <w:tcPr>
            <w:tcW w:w="1380" w:type="dxa"/>
            <w:tcBorders>
              <w:top w:val="nil"/>
              <w:left w:val="nil"/>
              <w:bottom w:val="single" w:sz="4" w:space="0" w:color="auto"/>
              <w:right w:val="nil"/>
            </w:tcBorders>
            <w:shd w:val="clear" w:color="auto" w:fill="auto"/>
            <w:noWrap/>
            <w:vAlign w:val="center"/>
            <w:hideMark/>
          </w:tcPr>
          <w:p w:rsidR="00F56B01" w:rsidRPr="0094518D" w:rsidRDefault="00F56B01" w:rsidP="0016347F">
            <w:pPr>
              <w:widowControl/>
              <w:spacing w:line="240" w:lineRule="auto"/>
              <w:jc w:val="center"/>
              <w:rPr>
                <w:rFonts w:ascii="Times New Roman" w:eastAsia="PMingLiU" w:hAnsi="Times New Roman" w:cs="Times New Roman"/>
                <w:color w:val="000000"/>
                <w:kern w:val="0"/>
                <w:sz w:val="20"/>
                <w:szCs w:val="20"/>
              </w:rPr>
            </w:pPr>
          </w:p>
        </w:tc>
        <w:tc>
          <w:tcPr>
            <w:tcW w:w="960" w:type="dxa"/>
            <w:tcBorders>
              <w:top w:val="nil"/>
              <w:left w:val="nil"/>
              <w:bottom w:val="single" w:sz="4" w:space="0" w:color="auto"/>
              <w:right w:val="nil"/>
            </w:tcBorders>
            <w:shd w:val="clear" w:color="auto" w:fill="auto"/>
            <w:noWrap/>
            <w:vAlign w:val="center"/>
            <w:hideMark/>
          </w:tcPr>
          <w:p w:rsidR="00F56B01" w:rsidRPr="0094518D" w:rsidRDefault="00F56B01" w:rsidP="0016347F">
            <w:pPr>
              <w:widowControl/>
              <w:spacing w:line="240" w:lineRule="auto"/>
              <w:jc w:val="center"/>
              <w:rPr>
                <w:rFonts w:ascii="Times New Roman" w:eastAsia="PMingLiU" w:hAnsi="Times New Roman" w:cs="Times New Roman"/>
                <w:color w:val="000000"/>
                <w:kern w:val="0"/>
                <w:sz w:val="20"/>
                <w:szCs w:val="20"/>
              </w:rPr>
            </w:pPr>
          </w:p>
        </w:tc>
        <w:tc>
          <w:tcPr>
            <w:tcW w:w="960" w:type="dxa"/>
            <w:tcBorders>
              <w:top w:val="nil"/>
              <w:left w:val="nil"/>
              <w:bottom w:val="single" w:sz="4" w:space="0" w:color="auto"/>
              <w:right w:val="nil"/>
            </w:tcBorders>
            <w:shd w:val="clear" w:color="auto" w:fill="auto"/>
            <w:noWrap/>
            <w:vAlign w:val="center"/>
            <w:hideMark/>
          </w:tcPr>
          <w:p w:rsidR="00F56B01" w:rsidRPr="0094518D" w:rsidRDefault="00F56B01" w:rsidP="0016347F">
            <w:pPr>
              <w:widowControl/>
              <w:spacing w:line="240" w:lineRule="auto"/>
              <w:jc w:val="center"/>
              <w:rPr>
                <w:rFonts w:ascii="Times New Roman" w:eastAsia="PMingLiU" w:hAnsi="Times New Roman" w:cs="Times New Roman"/>
                <w:color w:val="000000"/>
                <w:kern w:val="0"/>
                <w:sz w:val="20"/>
                <w:szCs w:val="20"/>
              </w:rPr>
            </w:pPr>
          </w:p>
        </w:tc>
        <w:tc>
          <w:tcPr>
            <w:tcW w:w="1180" w:type="dxa"/>
            <w:tcBorders>
              <w:top w:val="nil"/>
              <w:left w:val="nil"/>
              <w:bottom w:val="single" w:sz="4" w:space="0" w:color="auto"/>
              <w:right w:val="nil"/>
            </w:tcBorders>
            <w:shd w:val="clear" w:color="auto" w:fill="auto"/>
            <w:noWrap/>
            <w:vAlign w:val="center"/>
            <w:hideMark/>
          </w:tcPr>
          <w:p w:rsidR="00F56B01" w:rsidRPr="0094518D" w:rsidRDefault="00F56B01" w:rsidP="0016347F">
            <w:pPr>
              <w:widowControl/>
              <w:spacing w:line="240" w:lineRule="auto"/>
              <w:jc w:val="center"/>
              <w:rPr>
                <w:rFonts w:ascii="Times New Roman" w:eastAsia="PMingLiU" w:hAnsi="Times New Roman" w:cs="Times New Roman"/>
                <w:color w:val="000000"/>
                <w:kern w:val="0"/>
                <w:sz w:val="20"/>
                <w:szCs w:val="20"/>
              </w:rPr>
            </w:pPr>
          </w:p>
        </w:tc>
        <w:tc>
          <w:tcPr>
            <w:tcW w:w="1480" w:type="dxa"/>
            <w:tcBorders>
              <w:top w:val="nil"/>
              <w:left w:val="nil"/>
              <w:bottom w:val="single" w:sz="4" w:space="0" w:color="auto"/>
              <w:right w:val="nil"/>
            </w:tcBorders>
            <w:shd w:val="clear" w:color="auto" w:fill="auto"/>
            <w:noWrap/>
            <w:vAlign w:val="center"/>
            <w:hideMark/>
          </w:tcPr>
          <w:p w:rsidR="00F56B01" w:rsidRPr="0094518D" w:rsidRDefault="00F56B01" w:rsidP="0016347F">
            <w:pPr>
              <w:widowControl/>
              <w:spacing w:line="240" w:lineRule="auto"/>
              <w:jc w:val="center"/>
              <w:rPr>
                <w:rFonts w:ascii="Times New Roman" w:eastAsia="PMingLiU" w:hAnsi="Times New Roman" w:cs="Times New Roman"/>
                <w:color w:val="000000"/>
                <w:kern w:val="0"/>
                <w:sz w:val="20"/>
                <w:szCs w:val="20"/>
              </w:rPr>
            </w:pPr>
          </w:p>
        </w:tc>
      </w:tr>
      <w:tr w:rsidR="00C71B19" w:rsidRPr="0094518D" w:rsidTr="008312F6">
        <w:trPr>
          <w:trHeight w:val="315"/>
        </w:trPr>
        <w:tc>
          <w:tcPr>
            <w:tcW w:w="3507" w:type="dxa"/>
            <w:tcBorders>
              <w:top w:val="single" w:sz="4" w:space="0" w:color="auto"/>
              <w:left w:val="nil"/>
              <w:bottom w:val="single" w:sz="4" w:space="0" w:color="auto"/>
              <w:right w:val="nil"/>
            </w:tcBorders>
            <w:shd w:val="clear" w:color="000000" w:fill="FFFFFF"/>
            <w:noWrap/>
            <w:vAlign w:val="center"/>
          </w:tcPr>
          <w:p w:rsidR="00C71B19" w:rsidRPr="0094518D" w:rsidRDefault="00C71B19" w:rsidP="00F17769">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Bank</w:t>
            </w:r>
          </w:p>
        </w:tc>
        <w:tc>
          <w:tcPr>
            <w:tcW w:w="1380" w:type="dxa"/>
            <w:tcBorders>
              <w:top w:val="single" w:sz="4" w:space="0" w:color="auto"/>
              <w:left w:val="nil"/>
              <w:bottom w:val="single" w:sz="4" w:space="0" w:color="auto"/>
              <w:right w:val="nil"/>
            </w:tcBorders>
            <w:shd w:val="clear" w:color="auto" w:fill="auto"/>
            <w:noWrap/>
            <w:vAlign w:val="center"/>
          </w:tcPr>
          <w:p w:rsidR="00C71B19" w:rsidRPr="0094518D" w:rsidRDefault="00C71B19" w:rsidP="00F17769">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Cost Eff</w:t>
            </w:r>
          </w:p>
        </w:tc>
        <w:tc>
          <w:tcPr>
            <w:tcW w:w="960" w:type="dxa"/>
            <w:tcBorders>
              <w:top w:val="single" w:sz="4" w:space="0" w:color="auto"/>
              <w:left w:val="nil"/>
              <w:bottom w:val="single" w:sz="4" w:space="0" w:color="auto"/>
              <w:right w:val="nil"/>
            </w:tcBorders>
            <w:shd w:val="clear" w:color="auto" w:fill="auto"/>
            <w:noWrap/>
            <w:vAlign w:val="center"/>
          </w:tcPr>
          <w:p w:rsidR="00C71B19" w:rsidRPr="0094518D" w:rsidRDefault="00C71B19" w:rsidP="00F17769">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Rank</w:t>
            </w:r>
          </w:p>
        </w:tc>
        <w:tc>
          <w:tcPr>
            <w:tcW w:w="960" w:type="dxa"/>
            <w:tcBorders>
              <w:top w:val="single" w:sz="4" w:space="0" w:color="auto"/>
              <w:left w:val="nil"/>
              <w:bottom w:val="single" w:sz="4" w:space="0" w:color="auto"/>
              <w:right w:val="nil"/>
            </w:tcBorders>
            <w:shd w:val="clear" w:color="auto" w:fill="auto"/>
            <w:noWrap/>
            <w:vAlign w:val="center"/>
          </w:tcPr>
          <w:p w:rsidR="00C71B19" w:rsidRPr="0094518D" w:rsidRDefault="00C71B19" w:rsidP="00F17769">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Profit Eff.</w:t>
            </w:r>
          </w:p>
        </w:tc>
        <w:tc>
          <w:tcPr>
            <w:tcW w:w="1180" w:type="dxa"/>
            <w:tcBorders>
              <w:top w:val="single" w:sz="4" w:space="0" w:color="auto"/>
              <w:left w:val="nil"/>
              <w:bottom w:val="single" w:sz="4" w:space="0" w:color="auto"/>
              <w:right w:val="nil"/>
            </w:tcBorders>
            <w:shd w:val="clear" w:color="auto" w:fill="auto"/>
            <w:noWrap/>
            <w:vAlign w:val="center"/>
          </w:tcPr>
          <w:p w:rsidR="00C71B19" w:rsidRPr="0094518D" w:rsidRDefault="00C71B19" w:rsidP="00F17769">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Rank</w:t>
            </w:r>
          </w:p>
        </w:tc>
        <w:tc>
          <w:tcPr>
            <w:tcW w:w="1480" w:type="dxa"/>
            <w:tcBorders>
              <w:top w:val="single" w:sz="4" w:space="0" w:color="auto"/>
              <w:left w:val="nil"/>
              <w:bottom w:val="single" w:sz="4" w:space="0" w:color="auto"/>
              <w:right w:val="nil"/>
            </w:tcBorders>
            <w:shd w:val="clear" w:color="auto" w:fill="auto"/>
            <w:noWrap/>
            <w:vAlign w:val="center"/>
          </w:tcPr>
          <w:p w:rsidR="00C71B19" w:rsidRPr="0094518D" w:rsidRDefault="00C71B19" w:rsidP="00F17769">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Sum of Ranks</w:t>
            </w:r>
          </w:p>
        </w:tc>
      </w:tr>
      <w:tr w:rsidR="008312F6" w:rsidRPr="0094518D" w:rsidTr="008312F6">
        <w:trPr>
          <w:trHeight w:val="315"/>
        </w:trPr>
        <w:tc>
          <w:tcPr>
            <w:tcW w:w="3507" w:type="dxa"/>
            <w:tcBorders>
              <w:top w:val="single" w:sz="4" w:space="0" w:color="auto"/>
              <w:left w:val="nil"/>
              <w:bottom w:val="single" w:sz="4" w:space="0" w:color="auto"/>
              <w:right w:val="nil"/>
            </w:tcBorders>
            <w:shd w:val="clear" w:color="000000" w:fill="FFFFFF"/>
            <w:noWrap/>
            <w:vAlign w:val="bottom"/>
            <w:hideMark/>
          </w:tcPr>
          <w:p w:rsidR="008312F6" w:rsidRPr="0094518D" w:rsidRDefault="008312F6" w:rsidP="009B29E1">
            <w:pPr>
              <w:widowControl/>
              <w:spacing w:line="240" w:lineRule="auto"/>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Emirates Bank International</w:t>
            </w:r>
          </w:p>
        </w:tc>
        <w:tc>
          <w:tcPr>
            <w:tcW w:w="1380" w:type="dxa"/>
            <w:tcBorders>
              <w:top w:val="single" w:sz="4" w:space="0" w:color="auto"/>
              <w:left w:val="nil"/>
              <w:bottom w:val="single" w:sz="4" w:space="0" w:color="auto"/>
              <w:right w:val="nil"/>
            </w:tcBorders>
            <w:shd w:val="clear" w:color="auto" w:fill="auto"/>
            <w:noWrap/>
            <w:vAlign w:val="center"/>
            <w:hideMark/>
          </w:tcPr>
          <w:p w:rsidR="008312F6" w:rsidRPr="0094518D" w:rsidRDefault="008312F6" w:rsidP="0016347F">
            <w:pPr>
              <w:widowControl/>
              <w:spacing w:line="240" w:lineRule="auto"/>
              <w:jc w:val="center"/>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0.8612</w:t>
            </w:r>
          </w:p>
        </w:tc>
        <w:tc>
          <w:tcPr>
            <w:tcW w:w="960" w:type="dxa"/>
            <w:tcBorders>
              <w:top w:val="single" w:sz="4" w:space="0" w:color="auto"/>
              <w:left w:val="nil"/>
              <w:bottom w:val="single" w:sz="4" w:space="0" w:color="auto"/>
              <w:right w:val="nil"/>
            </w:tcBorders>
            <w:shd w:val="clear" w:color="auto" w:fill="auto"/>
            <w:noWrap/>
            <w:vAlign w:val="center"/>
            <w:hideMark/>
          </w:tcPr>
          <w:p w:rsidR="008312F6" w:rsidRPr="0094518D" w:rsidRDefault="008312F6" w:rsidP="0016347F">
            <w:pPr>
              <w:widowControl/>
              <w:spacing w:line="240" w:lineRule="auto"/>
              <w:jc w:val="center"/>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21</w:t>
            </w:r>
          </w:p>
        </w:tc>
        <w:tc>
          <w:tcPr>
            <w:tcW w:w="960" w:type="dxa"/>
            <w:tcBorders>
              <w:top w:val="single" w:sz="4" w:space="0" w:color="auto"/>
              <w:left w:val="nil"/>
              <w:bottom w:val="single" w:sz="4" w:space="0" w:color="auto"/>
              <w:right w:val="nil"/>
            </w:tcBorders>
            <w:shd w:val="clear" w:color="auto" w:fill="auto"/>
            <w:noWrap/>
            <w:vAlign w:val="center"/>
            <w:hideMark/>
          </w:tcPr>
          <w:p w:rsidR="008312F6" w:rsidRPr="0094518D" w:rsidRDefault="008312F6" w:rsidP="0016347F">
            <w:pPr>
              <w:widowControl/>
              <w:spacing w:line="240" w:lineRule="auto"/>
              <w:jc w:val="center"/>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0.8551</w:t>
            </w:r>
          </w:p>
        </w:tc>
        <w:tc>
          <w:tcPr>
            <w:tcW w:w="1180" w:type="dxa"/>
            <w:tcBorders>
              <w:top w:val="single" w:sz="4" w:space="0" w:color="auto"/>
              <w:left w:val="nil"/>
              <w:bottom w:val="single" w:sz="4" w:space="0" w:color="auto"/>
              <w:right w:val="nil"/>
            </w:tcBorders>
            <w:shd w:val="clear" w:color="auto" w:fill="auto"/>
            <w:noWrap/>
            <w:vAlign w:val="center"/>
            <w:hideMark/>
          </w:tcPr>
          <w:p w:rsidR="008312F6" w:rsidRPr="0094518D" w:rsidRDefault="008312F6" w:rsidP="0016347F">
            <w:pPr>
              <w:widowControl/>
              <w:spacing w:line="240" w:lineRule="auto"/>
              <w:jc w:val="center"/>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26</w:t>
            </w:r>
          </w:p>
        </w:tc>
        <w:tc>
          <w:tcPr>
            <w:tcW w:w="1480" w:type="dxa"/>
            <w:tcBorders>
              <w:top w:val="single" w:sz="4" w:space="0" w:color="auto"/>
              <w:left w:val="nil"/>
              <w:bottom w:val="single" w:sz="4" w:space="0" w:color="auto"/>
              <w:right w:val="nil"/>
            </w:tcBorders>
            <w:shd w:val="clear" w:color="auto" w:fill="auto"/>
            <w:noWrap/>
            <w:vAlign w:val="center"/>
            <w:hideMark/>
          </w:tcPr>
          <w:p w:rsidR="008312F6" w:rsidRPr="0094518D" w:rsidRDefault="008312F6" w:rsidP="0016347F">
            <w:pPr>
              <w:widowControl/>
              <w:spacing w:line="240" w:lineRule="auto"/>
              <w:jc w:val="center"/>
              <w:rPr>
                <w:rFonts w:ascii="Times New Roman" w:eastAsia="PMingLiU" w:hAnsi="Times New Roman" w:cs="Times New Roman"/>
                <w:color w:val="000000"/>
                <w:kern w:val="0"/>
                <w:sz w:val="20"/>
                <w:szCs w:val="20"/>
              </w:rPr>
            </w:pPr>
            <w:r>
              <w:rPr>
                <w:rFonts w:ascii="Times New Roman" w:eastAsia="PMingLiU" w:hAnsi="Times New Roman" w:cs="Times New Roman"/>
                <w:color w:val="000000"/>
                <w:kern w:val="0"/>
                <w:sz w:val="20"/>
                <w:szCs w:val="20"/>
              </w:rPr>
              <w:t>47</w:t>
            </w:r>
          </w:p>
        </w:tc>
      </w:tr>
      <w:tr w:rsidR="00C71B19" w:rsidRPr="0094518D" w:rsidTr="008312F6">
        <w:trPr>
          <w:trHeight w:val="315"/>
        </w:trPr>
        <w:tc>
          <w:tcPr>
            <w:tcW w:w="3507" w:type="dxa"/>
            <w:tcBorders>
              <w:top w:val="single" w:sz="4" w:space="0" w:color="auto"/>
              <w:left w:val="nil"/>
              <w:bottom w:val="nil"/>
              <w:right w:val="nil"/>
            </w:tcBorders>
            <w:shd w:val="clear" w:color="000000" w:fill="FFFFFF"/>
            <w:noWrap/>
            <w:vAlign w:val="bottom"/>
            <w:hideMark/>
          </w:tcPr>
          <w:p w:rsidR="00C71B19" w:rsidRPr="0094518D" w:rsidRDefault="00C71B19"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First Gulf Bank</w:t>
            </w:r>
          </w:p>
        </w:tc>
        <w:tc>
          <w:tcPr>
            <w:tcW w:w="1380" w:type="dxa"/>
            <w:tcBorders>
              <w:top w:val="single" w:sz="4" w:space="0" w:color="auto"/>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0.8765</w:t>
            </w:r>
          </w:p>
        </w:tc>
        <w:tc>
          <w:tcPr>
            <w:tcW w:w="960" w:type="dxa"/>
            <w:tcBorders>
              <w:top w:val="single" w:sz="4" w:space="0" w:color="auto"/>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15</w:t>
            </w:r>
          </w:p>
        </w:tc>
        <w:tc>
          <w:tcPr>
            <w:tcW w:w="960" w:type="dxa"/>
            <w:tcBorders>
              <w:top w:val="single" w:sz="4" w:space="0" w:color="auto"/>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0.9173</w:t>
            </w:r>
          </w:p>
        </w:tc>
        <w:tc>
          <w:tcPr>
            <w:tcW w:w="1180" w:type="dxa"/>
            <w:tcBorders>
              <w:top w:val="single" w:sz="4" w:space="0" w:color="auto"/>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16</w:t>
            </w:r>
          </w:p>
        </w:tc>
        <w:tc>
          <w:tcPr>
            <w:tcW w:w="1480" w:type="dxa"/>
            <w:tcBorders>
              <w:top w:val="single" w:sz="4" w:space="0" w:color="auto"/>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31</w:t>
            </w:r>
          </w:p>
        </w:tc>
      </w:tr>
      <w:tr w:rsidR="00C71B19" w:rsidRPr="0094518D" w:rsidTr="0016347F">
        <w:trPr>
          <w:trHeight w:val="315"/>
        </w:trPr>
        <w:tc>
          <w:tcPr>
            <w:tcW w:w="3507" w:type="dxa"/>
            <w:tcBorders>
              <w:top w:val="nil"/>
              <w:left w:val="nil"/>
              <w:bottom w:val="nil"/>
              <w:right w:val="nil"/>
            </w:tcBorders>
            <w:shd w:val="clear" w:color="000000" w:fill="FFFFFF"/>
            <w:noWrap/>
            <w:vAlign w:val="bottom"/>
            <w:hideMark/>
          </w:tcPr>
          <w:p w:rsidR="00C71B19" w:rsidRPr="0094518D" w:rsidRDefault="00C71B19" w:rsidP="009B29E1">
            <w:pPr>
              <w:widowControl/>
              <w:spacing w:line="240" w:lineRule="auto"/>
              <w:rPr>
                <w:rFonts w:ascii="Times New Roman" w:eastAsia="PMingLiU" w:hAnsi="Times New Roman" w:cs="Times New Roman"/>
                <w:color w:val="000000"/>
                <w:kern w:val="0"/>
                <w:sz w:val="20"/>
                <w:szCs w:val="20"/>
              </w:rPr>
            </w:pPr>
            <w:proofErr w:type="spellStart"/>
            <w:r w:rsidRPr="0094518D">
              <w:rPr>
                <w:rFonts w:ascii="Times New Roman" w:eastAsia="PMingLiU" w:hAnsi="Times New Roman" w:cs="Times New Roman"/>
                <w:color w:val="000000"/>
                <w:kern w:val="0"/>
                <w:sz w:val="20"/>
                <w:szCs w:val="20"/>
              </w:rPr>
              <w:t>Mashreqbank</w:t>
            </w:r>
            <w:proofErr w:type="spellEnd"/>
          </w:p>
        </w:tc>
        <w:tc>
          <w:tcPr>
            <w:tcW w:w="13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0.8199</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27</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0.7701</w:t>
            </w:r>
          </w:p>
        </w:tc>
        <w:tc>
          <w:tcPr>
            <w:tcW w:w="11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37</w:t>
            </w:r>
          </w:p>
        </w:tc>
        <w:tc>
          <w:tcPr>
            <w:tcW w:w="14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64</w:t>
            </w:r>
          </w:p>
        </w:tc>
      </w:tr>
      <w:tr w:rsidR="00C71B19" w:rsidRPr="0094518D" w:rsidTr="0016347F">
        <w:trPr>
          <w:trHeight w:val="315"/>
        </w:trPr>
        <w:tc>
          <w:tcPr>
            <w:tcW w:w="3507" w:type="dxa"/>
            <w:tcBorders>
              <w:top w:val="nil"/>
              <w:left w:val="nil"/>
              <w:bottom w:val="nil"/>
              <w:right w:val="nil"/>
            </w:tcBorders>
            <w:shd w:val="clear" w:color="000000" w:fill="FFFFFF"/>
            <w:noWrap/>
            <w:vAlign w:val="bottom"/>
            <w:hideMark/>
          </w:tcPr>
          <w:p w:rsidR="00C71B19" w:rsidRPr="0094518D" w:rsidRDefault="00C71B19"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National Bank of Abu Dhabi</w:t>
            </w:r>
          </w:p>
        </w:tc>
        <w:tc>
          <w:tcPr>
            <w:tcW w:w="13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0.8750</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16</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0.7931</w:t>
            </w:r>
          </w:p>
        </w:tc>
        <w:tc>
          <w:tcPr>
            <w:tcW w:w="11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32</w:t>
            </w:r>
          </w:p>
        </w:tc>
        <w:tc>
          <w:tcPr>
            <w:tcW w:w="14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48</w:t>
            </w:r>
          </w:p>
        </w:tc>
      </w:tr>
      <w:tr w:rsidR="00C71B19" w:rsidRPr="0094518D" w:rsidTr="0016347F">
        <w:trPr>
          <w:trHeight w:val="315"/>
        </w:trPr>
        <w:tc>
          <w:tcPr>
            <w:tcW w:w="3507" w:type="dxa"/>
            <w:tcBorders>
              <w:top w:val="nil"/>
              <w:left w:val="nil"/>
              <w:bottom w:val="nil"/>
              <w:right w:val="nil"/>
            </w:tcBorders>
            <w:shd w:val="clear" w:color="000000" w:fill="FFFFFF"/>
            <w:noWrap/>
            <w:vAlign w:val="bottom"/>
            <w:hideMark/>
          </w:tcPr>
          <w:p w:rsidR="00C71B19" w:rsidRPr="0094518D" w:rsidRDefault="00C71B19"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National Bank of Dubai Public Joint Co.</w:t>
            </w:r>
          </w:p>
        </w:tc>
        <w:tc>
          <w:tcPr>
            <w:tcW w:w="13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0.5645</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45</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0.7346</w:t>
            </w:r>
          </w:p>
        </w:tc>
        <w:tc>
          <w:tcPr>
            <w:tcW w:w="11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41</w:t>
            </w:r>
          </w:p>
        </w:tc>
        <w:tc>
          <w:tcPr>
            <w:tcW w:w="14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86</w:t>
            </w:r>
          </w:p>
        </w:tc>
      </w:tr>
      <w:tr w:rsidR="00C71B19" w:rsidRPr="0094518D" w:rsidTr="0016347F">
        <w:trPr>
          <w:trHeight w:val="315"/>
        </w:trPr>
        <w:tc>
          <w:tcPr>
            <w:tcW w:w="3507" w:type="dxa"/>
            <w:tcBorders>
              <w:top w:val="nil"/>
              <w:left w:val="nil"/>
              <w:bottom w:val="nil"/>
              <w:right w:val="nil"/>
            </w:tcBorders>
            <w:shd w:val="clear" w:color="000000" w:fill="FFFFFF"/>
            <w:noWrap/>
            <w:vAlign w:val="bottom"/>
            <w:hideMark/>
          </w:tcPr>
          <w:p w:rsidR="00C71B19" w:rsidRPr="0094518D" w:rsidRDefault="00C71B19"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National Bank of Fujairah</w:t>
            </w:r>
          </w:p>
        </w:tc>
        <w:tc>
          <w:tcPr>
            <w:tcW w:w="13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0.8184</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28</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0.9489</w:t>
            </w:r>
          </w:p>
        </w:tc>
        <w:tc>
          <w:tcPr>
            <w:tcW w:w="11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w:t>
            </w:r>
          </w:p>
        </w:tc>
        <w:tc>
          <w:tcPr>
            <w:tcW w:w="14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31</w:t>
            </w:r>
          </w:p>
        </w:tc>
      </w:tr>
      <w:tr w:rsidR="00C71B19" w:rsidRPr="0094518D" w:rsidTr="0016347F">
        <w:trPr>
          <w:trHeight w:val="315"/>
        </w:trPr>
        <w:tc>
          <w:tcPr>
            <w:tcW w:w="3507" w:type="dxa"/>
            <w:tcBorders>
              <w:top w:val="nil"/>
              <w:left w:val="nil"/>
              <w:bottom w:val="nil"/>
              <w:right w:val="nil"/>
            </w:tcBorders>
            <w:shd w:val="clear" w:color="000000" w:fill="FFFFFF"/>
            <w:noWrap/>
            <w:vAlign w:val="bottom"/>
            <w:hideMark/>
          </w:tcPr>
          <w:p w:rsidR="00C71B19" w:rsidRPr="0094518D" w:rsidRDefault="00C71B19"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National Bank of Umm Al-Qaiwain</w:t>
            </w:r>
          </w:p>
        </w:tc>
        <w:tc>
          <w:tcPr>
            <w:tcW w:w="13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0.9107</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8</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0.9301</w:t>
            </w:r>
          </w:p>
        </w:tc>
        <w:tc>
          <w:tcPr>
            <w:tcW w:w="11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12</w:t>
            </w:r>
          </w:p>
        </w:tc>
        <w:tc>
          <w:tcPr>
            <w:tcW w:w="14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20</w:t>
            </w:r>
          </w:p>
        </w:tc>
      </w:tr>
      <w:tr w:rsidR="00C71B19" w:rsidRPr="0094518D" w:rsidTr="0016347F">
        <w:trPr>
          <w:trHeight w:val="315"/>
        </w:trPr>
        <w:tc>
          <w:tcPr>
            <w:tcW w:w="3507" w:type="dxa"/>
            <w:tcBorders>
              <w:top w:val="nil"/>
              <w:left w:val="nil"/>
              <w:bottom w:val="nil"/>
              <w:right w:val="nil"/>
            </w:tcBorders>
            <w:shd w:val="clear" w:color="000000" w:fill="FFFFFF"/>
            <w:noWrap/>
            <w:vAlign w:val="bottom"/>
            <w:hideMark/>
          </w:tcPr>
          <w:p w:rsidR="00C71B19" w:rsidRPr="0094518D" w:rsidRDefault="00C71B19"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National Bank of Ras Al-Khaimah</w:t>
            </w:r>
          </w:p>
        </w:tc>
        <w:tc>
          <w:tcPr>
            <w:tcW w:w="13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0.6847</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42</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0.9411</w:t>
            </w:r>
          </w:p>
        </w:tc>
        <w:tc>
          <w:tcPr>
            <w:tcW w:w="11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5</w:t>
            </w:r>
          </w:p>
        </w:tc>
        <w:tc>
          <w:tcPr>
            <w:tcW w:w="14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47</w:t>
            </w:r>
          </w:p>
        </w:tc>
      </w:tr>
      <w:tr w:rsidR="00C71B19" w:rsidRPr="0094518D" w:rsidTr="0016347F">
        <w:trPr>
          <w:trHeight w:val="315"/>
        </w:trPr>
        <w:tc>
          <w:tcPr>
            <w:tcW w:w="3507" w:type="dxa"/>
            <w:tcBorders>
              <w:top w:val="nil"/>
              <w:left w:val="nil"/>
              <w:bottom w:val="nil"/>
              <w:right w:val="nil"/>
            </w:tcBorders>
            <w:shd w:val="clear" w:color="000000" w:fill="FFFFFF"/>
            <w:noWrap/>
            <w:vAlign w:val="bottom"/>
            <w:hideMark/>
          </w:tcPr>
          <w:p w:rsidR="00C71B19" w:rsidRPr="0094518D" w:rsidRDefault="00C71B19"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Union National Bank</w:t>
            </w:r>
          </w:p>
        </w:tc>
        <w:tc>
          <w:tcPr>
            <w:tcW w:w="13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0.8152</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29</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0.8845</w:t>
            </w:r>
          </w:p>
        </w:tc>
        <w:tc>
          <w:tcPr>
            <w:tcW w:w="11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22</w:t>
            </w:r>
          </w:p>
        </w:tc>
        <w:tc>
          <w:tcPr>
            <w:tcW w:w="14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51</w:t>
            </w:r>
          </w:p>
        </w:tc>
      </w:tr>
      <w:tr w:rsidR="00C71B19" w:rsidRPr="0094518D" w:rsidTr="0016347F">
        <w:trPr>
          <w:trHeight w:val="315"/>
        </w:trPr>
        <w:tc>
          <w:tcPr>
            <w:tcW w:w="3507" w:type="dxa"/>
            <w:tcBorders>
              <w:top w:val="nil"/>
              <w:left w:val="nil"/>
              <w:bottom w:val="single" w:sz="4" w:space="0" w:color="auto"/>
              <w:right w:val="nil"/>
            </w:tcBorders>
            <w:shd w:val="clear" w:color="000000" w:fill="FFFFFF"/>
            <w:noWrap/>
            <w:vAlign w:val="bottom"/>
            <w:hideMark/>
          </w:tcPr>
          <w:p w:rsidR="00C71B19" w:rsidRPr="0094518D" w:rsidRDefault="00C71B19"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United Arab Bank</w:t>
            </w:r>
          </w:p>
        </w:tc>
        <w:tc>
          <w:tcPr>
            <w:tcW w:w="13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0.8858</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10</w:t>
            </w:r>
          </w:p>
        </w:tc>
        <w:tc>
          <w:tcPr>
            <w:tcW w:w="96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0.9272</w:t>
            </w:r>
          </w:p>
        </w:tc>
        <w:tc>
          <w:tcPr>
            <w:tcW w:w="11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13</w:t>
            </w:r>
          </w:p>
        </w:tc>
        <w:tc>
          <w:tcPr>
            <w:tcW w:w="1480" w:type="dxa"/>
            <w:tcBorders>
              <w:top w:val="nil"/>
              <w:left w:val="nil"/>
              <w:bottom w:val="nil"/>
              <w:right w:val="nil"/>
            </w:tcBorders>
            <w:shd w:val="clear" w:color="auto" w:fill="auto"/>
            <w:noWrap/>
            <w:vAlign w:val="center"/>
            <w:hideMark/>
          </w:tcPr>
          <w:p w:rsidR="00C71B19" w:rsidRPr="0094518D" w:rsidRDefault="00C71B19" w:rsidP="0016347F">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23</w:t>
            </w:r>
          </w:p>
        </w:tc>
      </w:tr>
      <w:tr w:rsidR="00C71B19" w:rsidRPr="0094518D" w:rsidTr="0016347F">
        <w:trPr>
          <w:trHeight w:val="315"/>
        </w:trPr>
        <w:tc>
          <w:tcPr>
            <w:tcW w:w="3507" w:type="dxa"/>
            <w:tcBorders>
              <w:top w:val="nil"/>
              <w:left w:val="nil"/>
              <w:bottom w:val="single" w:sz="4" w:space="0" w:color="auto"/>
              <w:right w:val="nil"/>
            </w:tcBorders>
            <w:shd w:val="clear" w:color="000000" w:fill="FFFFFF"/>
            <w:noWrap/>
            <w:vAlign w:val="bottom"/>
            <w:hideMark/>
          </w:tcPr>
          <w:p w:rsidR="00C71B19" w:rsidRPr="0094518D" w:rsidRDefault="00C71B19" w:rsidP="009B29E1">
            <w:pPr>
              <w:widowControl/>
              <w:spacing w:line="240" w:lineRule="auto"/>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Average</w:t>
            </w:r>
          </w:p>
        </w:tc>
        <w:tc>
          <w:tcPr>
            <w:tcW w:w="1380" w:type="dxa"/>
            <w:tcBorders>
              <w:top w:val="single" w:sz="4" w:space="0" w:color="auto"/>
              <w:left w:val="nil"/>
              <w:bottom w:val="single" w:sz="4" w:space="0" w:color="auto"/>
              <w:right w:val="nil"/>
            </w:tcBorders>
            <w:shd w:val="clear" w:color="auto" w:fill="auto"/>
            <w:noWrap/>
            <w:vAlign w:val="center"/>
            <w:hideMark/>
          </w:tcPr>
          <w:p w:rsidR="00C71B19" w:rsidRPr="0094518D" w:rsidRDefault="00C71B19" w:rsidP="008726B0">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0.8317 </w:t>
            </w:r>
          </w:p>
        </w:tc>
        <w:tc>
          <w:tcPr>
            <w:tcW w:w="960" w:type="dxa"/>
            <w:tcBorders>
              <w:top w:val="single" w:sz="4" w:space="0" w:color="auto"/>
              <w:left w:val="nil"/>
              <w:bottom w:val="single" w:sz="4" w:space="0" w:color="auto"/>
              <w:right w:val="nil"/>
            </w:tcBorders>
            <w:shd w:val="clear" w:color="auto" w:fill="auto"/>
            <w:noWrap/>
            <w:vAlign w:val="bottom"/>
            <w:hideMark/>
          </w:tcPr>
          <w:p w:rsidR="00C71B19" w:rsidRPr="0094518D" w:rsidRDefault="00C71B19"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960" w:type="dxa"/>
            <w:tcBorders>
              <w:top w:val="single" w:sz="4" w:space="0" w:color="auto"/>
              <w:left w:val="nil"/>
              <w:bottom w:val="single" w:sz="4" w:space="0" w:color="auto"/>
              <w:right w:val="nil"/>
            </w:tcBorders>
            <w:shd w:val="clear" w:color="auto" w:fill="auto"/>
            <w:noWrap/>
            <w:vAlign w:val="center"/>
            <w:hideMark/>
          </w:tcPr>
          <w:p w:rsidR="00C71B19" w:rsidRPr="0094518D" w:rsidRDefault="00C71B19" w:rsidP="008726B0">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0.8435 </w:t>
            </w:r>
          </w:p>
        </w:tc>
        <w:tc>
          <w:tcPr>
            <w:tcW w:w="1180" w:type="dxa"/>
            <w:tcBorders>
              <w:top w:val="single" w:sz="4" w:space="0" w:color="auto"/>
              <w:left w:val="nil"/>
              <w:bottom w:val="single" w:sz="4" w:space="0" w:color="auto"/>
              <w:right w:val="nil"/>
            </w:tcBorders>
            <w:shd w:val="clear" w:color="auto" w:fill="auto"/>
            <w:noWrap/>
            <w:vAlign w:val="bottom"/>
            <w:hideMark/>
          </w:tcPr>
          <w:p w:rsidR="00C71B19" w:rsidRPr="0094518D" w:rsidRDefault="00C71B19"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c>
          <w:tcPr>
            <w:tcW w:w="1480" w:type="dxa"/>
            <w:tcBorders>
              <w:top w:val="single" w:sz="4" w:space="0" w:color="auto"/>
              <w:left w:val="nil"/>
              <w:bottom w:val="single" w:sz="4" w:space="0" w:color="auto"/>
              <w:right w:val="nil"/>
            </w:tcBorders>
            <w:shd w:val="clear" w:color="auto" w:fill="auto"/>
            <w:noWrap/>
            <w:vAlign w:val="bottom"/>
            <w:hideMark/>
          </w:tcPr>
          <w:p w:rsidR="00C71B19" w:rsidRPr="0094518D" w:rsidRDefault="00C71B19" w:rsidP="009B29E1">
            <w:pPr>
              <w:widowControl/>
              <w:spacing w:line="240" w:lineRule="auto"/>
              <w:jc w:val="center"/>
              <w:rPr>
                <w:rFonts w:ascii="Times New Roman" w:eastAsia="PMingLiU" w:hAnsi="Times New Roman" w:cs="Times New Roman"/>
                <w:color w:val="000000"/>
                <w:kern w:val="0"/>
                <w:sz w:val="20"/>
                <w:szCs w:val="20"/>
              </w:rPr>
            </w:pPr>
            <w:r w:rsidRPr="0094518D">
              <w:rPr>
                <w:rFonts w:ascii="Times New Roman" w:eastAsia="PMingLiU" w:hAnsi="Times New Roman" w:cs="Times New Roman"/>
                <w:color w:val="000000"/>
                <w:kern w:val="0"/>
                <w:sz w:val="20"/>
                <w:szCs w:val="20"/>
              </w:rPr>
              <w:t xml:space="preserve">　</w:t>
            </w:r>
          </w:p>
        </w:tc>
      </w:tr>
    </w:tbl>
    <w:p w:rsidR="003D3080" w:rsidRDefault="003D3080" w:rsidP="00C42FC9">
      <w:pPr>
        <w:widowControl/>
        <w:autoSpaceDE w:val="0"/>
        <w:autoSpaceDN w:val="0"/>
        <w:adjustRightInd w:val="0"/>
        <w:spacing w:line="240" w:lineRule="auto"/>
        <w:rPr>
          <w:rFonts w:ascii="Times New Roman" w:hAnsi="Times New Roman" w:cs="Times New Roman"/>
          <w:kern w:val="0"/>
          <w:sz w:val="22"/>
        </w:rPr>
      </w:pPr>
    </w:p>
    <w:p w:rsidR="002B1692" w:rsidRDefault="002B1692" w:rsidP="00C42FC9">
      <w:pPr>
        <w:widowControl/>
        <w:autoSpaceDE w:val="0"/>
        <w:autoSpaceDN w:val="0"/>
        <w:adjustRightInd w:val="0"/>
        <w:spacing w:line="240" w:lineRule="auto"/>
        <w:rPr>
          <w:rFonts w:ascii="Times New Roman" w:hAnsi="Times New Roman" w:cs="Times New Roman"/>
          <w:kern w:val="0"/>
          <w:sz w:val="22"/>
        </w:rPr>
      </w:pPr>
    </w:p>
    <w:p w:rsidR="00812260" w:rsidRDefault="00812260" w:rsidP="00C42FC9">
      <w:pPr>
        <w:widowControl/>
        <w:autoSpaceDE w:val="0"/>
        <w:autoSpaceDN w:val="0"/>
        <w:adjustRightInd w:val="0"/>
        <w:spacing w:line="240" w:lineRule="auto"/>
        <w:rPr>
          <w:rFonts w:ascii="Times New Roman" w:hAnsi="Times New Roman" w:cs="Times New Roman"/>
          <w:kern w:val="0"/>
          <w:sz w:val="22"/>
        </w:rPr>
      </w:pPr>
    </w:p>
    <w:p w:rsidR="00812260" w:rsidRDefault="00812260" w:rsidP="00C42FC9">
      <w:pPr>
        <w:widowControl/>
        <w:autoSpaceDE w:val="0"/>
        <w:autoSpaceDN w:val="0"/>
        <w:adjustRightInd w:val="0"/>
        <w:spacing w:line="240" w:lineRule="auto"/>
        <w:rPr>
          <w:rFonts w:ascii="Times New Roman" w:hAnsi="Times New Roman" w:cs="Times New Roman"/>
          <w:kern w:val="0"/>
          <w:sz w:val="22"/>
        </w:rPr>
      </w:pPr>
    </w:p>
    <w:p w:rsidR="00812260" w:rsidRDefault="00812260" w:rsidP="00C42FC9">
      <w:pPr>
        <w:widowControl/>
        <w:autoSpaceDE w:val="0"/>
        <w:autoSpaceDN w:val="0"/>
        <w:adjustRightInd w:val="0"/>
        <w:spacing w:line="240" w:lineRule="auto"/>
        <w:rPr>
          <w:rFonts w:ascii="Times New Roman" w:hAnsi="Times New Roman" w:cs="Times New Roman"/>
          <w:kern w:val="0"/>
          <w:sz w:val="22"/>
        </w:rPr>
      </w:pPr>
    </w:p>
    <w:p w:rsidR="00812260" w:rsidRDefault="00812260" w:rsidP="00C42FC9">
      <w:pPr>
        <w:widowControl/>
        <w:autoSpaceDE w:val="0"/>
        <w:autoSpaceDN w:val="0"/>
        <w:adjustRightInd w:val="0"/>
        <w:spacing w:line="240" w:lineRule="auto"/>
        <w:rPr>
          <w:rFonts w:ascii="Times New Roman" w:hAnsi="Times New Roman" w:cs="Times New Roman"/>
          <w:kern w:val="0"/>
          <w:sz w:val="22"/>
        </w:rPr>
      </w:pPr>
    </w:p>
    <w:p w:rsidR="00812260" w:rsidRDefault="00812260" w:rsidP="00C42FC9">
      <w:pPr>
        <w:widowControl/>
        <w:autoSpaceDE w:val="0"/>
        <w:autoSpaceDN w:val="0"/>
        <w:adjustRightInd w:val="0"/>
        <w:spacing w:line="240" w:lineRule="auto"/>
        <w:rPr>
          <w:rFonts w:ascii="Times New Roman" w:hAnsi="Times New Roman" w:cs="Times New Roman"/>
          <w:kern w:val="0"/>
          <w:sz w:val="22"/>
        </w:rPr>
      </w:pPr>
    </w:p>
    <w:p w:rsidR="00812260" w:rsidRDefault="00812260" w:rsidP="00C42FC9">
      <w:pPr>
        <w:widowControl/>
        <w:autoSpaceDE w:val="0"/>
        <w:autoSpaceDN w:val="0"/>
        <w:adjustRightInd w:val="0"/>
        <w:spacing w:line="240" w:lineRule="auto"/>
        <w:rPr>
          <w:rFonts w:ascii="Times New Roman" w:hAnsi="Times New Roman" w:cs="Times New Roman"/>
          <w:kern w:val="0"/>
          <w:sz w:val="22"/>
        </w:rPr>
      </w:pPr>
    </w:p>
    <w:p w:rsidR="00812260" w:rsidRDefault="00812260" w:rsidP="00C42FC9">
      <w:pPr>
        <w:widowControl/>
        <w:autoSpaceDE w:val="0"/>
        <w:autoSpaceDN w:val="0"/>
        <w:adjustRightInd w:val="0"/>
        <w:spacing w:line="240" w:lineRule="auto"/>
        <w:rPr>
          <w:rFonts w:ascii="Times New Roman" w:hAnsi="Times New Roman" w:cs="Times New Roman"/>
          <w:kern w:val="0"/>
          <w:sz w:val="22"/>
        </w:rPr>
      </w:pPr>
    </w:p>
    <w:p w:rsidR="00812260" w:rsidRDefault="00812260" w:rsidP="00C42FC9">
      <w:pPr>
        <w:widowControl/>
        <w:autoSpaceDE w:val="0"/>
        <w:autoSpaceDN w:val="0"/>
        <w:adjustRightInd w:val="0"/>
        <w:spacing w:line="240" w:lineRule="auto"/>
        <w:rPr>
          <w:rFonts w:ascii="Times New Roman" w:hAnsi="Times New Roman" w:cs="Times New Roman"/>
          <w:kern w:val="0"/>
          <w:sz w:val="22"/>
        </w:rPr>
      </w:pPr>
    </w:p>
    <w:p w:rsidR="00812260" w:rsidRDefault="00812260" w:rsidP="00C42FC9">
      <w:pPr>
        <w:widowControl/>
        <w:autoSpaceDE w:val="0"/>
        <w:autoSpaceDN w:val="0"/>
        <w:adjustRightInd w:val="0"/>
        <w:spacing w:line="240" w:lineRule="auto"/>
        <w:rPr>
          <w:rFonts w:ascii="Times New Roman" w:hAnsi="Times New Roman" w:cs="Times New Roman"/>
          <w:kern w:val="0"/>
          <w:sz w:val="22"/>
        </w:rPr>
      </w:pPr>
    </w:p>
    <w:p w:rsidR="00812260" w:rsidRDefault="00812260" w:rsidP="00C42FC9">
      <w:pPr>
        <w:widowControl/>
        <w:autoSpaceDE w:val="0"/>
        <w:autoSpaceDN w:val="0"/>
        <w:adjustRightInd w:val="0"/>
        <w:spacing w:line="240" w:lineRule="auto"/>
        <w:rPr>
          <w:rFonts w:ascii="Times New Roman" w:hAnsi="Times New Roman" w:cs="Times New Roman"/>
          <w:kern w:val="0"/>
          <w:sz w:val="22"/>
        </w:rPr>
      </w:pPr>
    </w:p>
    <w:p w:rsidR="00F40C2D" w:rsidRDefault="00F40C2D" w:rsidP="00C42FC9">
      <w:pPr>
        <w:widowControl/>
        <w:autoSpaceDE w:val="0"/>
        <w:autoSpaceDN w:val="0"/>
        <w:adjustRightInd w:val="0"/>
        <w:spacing w:line="240" w:lineRule="auto"/>
        <w:rPr>
          <w:rFonts w:ascii="Times New Roman" w:hAnsi="Times New Roman" w:cs="Times New Roman"/>
          <w:kern w:val="0"/>
          <w:sz w:val="22"/>
        </w:rPr>
      </w:pPr>
    </w:p>
    <w:p w:rsidR="00F40C2D" w:rsidRDefault="00F40C2D" w:rsidP="00C42FC9">
      <w:pPr>
        <w:widowControl/>
        <w:autoSpaceDE w:val="0"/>
        <w:autoSpaceDN w:val="0"/>
        <w:adjustRightInd w:val="0"/>
        <w:spacing w:line="240" w:lineRule="auto"/>
        <w:rPr>
          <w:rFonts w:ascii="Times New Roman" w:hAnsi="Times New Roman" w:cs="Times New Roman"/>
          <w:kern w:val="0"/>
          <w:sz w:val="22"/>
        </w:rPr>
      </w:pPr>
    </w:p>
    <w:p w:rsidR="00F40C2D" w:rsidRDefault="00F40C2D" w:rsidP="00C42FC9">
      <w:pPr>
        <w:widowControl/>
        <w:autoSpaceDE w:val="0"/>
        <w:autoSpaceDN w:val="0"/>
        <w:adjustRightInd w:val="0"/>
        <w:spacing w:line="240" w:lineRule="auto"/>
        <w:rPr>
          <w:rFonts w:ascii="Times New Roman" w:hAnsi="Times New Roman" w:cs="Times New Roman"/>
          <w:kern w:val="0"/>
          <w:sz w:val="22"/>
        </w:rPr>
      </w:pPr>
    </w:p>
    <w:p w:rsidR="00F40C2D" w:rsidRDefault="00F40C2D" w:rsidP="00C42FC9">
      <w:pPr>
        <w:widowControl/>
        <w:autoSpaceDE w:val="0"/>
        <w:autoSpaceDN w:val="0"/>
        <w:adjustRightInd w:val="0"/>
        <w:spacing w:line="240" w:lineRule="auto"/>
        <w:rPr>
          <w:rFonts w:ascii="Times New Roman" w:hAnsi="Times New Roman" w:cs="Times New Roman"/>
          <w:kern w:val="0"/>
          <w:sz w:val="22"/>
        </w:rPr>
      </w:pPr>
    </w:p>
    <w:p w:rsidR="006C16F1" w:rsidRDefault="006C16F1" w:rsidP="00C42FC9">
      <w:pPr>
        <w:widowControl/>
        <w:autoSpaceDE w:val="0"/>
        <w:autoSpaceDN w:val="0"/>
        <w:adjustRightInd w:val="0"/>
        <w:spacing w:line="240" w:lineRule="auto"/>
        <w:rPr>
          <w:rFonts w:ascii="Times New Roman" w:hAnsi="Times New Roman" w:cs="Times New Roman"/>
          <w:kern w:val="0"/>
          <w:sz w:val="22"/>
        </w:rPr>
      </w:pPr>
    </w:p>
    <w:sectPr w:rsidR="006C16F1" w:rsidSect="008E56C2">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D44" w:rsidRDefault="00EF4D44" w:rsidP="00995B74">
      <w:pPr>
        <w:spacing w:line="240" w:lineRule="auto"/>
      </w:pPr>
      <w:r>
        <w:separator/>
      </w:r>
    </w:p>
  </w:endnote>
  <w:endnote w:type="continuationSeparator" w:id="0">
    <w:p w:rsidR="00EF4D44" w:rsidRDefault="00EF4D44" w:rsidP="00995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18594"/>
      <w:docPartObj>
        <w:docPartGallery w:val="Page Numbers (Bottom of Page)"/>
        <w:docPartUnique/>
      </w:docPartObj>
    </w:sdtPr>
    <w:sdtEndPr/>
    <w:sdtContent>
      <w:p w:rsidR="00B505E1" w:rsidRDefault="00B505E1">
        <w:pPr>
          <w:pStyle w:val="Footer"/>
          <w:jc w:val="right"/>
        </w:pPr>
        <w:r>
          <w:fldChar w:fldCharType="begin"/>
        </w:r>
        <w:r>
          <w:instrText xml:space="preserve"> PAGE   \* MERGEFORMAT </w:instrText>
        </w:r>
        <w:r>
          <w:fldChar w:fldCharType="separate"/>
        </w:r>
        <w:r w:rsidR="00355FCA">
          <w:rPr>
            <w:noProof/>
          </w:rPr>
          <w:t>3</w:t>
        </w:r>
        <w:r>
          <w:rPr>
            <w:noProof/>
          </w:rPr>
          <w:fldChar w:fldCharType="end"/>
        </w:r>
      </w:p>
    </w:sdtContent>
  </w:sdt>
  <w:p w:rsidR="00B505E1" w:rsidRDefault="00B50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D44" w:rsidRDefault="00EF4D44" w:rsidP="00995B74">
      <w:pPr>
        <w:spacing w:line="240" w:lineRule="auto"/>
      </w:pPr>
      <w:r>
        <w:separator/>
      </w:r>
    </w:p>
  </w:footnote>
  <w:footnote w:type="continuationSeparator" w:id="0">
    <w:p w:rsidR="00EF4D44" w:rsidRDefault="00EF4D44" w:rsidP="00995B74">
      <w:pPr>
        <w:spacing w:line="240" w:lineRule="auto"/>
      </w:pPr>
      <w:r>
        <w:continuationSeparator/>
      </w:r>
    </w:p>
  </w:footnote>
  <w:footnote w:id="1">
    <w:p w:rsidR="00B505E1" w:rsidRPr="00FD1E24" w:rsidRDefault="00B505E1" w:rsidP="008354D6">
      <w:pPr>
        <w:pStyle w:val="FootnoteText"/>
        <w:rPr>
          <w:rFonts w:ascii="Times New Roman" w:hAnsi="Times New Roman" w:cs="Times New Roman"/>
          <w:sz w:val="24"/>
          <w:szCs w:val="24"/>
        </w:rPr>
      </w:pPr>
      <w:r w:rsidRPr="00FD1E24">
        <w:rPr>
          <w:rStyle w:val="FootnoteReference"/>
          <w:rFonts w:ascii="Times New Roman" w:hAnsi="Times New Roman" w:cs="Times New Roman"/>
          <w:sz w:val="24"/>
          <w:szCs w:val="24"/>
        </w:rPr>
        <w:footnoteRef/>
      </w:r>
      <w:r w:rsidRPr="00FD1E24">
        <w:rPr>
          <w:rFonts w:ascii="Times New Roman" w:hAnsi="Times New Roman" w:cs="Times New Roman"/>
          <w:sz w:val="24"/>
          <w:szCs w:val="24"/>
        </w:rPr>
        <w:t xml:space="preserve"> </w:t>
      </w:r>
      <w:r w:rsidRPr="00FD1E24">
        <w:rPr>
          <w:rFonts w:ascii="Times New Roman" w:hAnsi="Times New Roman" w:cs="Times New Roman"/>
          <w:sz w:val="24"/>
          <w:szCs w:val="24"/>
          <w:lang w:eastAsia="zh-CN"/>
        </w:rPr>
        <w:t>On May 25, 1981, six countries of the Arab Gulf region (Bahrain, Kuwait, Oman, Qatar, Saudi Arabia, and the United Arab Emirates) ratified the charter that established the Cooperation Council for the Arab States of the Gulf (GCC countries hereafter).</w:t>
      </w:r>
    </w:p>
  </w:footnote>
  <w:footnote w:id="2">
    <w:p w:rsidR="00B505E1" w:rsidRPr="00921664" w:rsidRDefault="00B505E1">
      <w:pPr>
        <w:pStyle w:val="FootnoteText"/>
        <w:rPr>
          <w:rFonts w:ascii="Times New Roman" w:hAnsi="Times New Roman" w:cs="Times New Roman"/>
        </w:rPr>
      </w:pPr>
      <w:r w:rsidRPr="00FD1E24">
        <w:rPr>
          <w:rStyle w:val="FootnoteReference"/>
          <w:rFonts w:ascii="Times New Roman" w:hAnsi="Times New Roman" w:cs="Times New Roman"/>
          <w:sz w:val="24"/>
          <w:szCs w:val="24"/>
        </w:rPr>
        <w:footnoteRef/>
      </w:r>
      <w:r w:rsidRPr="00FD1E24">
        <w:rPr>
          <w:rFonts w:ascii="Times New Roman" w:hAnsi="Times New Roman" w:cs="Times New Roman"/>
          <w:sz w:val="24"/>
          <w:szCs w:val="24"/>
        </w:rPr>
        <w:t xml:space="preserve"> </w:t>
      </w:r>
      <w:r w:rsidRPr="00FD1E24">
        <w:rPr>
          <w:rFonts w:ascii="Times New Roman" w:hAnsi="Times New Roman" w:cs="Times New Roman"/>
          <w:color w:val="686868"/>
          <w:sz w:val="24"/>
          <w:szCs w:val="24"/>
        </w:rPr>
        <w:t>In 2008, a GCC common market was established. It allows for citizens of any of the six countries to travel and trade freely within the region.</w:t>
      </w:r>
    </w:p>
  </w:footnote>
  <w:footnote w:id="3">
    <w:p w:rsidR="00B505E1" w:rsidRPr="00FD1E24" w:rsidRDefault="00B505E1" w:rsidP="00B03271">
      <w:pPr>
        <w:widowControl/>
        <w:autoSpaceDE w:val="0"/>
        <w:autoSpaceDN w:val="0"/>
        <w:adjustRightInd w:val="0"/>
        <w:spacing w:line="240" w:lineRule="auto"/>
        <w:rPr>
          <w:rFonts w:ascii="Times New Roman" w:hAnsi="Times New Roman" w:cs="Times New Roman"/>
          <w:szCs w:val="24"/>
        </w:rPr>
      </w:pPr>
      <w:r w:rsidRPr="00FD1E24">
        <w:rPr>
          <w:rStyle w:val="FootnoteReference"/>
          <w:rFonts w:ascii="Times New Roman" w:hAnsi="Times New Roman" w:cs="Times New Roman"/>
          <w:szCs w:val="24"/>
        </w:rPr>
        <w:footnoteRef/>
      </w:r>
      <w:r w:rsidRPr="00FD1E24">
        <w:rPr>
          <w:rFonts w:ascii="Times New Roman" w:hAnsi="Times New Roman" w:cs="Times New Roman"/>
          <w:szCs w:val="24"/>
        </w:rPr>
        <w:t xml:space="preserve"> GCC countries have deepened and the proportion of credit allocated to the private sector as a percentage of GDP has increased, indicating that banks in these countries have become more efficient in allocating financial resources in respective countries (</w:t>
      </w:r>
      <w:proofErr w:type="spellStart"/>
      <w:r w:rsidRPr="00FD1E24">
        <w:rPr>
          <w:rFonts w:ascii="Times New Roman" w:hAnsi="Times New Roman" w:cs="Times New Roman"/>
          <w:szCs w:val="24"/>
        </w:rPr>
        <w:t>e,g</w:t>
      </w:r>
      <w:proofErr w:type="spellEnd"/>
      <w:r w:rsidRPr="00FD1E24">
        <w:rPr>
          <w:rFonts w:ascii="Times New Roman" w:hAnsi="Times New Roman" w:cs="Times New Roman"/>
          <w:szCs w:val="24"/>
        </w:rPr>
        <w:t xml:space="preserve">., see p. 113, </w:t>
      </w:r>
      <w:proofErr w:type="spellStart"/>
      <w:r w:rsidRPr="00FD1E24">
        <w:rPr>
          <w:rFonts w:ascii="Times New Roman" w:hAnsi="Times New Roman" w:cs="Times New Roman"/>
          <w:szCs w:val="24"/>
        </w:rPr>
        <w:t>Molyneux</w:t>
      </w:r>
      <w:proofErr w:type="spellEnd"/>
      <w:r w:rsidRPr="00FD1E24">
        <w:rPr>
          <w:rFonts w:ascii="Times New Roman" w:hAnsi="Times New Roman" w:cs="Times New Roman"/>
          <w:szCs w:val="24"/>
        </w:rPr>
        <w:t xml:space="preserve"> and </w:t>
      </w:r>
      <w:proofErr w:type="spellStart"/>
      <w:r w:rsidRPr="00FD1E24">
        <w:rPr>
          <w:rFonts w:ascii="Times New Roman" w:hAnsi="Times New Roman" w:cs="Times New Roman"/>
          <w:szCs w:val="24"/>
        </w:rPr>
        <w:t>Iqbal</w:t>
      </w:r>
      <w:proofErr w:type="spellEnd"/>
      <w:r w:rsidRPr="00FD1E24">
        <w:rPr>
          <w:rFonts w:ascii="Times New Roman" w:hAnsi="Times New Roman" w:cs="Times New Roman"/>
          <w:szCs w:val="24"/>
        </w:rPr>
        <w:t>, 2005).</w:t>
      </w:r>
    </w:p>
  </w:footnote>
  <w:footnote w:id="4">
    <w:p w:rsidR="00B505E1" w:rsidRPr="000D034C" w:rsidRDefault="00B505E1">
      <w:pPr>
        <w:pStyle w:val="FootnoteText"/>
        <w:rPr>
          <w:rFonts w:ascii="Times New Roman" w:hAnsi="Times New Roman" w:cs="Times New Roman"/>
        </w:rPr>
      </w:pPr>
      <w:r w:rsidRPr="00FD1E24">
        <w:rPr>
          <w:rStyle w:val="FootnoteReference"/>
          <w:rFonts w:ascii="Times New Roman" w:hAnsi="Times New Roman" w:cs="Times New Roman"/>
          <w:sz w:val="24"/>
          <w:szCs w:val="24"/>
        </w:rPr>
        <w:footnoteRef/>
      </w:r>
      <w:r w:rsidRPr="00FD1E24">
        <w:rPr>
          <w:rFonts w:ascii="Times New Roman" w:hAnsi="Times New Roman" w:cs="Times New Roman"/>
          <w:sz w:val="24"/>
          <w:szCs w:val="24"/>
        </w:rPr>
        <w:t xml:space="preserve"> For example, </w:t>
      </w:r>
      <w:proofErr w:type="spellStart"/>
      <w:r w:rsidRPr="00FD1E24">
        <w:rPr>
          <w:rFonts w:ascii="Times New Roman" w:hAnsi="Times New Roman" w:cs="Times New Roman"/>
          <w:sz w:val="24"/>
          <w:szCs w:val="24"/>
        </w:rPr>
        <w:t>Ariss</w:t>
      </w:r>
      <w:proofErr w:type="spellEnd"/>
      <w:r w:rsidRPr="00FD1E24">
        <w:rPr>
          <w:rFonts w:ascii="Times New Roman" w:hAnsi="Times New Roman" w:cs="Times New Roman"/>
          <w:sz w:val="24"/>
          <w:szCs w:val="24"/>
        </w:rPr>
        <w:t xml:space="preserve">, </w:t>
      </w:r>
      <w:proofErr w:type="spellStart"/>
      <w:r w:rsidRPr="00FD1E24">
        <w:rPr>
          <w:rFonts w:ascii="Times New Roman" w:hAnsi="Times New Roman" w:cs="Times New Roman"/>
          <w:sz w:val="24"/>
          <w:szCs w:val="24"/>
        </w:rPr>
        <w:t>Rezvanian</w:t>
      </w:r>
      <w:proofErr w:type="spellEnd"/>
      <w:r w:rsidRPr="00FD1E24">
        <w:rPr>
          <w:rFonts w:ascii="Times New Roman" w:hAnsi="Times New Roman" w:cs="Times New Roman"/>
          <w:sz w:val="24"/>
          <w:szCs w:val="24"/>
        </w:rPr>
        <w:t xml:space="preserve">, and </w:t>
      </w:r>
      <w:proofErr w:type="spellStart"/>
      <w:r w:rsidRPr="00FD1E24">
        <w:rPr>
          <w:rFonts w:ascii="Times New Roman" w:hAnsi="Times New Roman" w:cs="Times New Roman"/>
          <w:sz w:val="24"/>
          <w:szCs w:val="24"/>
        </w:rPr>
        <w:t>Mehdian</w:t>
      </w:r>
      <w:proofErr w:type="spellEnd"/>
      <w:r w:rsidRPr="00FD1E24">
        <w:rPr>
          <w:rFonts w:ascii="Times New Roman" w:hAnsi="Times New Roman" w:cs="Times New Roman"/>
          <w:sz w:val="24"/>
          <w:szCs w:val="24"/>
        </w:rPr>
        <w:t xml:space="preserve"> (2007) use a non-parametric approach and they compare and contrast the performance efficiency, technological progress and productivity growth of banks in GCC countries over the 1999-2004 period. Al-</w:t>
      </w:r>
      <w:proofErr w:type="spellStart"/>
      <w:r w:rsidRPr="00FD1E24">
        <w:rPr>
          <w:rFonts w:ascii="Times New Roman" w:hAnsi="Times New Roman" w:cs="Times New Roman"/>
          <w:sz w:val="24"/>
          <w:szCs w:val="24"/>
        </w:rPr>
        <w:t>Muhrrani</w:t>
      </w:r>
      <w:proofErr w:type="spellEnd"/>
      <w:r w:rsidRPr="00FD1E24">
        <w:rPr>
          <w:rFonts w:ascii="Times New Roman" w:hAnsi="Times New Roman" w:cs="Times New Roman"/>
          <w:sz w:val="24"/>
          <w:szCs w:val="24"/>
        </w:rPr>
        <w:t xml:space="preserve">, Matthews, and </w:t>
      </w:r>
      <w:proofErr w:type="spellStart"/>
      <w:r w:rsidRPr="00FD1E24">
        <w:rPr>
          <w:rFonts w:ascii="Times New Roman" w:hAnsi="Times New Roman" w:cs="Times New Roman"/>
          <w:sz w:val="24"/>
          <w:szCs w:val="24"/>
        </w:rPr>
        <w:t>Khabari</w:t>
      </w:r>
      <w:proofErr w:type="spellEnd"/>
      <w:r w:rsidRPr="00FD1E24">
        <w:rPr>
          <w:rFonts w:ascii="Times New Roman" w:hAnsi="Times New Roman" w:cs="Times New Roman"/>
          <w:sz w:val="24"/>
          <w:szCs w:val="24"/>
        </w:rPr>
        <w:t xml:space="preserve"> (2006) investigate the market structure of Arab GCC banking over the 1993-2002 </w:t>
      </w:r>
      <w:proofErr w:type="gramStart"/>
      <w:r w:rsidRPr="00FD1E24">
        <w:rPr>
          <w:rFonts w:ascii="Times New Roman" w:hAnsi="Times New Roman" w:cs="Times New Roman"/>
          <w:sz w:val="24"/>
          <w:szCs w:val="24"/>
        </w:rPr>
        <w:t>period</w:t>
      </w:r>
      <w:proofErr w:type="gramEnd"/>
      <w:r w:rsidRPr="00FD1E24">
        <w:rPr>
          <w:rFonts w:ascii="Times New Roman" w:hAnsi="Times New Roman" w:cs="Times New Roman"/>
          <w:sz w:val="24"/>
          <w:szCs w:val="24"/>
        </w:rPr>
        <w:t>.</w:t>
      </w:r>
    </w:p>
  </w:footnote>
  <w:footnote w:id="5">
    <w:p w:rsidR="00B505E1" w:rsidRPr="00FD1E24" w:rsidRDefault="00B505E1" w:rsidP="00B67B64">
      <w:pPr>
        <w:pStyle w:val="FootnoteText"/>
        <w:rPr>
          <w:rFonts w:ascii="Times New Roman" w:hAnsi="Times New Roman" w:cs="Times New Roman"/>
          <w:sz w:val="24"/>
          <w:szCs w:val="24"/>
        </w:rPr>
      </w:pPr>
      <w:r w:rsidRPr="00FD1E24">
        <w:rPr>
          <w:rStyle w:val="FootnoteReference"/>
          <w:rFonts w:ascii="Times New Roman" w:hAnsi="Times New Roman" w:cs="Times New Roman"/>
          <w:sz w:val="24"/>
          <w:szCs w:val="24"/>
        </w:rPr>
        <w:footnoteRef/>
      </w:r>
      <w:r w:rsidRPr="00FD1E24">
        <w:rPr>
          <w:rFonts w:ascii="Times New Roman" w:hAnsi="Times New Roman" w:cs="Times New Roman"/>
          <w:sz w:val="24"/>
          <w:szCs w:val="24"/>
        </w:rPr>
        <w:t xml:space="preserve"> Hughes and </w:t>
      </w:r>
      <w:proofErr w:type="spellStart"/>
      <w:r w:rsidRPr="00FD1E24">
        <w:rPr>
          <w:rFonts w:ascii="Times New Roman" w:hAnsi="Times New Roman" w:cs="Times New Roman"/>
          <w:sz w:val="24"/>
          <w:szCs w:val="24"/>
        </w:rPr>
        <w:t>Mester</w:t>
      </w:r>
      <w:proofErr w:type="spellEnd"/>
      <w:r w:rsidRPr="00FD1E24">
        <w:rPr>
          <w:rFonts w:ascii="Times New Roman" w:hAnsi="Times New Roman" w:cs="Times New Roman"/>
          <w:sz w:val="24"/>
          <w:szCs w:val="24"/>
        </w:rPr>
        <w:t xml:space="preserve"> (2008) provide an excellent literature review on theory, practice and evidence of efficiency in banking.</w:t>
      </w:r>
    </w:p>
  </w:footnote>
  <w:footnote w:id="6">
    <w:p w:rsidR="00B505E1" w:rsidRPr="00FD1E24" w:rsidRDefault="00B505E1" w:rsidP="00B67B64">
      <w:pPr>
        <w:pStyle w:val="FootnoteText"/>
        <w:rPr>
          <w:sz w:val="24"/>
          <w:szCs w:val="24"/>
        </w:rPr>
      </w:pPr>
      <w:r w:rsidRPr="00FD1E24">
        <w:rPr>
          <w:rStyle w:val="FootnoteReference"/>
          <w:rFonts w:ascii="Times New Roman" w:hAnsi="Times New Roman" w:cs="Times New Roman"/>
          <w:sz w:val="24"/>
          <w:szCs w:val="24"/>
        </w:rPr>
        <w:footnoteRef/>
      </w:r>
      <w:r w:rsidRPr="00FD1E24">
        <w:rPr>
          <w:rFonts w:ascii="Times New Roman" w:hAnsi="Times New Roman" w:cs="Times New Roman"/>
          <w:sz w:val="24"/>
          <w:szCs w:val="24"/>
        </w:rPr>
        <w:t xml:space="preserve"> There are several advantages using SFA over Data Envelopment Analysis (DEA): (1) SFA is based on a parametric (econometric) approach that distinguishes between inefficiency and other stochastic shocks, and therefore, it can be considered superior to non-parametric approach such as the DEA (Yildirim and </w:t>
      </w:r>
      <w:proofErr w:type="spellStart"/>
      <w:r w:rsidRPr="00FD1E24">
        <w:rPr>
          <w:rFonts w:ascii="Times New Roman" w:hAnsi="Times New Roman" w:cs="Times New Roman"/>
          <w:sz w:val="24"/>
          <w:szCs w:val="24"/>
        </w:rPr>
        <w:t>Philippatos</w:t>
      </w:r>
      <w:proofErr w:type="spellEnd"/>
      <w:r w:rsidRPr="00FD1E24">
        <w:rPr>
          <w:rFonts w:ascii="Times New Roman" w:hAnsi="Times New Roman" w:cs="Times New Roman"/>
          <w:sz w:val="24"/>
          <w:szCs w:val="24"/>
        </w:rPr>
        <w:t xml:space="preserve">, 2007); (2) prior research suggests that if one attempts to identify the impact of regulatory environment on banks’ cost and profit efficiency over time, then efficiency is better studied and modeled by combining the use of SFA with panel data ( e.g., </w:t>
      </w:r>
      <w:proofErr w:type="spellStart"/>
      <w:r w:rsidRPr="00FD1E24">
        <w:rPr>
          <w:rFonts w:ascii="Times New Roman" w:hAnsi="Times New Roman" w:cs="Times New Roman"/>
          <w:sz w:val="24"/>
          <w:szCs w:val="24"/>
        </w:rPr>
        <w:t>Baltagi</w:t>
      </w:r>
      <w:proofErr w:type="spellEnd"/>
      <w:r w:rsidRPr="00FD1E24">
        <w:rPr>
          <w:rFonts w:ascii="Times New Roman" w:hAnsi="Times New Roman" w:cs="Times New Roman"/>
          <w:sz w:val="24"/>
          <w:szCs w:val="24"/>
        </w:rPr>
        <w:t xml:space="preserve"> and Griffin, 1988; Cornwell et al., 1990; and </w:t>
      </w:r>
      <w:proofErr w:type="spellStart"/>
      <w:r w:rsidRPr="00FD1E24">
        <w:rPr>
          <w:rFonts w:ascii="Times New Roman" w:hAnsi="Times New Roman" w:cs="Times New Roman"/>
          <w:sz w:val="24"/>
          <w:szCs w:val="24"/>
        </w:rPr>
        <w:t>Kumbhakar</w:t>
      </w:r>
      <w:proofErr w:type="spellEnd"/>
      <w:r w:rsidRPr="00FD1E24">
        <w:rPr>
          <w:rFonts w:ascii="Times New Roman" w:hAnsi="Times New Roman" w:cs="Times New Roman"/>
          <w:sz w:val="24"/>
          <w:szCs w:val="24"/>
        </w:rPr>
        <w:t>, 1993); (3) the DEA does not suggest the cause or identify the determinants of inefficiencies.</w:t>
      </w:r>
    </w:p>
  </w:footnote>
  <w:footnote w:id="7">
    <w:p w:rsidR="00B505E1" w:rsidRDefault="00B505E1" w:rsidP="00B67B64">
      <w:pPr>
        <w:pStyle w:val="FootnoteText"/>
      </w:pPr>
      <w:r w:rsidRPr="00FD1E24">
        <w:rPr>
          <w:rStyle w:val="FootnoteReference"/>
          <w:rFonts w:ascii="Times New Roman" w:hAnsi="Times New Roman" w:cs="Times New Roman"/>
          <w:sz w:val="24"/>
          <w:szCs w:val="24"/>
        </w:rPr>
        <w:footnoteRef/>
      </w:r>
      <w:r w:rsidRPr="00FD1E24">
        <w:rPr>
          <w:rFonts w:ascii="Times New Roman" w:hAnsi="Times New Roman" w:cs="Times New Roman"/>
          <w:sz w:val="24"/>
          <w:szCs w:val="24"/>
        </w:rPr>
        <w:t xml:space="preserve"> The use of SFA with panel data provides more degree of freedom in the estimation of parameters. Given the possibility that managers may learn from prior knowledge about the production process, inefficiency may change in some persistent pattern over time (</w:t>
      </w:r>
      <w:proofErr w:type="spellStart"/>
      <w:r w:rsidRPr="00FD1E24">
        <w:rPr>
          <w:rFonts w:ascii="Times New Roman" w:hAnsi="Times New Roman" w:cs="Times New Roman"/>
          <w:sz w:val="24"/>
          <w:szCs w:val="24"/>
        </w:rPr>
        <w:t>Coelli</w:t>
      </w:r>
      <w:proofErr w:type="spellEnd"/>
      <w:r w:rsidRPr="00FD1E24">
        <w:rPr>
          <w:rFonts w:ascii="Times New Roman" w:hAnsi="Times New Roman" w:cs="Times New Roman"/>
          <w:sz w:val="24"/>
          <w:szCs w:val="24"/>
        </w:rPr>
        <w:t xml:space="preserve"> et al., 1999). In addition, regulatory or environmental factors may affect the performance of banks over time. Further, it is argued in the literature that measures of bank efficiency (cost </w:t>
      </w:r>
      <w:proofErr w:type="gramStart"/>
      <w:r w:rsidRPr="00FD1E24">
        <w:rPr>
          <w:rFonts w:ascii="Times New Roman" w:hAnsi="Times New Roman" w:cs="Times New Roman"/>
          <w:sz w:val="24"/>
          <w:szCs w:val="24"/>
        </w:rPr>
        <w:t>and  profit</w:t>
      </w:r>
      <w:proofErr w:type="gramEnd"/>
      <w:r w:rsidRPr="00FD1E24">
        <w:rPr>
          <w:rFonts w:ascii="Times New Roman" w:hAnsi="Times New Roman" w:cs="Times New Roman"/>
          <w:sz w:val="24"/>
          <w:szCs w:val="24"/>
        </w:rPr>
        <w:t xml:space="preserve"> efficiency) based on the parametric efficiency scores may contain additional information about the bank performance compared to the DEA efficiency scores (e.g., Berger and </w:t>
      </w:r>
      <w:proofErr w:type="spellStart"/>
      <w:r w:rsidRPr="00FD1E24">
        <w:rPr>
          <w:rFonts w:ascii="Times New Roman" w:hAnsi="Times New Roman" w:cs="Times New Roman"/>
          <w:sz w:val="24"/>
          <w:szCs w:val="24"/>
        </w:rPr>
        <w:t>Humprey</w:t>
      </w:r>
      <w:proofErr w:type="spellEnd"/>
      <w:r w:rsidRPr="00FD1E24">
        <w:rPr>
          <w:rFonts w:ascii="Times New Roman" w:hAnsi="Times New Roman" w:cs="Times New Roman"/>
          <w:sz w:val="24"/>
          <w:szCs w:val="24"/>
        </w:rPr>
        <w:t xml:space="preserve">, 1991; and Bauer et al., 1998) and thus, the SFA with panel data is considered to be appropriate for evaluating bank efficiency for specific set of N firms (e.g., Lang and </w:t>
      </w:r>
      <w:proofErr w:type="spellStart"/>
      <w:r w:rsidRPr="00FD1E24">
        <w:rPr>
          <w:rFonts w:ascii="Times New Roman" w:hAnsi="Times New Roman" w:cs="Times New Roman"/>
          <w:sz w:val="24"/>
          <w:szCs w:val="24"/>
        </w:rPr>
        <w:t>Welzel</w:t>
      </w:r>
      <w:proofErr w:type="spellEnd"/>
      <w:r w:rsidRPr="00FD1E24">
        <w:rPr>
          <w:rFonts w:ascii="Times New Roman" w:hAnsi="Times New Roman" w:cs="Times New Roman"/>
          <w:sz w:val="24"/>
          <w:szCs w:val="24"/>
        </w:rPr>
        <w:t xml:space="preserve">, 1996; and </w:t>
      </w:r>
      <w:proofErr w:type="spellStart"/>
      <w:r w:rsidRPr="00FD1E24">
        <w:rPr>
          <w:rFonts w:ascii="Times New Roman" w:hAnsi="Times New Roman" w:cs="Times New Roman"/>
          <w:sz w:val="24"/>
          <w:szCs w:val="24"/>
        </w:rPr>
        <w:t>Altunbas</w:t>
      </w:r>
      <w:proofErr w:type="spellEnd"/>
      <w:r w:rsidRPr="00FD1E24">
        <w:rPr>
          <w:rFonts w:ascii="Times New Roman" w:hAnsi="Times New Roman" w:cs="Times New Roman"/>
          <w:sz w:val="24"/>
          <w:szCs w:val="24"/>
        </w:rPr>
        <w:t xml:space="preserve"> et. al., 2000).</w:t>
      </w:r>
    </w:p>
  </w:footnote>
  <w:footnote w:id="8">
    <w:p w:rsidR="00B505E1" w:rsidRPr="00FD1E24" w:rsidRDefault="00B505E1" w:rsidP="00990ADB">
      <w:pPr>
        <w:widowControl/>
        <w:autoSpaceDE w:val="0"/>
        <w:autoSpaceDN w:val="0"/>
        <w:adjustRightInd w:val="0"/>
        <w:spacing w:line="240" w:lineRule="auto"/>
        <w:rPr>
          <w:rFonts w:ascii="Times New Roman" w:hAnsi="Times New Roman" w:cs="Times New Roman"/>
          <w:szCs w:val="24"/>
        </w:rPr>
      </w:pPr>
      <w:r w:rsidRPr="00FD1E24">
        <w:rPr>
          <w:rStyle w:val="FootnoteReference"/>
          <w:rFonts w:ascii="Times New Roman" w:hAnsi="Times New Roman" w:cs="Times New Roman"/>
          <w:szCs w:val="24"/>
        </w:rPr>
        <w:footnoteRef/>
      </w:r>
      <w:proofErr w:type="spellStart"/>
      <w:r w:rsidRPr="0011151A">
        <w:rPr>
          <w:rFonts w:ascii="Times New Roman" w:hAnsi="Times New Roman" w:cs="Times New Roman"/>
          <w:i/>
          <w:kern w:val="0"/>
          <w:szCs w:val="24"/>
        </w:rPr>
        <w:t>Shariah</w:t>
      </w:r>
      <w:proofErr w:type="spellEnd"/>
      <w:r w:rsidRPr="00FD1E24">
        <w:rPr>
          <w:rFonts w:ascii="Times New Roman" w:hAnsi="Times New Roman" w:cs="Times New Roman"/>
          <w:kern w:val="0"/>
          <w:szCs w:val="24"/>
        </w:rPr>
        <w:t xml:space="preserve"> is the Islamic Law and is based on the Quran. In some countries it is recognized as a source of legal law.</w:t>
      </w:r>
    </w:p>
  </w:footnote>
  <w:footnote w:id="9">
    <w:p w:rsidR="00B505E1" w:rsidRPr="001615A8" w:rsidRDefault="00B505E1" w:rsidP="00990ADB">
      <w:pPr>
        <w:widowControl/>
        <w:autoSpaceDE w:val="0"/>
        <w:autoSpaceDN w:val="0"/>
        <w:adjustRightInd w:val="0"/>
        <w:spacing w:line="240" w:lineRule="auto"/>
        <w:rPr>
          <w:rFonts w:ascii="Times New Roman" w:hAnsi="Times New Roman" w:cs="Times New Roman"/>
          <w:sz w:val="20"/>
          <w:szCs w:val="20"/>
        </w:rPr>
      </w:pPr>
      <w:r w:rsidRPr="00FD1E24">
        <w:rPr>
          <w:rStyle w:val="FootnoteReference"/>
          <w:rFonts w:ascii="Times New Roman" w:hAnsi="Times New Roman" w:cs="Times New Roman"/>
          <w:szCs w:val="24"/>
        </w:rPr>
        <w:footnoteRef/>
      </w:r>
      <w:proofErr w:type="spellStart"/>
      <w:r w:rsidRPr="00FD1E24">
        <w:rPr>
          <w:rFonts w:ascii="Times New Roman" w:hAnsi="Times New Roman" w:cs="Times New Roman"/>
          <w:kern w:val="0"/>
          <w:szCs w:val="24"/>
        </w:rPr>
        <w:t>Mudarabah</w:t>
      </w:r>
      <w:proofErr w:type="spellEnd"/>
      <w:r w:rsidRPr="00FD1E24">
        <w:rPr>
          <w:rFonts w:ascii="Times New Roman" w:hAnsi="Times New Roman" w:cs="Times New Roman"/>
          <w:kern w:val="0"/>
          <w:szCs w:val="24"/>
        </w:rPr>
        <w:t xml:space="preserve"> and </w:t>
      </w:r>
      <w:proofErr w:type="spellStart"/>
      <w:r w:rsidRPr="00FD1E24">
        <w:rPr>
          <w:rFonts w:ascii="Times New Roman" w:hAnsi="Times New Roman" w:cs="Times New Roman"/>
          <w:kern w:val="0"/>
          <w:szCs w:val="24"/>
        </w:rPr>
        <w:t>Musharakah</w:t>
      </w:r>
      <w:proofErr w:type="spellEnd"/>
      <w:r w:rsidRPr="00FD1E24">
        <w:rPr>
          <w:rFonts w:ascii="Times New Roman" w:hAnsi="Times New Roman" w:cs="Times New Roman"/>
          <w:kern w:val="0"/>
          <w:szCs w:val="24"/>
        </w:rPr>
        <w:t xml:space="preserve"> are some contracts that are based on the profit-and- loss sharing technique (PLS). In </w:t>
      </w:r>
      <w:proofErr w:type="spellStart"/>
      <w:r w:rsidRPr="00FD1E24">
        <w:rPr>
          <w:rFonts w:ascii="Times New Roman" w:hAnsi="Times New Roman" w:cs="Times New Roman"/>
          <w:kern w:val="0"/>
          <w:szCs w:val="24"/>
        </w:rPr>
        <w:t>Mudarabah</w:t>
      </w:r>
      <w:proofErr w:type="spellEnd"/>
      <w:r w:rsidRPr="00FD1E24">
        <w:rPr>
          <w:rFonts w:ascii="Times New Roman" w:hAnsi="Times New Roman" w:cs="Times New Roman"/>
          <w:kern w:val="0"/>
          <w:szCs w:val="24"/>
        </w:rPr>
        <w:t xml:space="preserve"> an investor (usually an Islamic bank) and an entrepreneur (individual or institutional) enter a joint venture where the investor provides the necessary funds and the entrepreneur provides knowhow. Both parties ex-ante agrees to a profit-sharing plan. </w:t>
      </w:r>
      <w:proofErr w:type="spellStart"/>
      <w:r w:rsidRPr="00FD1E24">
        <w:rPr>
          <w:rFonts w:ascii="Times New Roman" w:hAnsi="Times New Roman" w:cs="Times New Roman"/>
          <w:kern w:val="0"/>
          <w:szCs w:val="24"/>
        </w:rPr>
        <w:t>Murabahah</w:t>
      </w:r>
      <w:proofErr w:type="spellEnd"/>
      <w:r w:rsidRPr="00FD1E24">
        <w:rPr>
          <w:rFonts w:ascii="Times New Roman" w:hAnsi="Times New Roman" w:cs="Times New Roman"/>
          <w:kern w:val="0"/>
          <w:szCs w:val="24"/>
        </w:rPr>
        <w:t>, in contrast, is a contract based on cost-plus-profit approach.</w:t>
      </w:r>
      <w:r w:rsidRPr="001615A8">
        <w:rPr>
          <w:rFonts w:ascii="Times New Roman" w:hAnsi="Times New Roman" w:cs="Times New Roman"/>
          <w:kern w:val="0"/>
          <w:sz w:val="20"/>
          <w:szCs w:val="20"/>
        </w:rPr>
        <w:t xml:space="preserve">  </w:t>
      </w:r>
    </w:p>
  </w:footnote>
  <w:footnote w:id="10">
    <w:p w:rsidR="00B505E1" w:rsidRPr="00FD1E24" w:rsidRDefault="00B505E1" w:rsidP="00990ADB">
      <w:pPr>
        <w:widowControl/>
        <w:autoSpaceDE w:val="0"/>
        <w:autoSpaceDN w:val="0"/>
        <w:adjustRightInd w:val="0"/>
        <w:spacing w:line="240" w:lineRule="auto"/>
        <w:rPr>
          <w:rFonts w:ascii="Times New Roman" w:hAnsi="Times New Roman" w:cs="Times New Roman"/>
          <w:szCs w:val="24"/>
        </w:rPr>
      </w:pPr>
      <w:r w:rsidRPr="00FD1E24">
        <w:rPr>
          <w:rStyle w:val="FootnoteReference"/>
          <w:rFonts w:ascii="Times New Roman" w:hAnsi="Times New Roman" w:cs="Times New Roman"/>
          <w:szCs w:val="24"/>
        </w:rPr>
        <w:footnoteRef/>
      </w:r>
      <w:r w:rsidRPr="00FD1E24">
        <w:rPr>
          <w:rFonts w:ascii="Times New Roman" w:hAnsi="Times New Roman" w:cs="Times New Roman"/>
          <w:szCs w:val="24"/>
        </w:rPr>
        <w:t xml:space="preserve"> </w:t>
      </w:r>
      <w:r w:rsidRPr="00FD1E24">
        <w:rPr>
          <w:rFonts w:ascii="Times New Roman" w:hAnsi="Times New Roman" w:cs="Times New Roman"/>
          <w:kern w:val="0"/>
          <w:szCs w:val="24"/>
        </w:rPr>
        <w:t xml:space="preserve">Fee-based services include the widely used contracts of </w:t>
      </w:r>
      <w:proofErr w:type="spellStart"/>
      <w:r w:rsidRPr="00FD1E24">
        <w:rPr>
          <w:rFonts w:ascii="Times New Roman" w:hAnsi="Times New Roman" w:cs="Times New Roman"/>
          <w:kern w:val="0"/>
          <w:szCs w:val="24"/>
        </w:rPr>
        <w:t>Murabahah</w:t>
      </w:r>
      <w:proofErr w:type="spellEnd"/>
      <w:r w:rsidRPr="00FD1E24">
        <w:rPr>
          <w:rFonts w:ascii="Times New Roman" w:hAnsi="Times New Roman" w:cs="Times New Roman"/>
          <w:kern w:val="0"/>
          <w:szCs w:val="24"/>
        </w:rPr>
        <w:t xml:space="preserve"> and </w:t>
      </w:r>
      <w:proofErr w:type="spellStart"/>
      <w:r w:rsidRPr="00FD1E24">
        <w:rPr>
          <w:rFonts w:ascii="Times New Roman" w:hAnsi="Times New Roman" w:cs="Times New Roman"/>
          <w:kern w:val="0"/>
          <w:szCs w:val="24"/>
        </w:rPr>
        <w:t>Ijarah</w:t>
      </w:r>
      <w:proofErr w:type="spellEnd"/>
      <w:r w:rsidRPr="00FD1E24">
        <w:rPr>
          <w:rFonts w:ascii="Times New Roman" w:hAnsi="Times New Roman" w:cs="Times New Roman"/>
          <w:kern w:val="0"/>
          <w:szCs w:val="24"/>
        </w:rPr>
        <w:t xml:space="preserve">.  The bank arranges to sell a good to a customer and it charges a risk-adjusted fee. </w:t>
      </w:r>
      <w:proofErr w:type="spellStart"/>
      <w:r w:rsidRPr="00FD1E24">
        <w:rPr>
          <w:rFonts w:ascii="Times New Roman" w:hAnsi="Times New Roman" w:cs="Times New Roman"/>
          <w:kern w:val="0"/>
          <w:szCs w:val="24"/>
        </w:rPr>
        <w:t>Ijarah</w:t>
      </w:r>
      <w:proofErr w:type="spellEnd"/>
      <w:r w:rsidRPr="00FD1E24">
        <w:rPr>
          <w:rFonts w:ascii="Times New Roman" w:hAnsi="Times New Roman" w:cs="Times New Roman"/>
          <w:kern w:val="0"/>
          <w:szCs w:val="24"/>
        </w:rPr>
        <w:t xml:space="preserve"> is a lease contract where the bank leases an asset to a customer who pays fees to use the asset.</w:t>
      </w:r>
    </w:p>
  </w:footnote>
  <w:footnote w:id="11">
    <w:p w:rsidR="00B505E1" w:rsidRPr="00DE442F" w:rsidRDefault="00B505E1">
      <w:pPr>
        <w:pStyle w:val="FootnoteText"/>
        <w:rPr>
          <w:rFonts w:ascii="Times New Roman" w:hAnsi="Times New Roman" w:cs="Times New Roman"/>
          <w:sz w:val="24"/>
          <w:szCs w:val="24"/>
        </w:rPr>
      </w:pPr>
      <w:r w:rsidRPr="00DE442F">
        <w:rPr>
          <w:rStyle w:val="FootnoteReference"/>
          <w:rFonts w:ascii="Times New Roman" w:hAnsi="Times New Roman" w:cs="Times New Roman"/>
          <w:sz w:val="24"/>
          <w:szCs w:val="24"/>
        </w:rPr>
        <w:footnoteRef/>
      </w:r>
      <w:r w:rsidRPr="00DE442F">
        <w:rPr>
          <w:rFonts w:ascii="Times New Roman" w:hAnsi="Times New Roman" w:cs="Times New Roman"/>
          <w:sz w:val="24"/>
          <w:szCs w:val="24"/>
        </w:rPr>
        <w:t xml:space="preserve"> </w:t>
      </w:r>
      <w:proofErr w:type="spellStart"/>
      <w:r w:rsidRPr="00DE442F">
        <w:rPr>
          <w:rFonts w:ascii="Times New Roman" w:hAnsi="Times New Roman" w:cs="Times New Roman"/>
          <w:sz w:val="24"/>
          <w:szCs w:val="24"/>
        </w:rPr>
        <w:t>Carvallo</w:t>
      </w:r>
      <w:proofErr w:type="spellEnd"/>
      <w:r w:rsidRPr="00DE442F">
        <w:rPr>
          <w:rFonts w:ascii="Times New Roman" w:hAnsi="Times New Roman" w:cs="Times New Roman"/>
          <w:sz w:val="24"/>
          <w:szCs w:val="24"/>
        </w:rPr>
        <w:t xml:space="preserve"> and </w:t>
      </w:r>
      <w:proofErr w:type="spellStart"/>
      <w:r w:rsidRPr="00DE442F">
        <w:rPr>
          <w:rFonts w:ascii="Times New Roman" w:hAnsi="Times New Roman" w:cs="Times New Roman"/>
          <w:sz w:val="24"/>
          <w:szCs w:val="24"/>
        </w:rPr>
        <w:t>Kasman</w:t>
      </w:r>
      <w:proofErr w:type="spellEnd"/>
      <w:r>
        <w:rPr>
          <w:rFonts w:ascii="Times New Roman" w:hAnsi="Times New Roman" w:cs="Times New Roman"/>
          <w:sz w:val="24"/>
          <w:szCs w:val="24"/>
        </w:rPr>
        <w:t xml:space="preserve"> (2005) document a wide range of estimates of inefficiency across countries. Bonin et al. (2005) find that country-specific factor is significant in explaining differences in inefficiency measures.</w:t>
      </w:r>
    </w:p>
  </w:footnote>
  <w:footnote w:id="12">
    <w:p w:rsidR="00B505E1" w:rsidRPr="00CD5E15" w:rsidRDefault="00B505E1" w:rsidP="00CD5E15">
      <w:pPr>
        <w:pStyle w:val="FootnoteText"/>
        <w:rPr>
          <w:rFonts w:ascii="Times New Roman" w:hAnsi="Times New Roman" w:cs="Times New Roman"/>
          <w:sz w:val="24"/>
          <w:szCs w:val="24"/>
        </w:rPr>
      </w:pPr>
      <w:r>
        <w:rPr>
          <w:rStyle w:val="FootnoteReference"/>
        </w:rPr>
        <w:footnoteRef/>
      </w:r>
      <w:r>
        <w:t xml:space="preserve"> </w:t>
      </w:r>
      <w:r w:rsidRPr="00CD5E15">
        <w:rPr>
          <w:rFonts w:ascii="Times New Roman" w:hAnsi="Times New Roman" w:cs="Times New Roman"/>
          <w:sz w:val="24"/>
          <w:szCs w:val="24"/>
        </w:rPr>
        <w:t xml:space="preserve">For example, see Allen and Rai, 1996; Rai, 1996; Berger and </w:t>
      </w:r>
      <w:proofErr w:type="spellStart"/>
      <w:r w:rsidRPr="00CD5E15">
        <w:rPr>
          <w:rFonts w:ascii="Times New Roman" w:hAnsi="Times New Roman" w:cs="Times New Roman"/>
          <w:sz w:val="24"/>
          <w:szCs w:val="24"/>
        </w:rPr>
        <w:t>DeYoung</w:t>
      </w:r>
      <w:proofErr w:type="spellEnd"/>
      <w:r w:rsidRPr="00CD5E15">
        <w:rPr>
          <w:rFonts w:ascii="Times New Roman" w:hAnsi="Times New Roman" w:cs="Times New Roman"/>
          <w:sz w:val="24"/>
          <w:szCs w:val="24"/>
        </w:rPr>
        <w:t xml:space="preserve">, 1997; Berger and </w:t>
      </w:r>
      <w:proofErr w:type="spellStart"/>
      <w:r w:rsidRPr="00CD5E15">
        <w:rPr>
          <w:rFonts w:ascii="Times New Roman" w:hAnsi="Times New Roman" w:cs="Times New Roman"/>
          <w:sz w:val="24"/>
          <w:szCs w:val="24"/>
        </w:rPr>
        <w:t>Mester</w:t>
      </w:r>
      <w:proofErr w:type="spellEnd"/>
      <w:r w:rsidRPr="00CD5E15">
        <w:rPr>
          <w:rFonts w:ascii="Times New Roman" w:hAnsi="Times New Roman" w:cs="Times New Roman"/>
          <w:sz w:val="24"/>
          <w:szCs w:val="24"/>
        </w:rPr>
        <w:t xml:space="preserve">, 1997; </w:t>
      </w:r>
      <w:proofErr w:type="spellStart"/>
      <w:r w:rsidRPr="00CD5E15">
        <w:rPr>
          <w:rFonts w:ascii="Times New Roman" w:hAnsi="Times New Roman" w:cs="Times New Roman"/>
          <w:sz w:val="24"/>
          <w:szCs w:val="24"/>
        </w:rPr>
        <w:t>Resti</w:t>
      </w:r>
      <w:proofErr w:type="spellEnd"/>
      <w:r w:rsidRPr="00CD5E15">
        <w:rPr>
          <w:rFonts w:ascii="Times New Roman" w:hAnsi="Times New Roman" w:cs="Times New Roman"/>
          <w:sz w:val="24"/>
          <w:szCs w:val="24"/>
        </w:rPr>
        <w:t xml:space="preserve">, 1997; </w:t>
      </w:r>
      <w:proofErr w:type="spellStart"/>
      <w:r w:rsidRPr="00CD5E15">
        <w:rPr>
          <w:rFonts w:ascii="Times New Roman" w:hAnsi="Times New Roman" w:cs="Times New Roman"/>
          <w:sz w:val="24"/>
          <w:szCs w:val="24"/>
        </w:rPr>
        <w:t>DeYoung</w:t>
      </w:r>
      <w:proofErr w:type="spellEnd"/>
      <w:r w:rsidRPr="00CD5E15">
        <w:rPr>
          <w:rFonts w:ascii="Times New Roman" w:hAnsi="Times New Roman" w:cs="Times New Roman"/>
          <w:sz w:val="24"/>
          <w:szCs w:val="24"/>
        </w:rPr>
        <w:t xml:space="preserve"> and </w:t>
      </w:r>
      <w:proofErr w:type="spellStart"/>
      <w:r w:rsidRPr="00CD5E15">
        <w:rPr>
          <w:rFonts w:ascii="Times New Roman" w:hAnsi="Times New Roman" w:cs="Times New Roman"/>
          <w:sz w:val="24"/>
          <w:szCs w:val="24"/>
        </w:rPr>
        <w:t>Hasan</w:t>
      </w:r>
      <w:proofErr w:type="spellEnd"/>
      <w:r w:rsidRPr="00CD5E15">
        <w:rPr>
          <w:rFonts w:ascii="Times New Roman" w:hAnsi="Times New Roman" w:cs="Times New Roman"/>
          <w:sz w:val="24"/>
          <w:szCs w:val="24"/>
        </w:rPr>
        <w:t xml:space="preserve">, 1998; Lieu et al., 2005; Berger, </w:t>
      </w:r>
      <w:proofErr w:type="spellStart"/>
      <w:r w:rsidRPr="00CD5E15">
        <w:rPr>
          <w:rFonts w:ascii="Times New Roman" w:hAnsi="Times New Roman" w:cs="Times New Roman"/>
          <w:sz w:val="24"/>
          <w:szCs w:val="24"/>
        </w:rPr>
        <w:t>Hasan</w:t>
      </w:r>
      <w:proofErr w:type="spellEnd"/>
      <w:r w:rsidRPr="00CD5E15">
        <w:rPr>
          <w:rFonts w:ascii="Times New Roman" w:hAnsi="Times New Roman" w:cs="Times New Roman"/>
          <w:sz w:val="24"/>
          <w:szCs w:val="24"/>
        </w:rPr>
        <w:t>, and Zhou, 2010, among others use two-step approach to estimate cost or profit efficiency.</w:t>
      </w:r>
    </w:p>
  </w:footnote>
  <w:footnote w:id="13">
    <w:p w:rsidR="00B505E1" w:rsidRPr="00CD5E15" w:rsidRDefault="00B505E1" w:rsidP="00B0116B">
      <w:pPr>
        <w:pStyle w:val="FootnoteText"/>
        <w:rPr>
          <w:rFonts w:ascii="Times New Roman" w:hAnsi="Times New Roman" w:cs="Times New Roman"/>
          <w:sz w:val="24"/>
          <w:szCs w:val="24"/>
        </w:rPr>
      </w:pPr>
      <w:r w:rsidRPr="004B7C70">
        <w:rPr>
          <w:rStyle w:val="FootnoteReference"/>
          <w:rFonts w:ascii="Times New Roman" w:hAnsi="Times New Roman" w:cs="Times New Roman"/>
        </w:rPr>
        <w:footnoteRef/>
      </w:r>
      <w:r w:rsidRPr="004B7C70">
        <w:rPr>
          <w:rFonts w:ascii="Times New Roman" w:hAnsi="Times New Roman" w:cs="Times New Roman"/>
        </w:rPr>
        <w:t xml:space="preserve"> </w:t>
      </w:r>
      <w:r w:rsidRPr="00CD5E15">
        <w:rPr>
          <w:rFonts w:ascii="Times New Roman" w:hAnsi="Times New Roman" w:cs="Times New Roman"/>
          <w:sz w:val="24"/>
          <w:szCs w:val="24"/>
        </w:rPr>
        <w:t>Wang and Schmidt (2002) show that the two-step estimation procedure can lead to biased results for two reasons. First, the model estimated in the first step is misspecified if input prices (e.g., cost of labor and cost of capital) and firm characteristics (e.g., size, ownership, and loan quality) are correlated</w:t>
      </w:r>
      <w:r w:rsidRPr="00CD5E15">
        <w:rPr>
          <w:rFonts w:ascii="Times New Roman" w:hAnsi="Times New Roman" w:cs="Times New Roman"/>
          <w:color w:val="7030A0"/>
          <w:sz w:val="24"/>
          <w:szCs w:val="24"/>
        </w:rPr>
        <w:t>.</w:t>
      </w:r>
      <w:r w:rsidRPr="00CD5E15">
        <w:rPr>
          <w:rFonts w:ascii="Times New Roman" w:hAnsi="Times New Roman" w:cs="Times New Roman"/>
          <w:sz w:val="24"/>
          <w:szCs w:val="24"/>
        </w:rPr>
        <w:t xml:space="preserve"> Second, they argue that if the dependence of inefficiency on firm characteristics is ignored, the estimated firm-level efficiencies are “spuriously under-dispersed”, which causes the second-step estimate of the effect of firm characteristics on inefficiency to be biased downward. Wang and Schmidt (2002) also provide Monte Carlo evidence showing that the bias related to the two-step estimation procedure can be very severe. For example, see Wang and Schmidt (2002) for a detailed discussion on “Why is the Two-Step Estimator Biased?”</w:t>
      </w:r>
    </w:p>
    <w:p w:rsidR="00B505E1" w:rsidRPr="00820C92" w:rsidRDefault="00B505E1" w:rsidP="00B0116B">
      <w:pPr>
        <w:pStyle w:val="FootnoteText"/>
        <w:rPr>
          <w:rFonts w:ascii="Times New Roman" w:hAnsi="Times New Roman" w:cs="Times New Roman"/>
        </w:rPr>
      </w:pPr>
    </w:p>
  </w:footnote>
  <w:footnote w:id="14">
    <w:p w:rsidR="00B505E1" w:rsidRDefault="00B505E1">
      <w:pPr>
        <w:pStyle w:val="FootnoteText"/>
      </w:pPr>
      <w:r>
        <w:rPr>
          <w:rStyle w:val="FootnoteReference"/>
        </w:rPr>
        <w:footnoteRef/>
      </w:r>
      <w:r>
        <w:t xml:space="preserve"> </w:t>
      </w:r>
      <w:proofErr w:type="spellStart"/>
      <w:r w:rsidRPr="00FD1E24">
        <w:rPr>
          <w:rFonts w:ascii="Times New Roman" w:hAnsi="Times New Roman" w:cs="Times New Roman"/>
          <w:sz w:val="24"/>
          <w:szCs w:val="24"/>
        </w:rPr>
        <w:t>Kumbhakar</w:t>
      </w:r>
      <w:proofErr w:type="spellEnd"/>
      <w:r w:rsidRPr="00FD1E24">
        <w:rPr>
          <w:rFonts w:ascii="Times New Roman" w:hAnsi="Times New Roman" w:cs="Times New Roman"/>
          <w:sz w:val="24"/>
          <w:szCs w:val="24"/>
        </w:rPr>
        <w:t xml:space="preserve"> and </w:t>
      </w:r>
      <w:proofErr w:type="spellStart"/>
      <w:r w:rsidRPr="00FD1E24">
        <w:rPr>
          <w:rFonts w:ascii="Times New Roman" w:hAnsi="Times New Roman" w:cs="Times New Roman"/>
          <w:sz w:val="24"/>
          <w:szCs w:val="24"/>
        </w:rPr>
        <w:t>Hjalmarsson</w:t>
      </w:r>
      <w:proofErr w:type="spellEnd"/>
      <w:r w:rsidRPr="00FD1E24">
        <w:rPr>
          <w:rFonts w:ascii="Times New Roman" w:hAnsi="Times New Roman" w:cs="Times New Roman"/>
          <w:sz w:val="24"/>
          <w:szCs w:val="24"/>
        </w:rPr>
        <w:t xml:space="preserve"> (1995) emphasize that the failure to include firm-specific variables in the SF model is likely to bias the estimate of the one-sided error</w:t>
      </w:r>
      <w:proofErr w:type="gramStart"/>
      <w:r w:rsidRPr="00FD1E24">
        <w:rPr>
          <w:rFonts w:ascii="Times New Roman" w:hAnsi="Times New Roman" w:cs="Times New Roman"/>
          <w:sz w:val="24"/>
          <w:szCs w:val="24"/>
        </w:rPr>
        <w:t xml:space="preserve">, </w:t>
      </w:r>
      <w:proofErr w:type="gramEnd"/>
      <w:r w:rsidRPr="00FD1E24">
        <w:rPr>
          <w:rFonts w:ascii="Times New Roman" w:hAnsi="Times New Roman" w:cs="Times New Roman"/>
          <w:position w:val="-12"/>
          <w:sz w:val="24"/>
          <w:szCs w:val="24"/>
        </w:rPr>
        <w:object w:dxaOrig="279" w:dyaOrig="360">
          <v:shape id="_x0000_i1091" type="#_x0000_t75" style="width:14.25pt;height:18pt" o:ole="">
            <v:imagedata r:id="rId1" o:title=""/>
          </v:shape>
          <o:OLEObject Type="Embed" ProgID="Equation.DSMT4" ShapeID="_x0000_i1091" DrawAspect="Content" ObjectID="_1394296572" r:id="rId2"/>
        </w:object>
      </w:r>
      <w:r w:rsidRPr="00FD1E24">
        <w:rPr>
          <w:rFonts w:ascii="Times New Roman" w:hAnsi="Times New Roman" w:cs="Times New Roman"/>
          <w:sz w:val="24"/>
          <w:szCs w:val="24"/>
        </w:rPr>
        <w:t>, which is one of the important elements of the estimation process. The reason for the bias is that the measure of inefficiency is based on the composite error term, which in turn is influenced by the parameter estimates of the frontier model.</w:t>
      </w:r>
    </w:p>
  </w:footnote>
  <w:footnote w:id="15">
    <w:p w:rsidR="00B505E1" w:rsidRPr="00FD1E24" w:rsidRDefault="00B505E1" w:rsidP="00B0116B">
      <w:pPr>
        <w:pStyle w:val="FootnoteText"/>
        <w:rPr>
          <w:rFonts w:ascii="Times New Roman" w:hAnsi="Times New Roman" w:cs="Times New Roman"/>
          <w:sz w:val="24"/>
          <w:szCs w:val="24"/>
        </w:rPr>
      </w:pPr>
      <w:r w:rsidRPr="00FD1E24">
        <w:rPr>
          <w:rStyle w:val="FootnoteReference"/>
          <w:rFonts w:ascii="Times New Roman" w:hAnsi="Times New Roman" w:cs="Times New Roman"/>
          <w:sz w:val="24"/>
          <w:szCs w:val="24"/>
        </w:rPr>
        <w:footnoteRef/>
      </w:r>
      <w:r w:rsidRPr="00FD1E24">
        <w:rPr>
          <w:rFonts w:ascii="Times New Roman" w:hAnsi="Times New Roman" w:cs="Times New Roman"/>
          <w:sz w:val="24"/>
          <w:szCs w:val="24"/>
        </w:rPr>
        <w:t xml:space="preserve"> See Berger, </w:t>
      </w:r>
      <w:proofErr w:type="spellStart"/>
      <w:r w:rsidRPr="00FD1E24">
        <w:rPr>
          <w:rFonts w:ascii="Times New Roman" w:hAnsi="Times New Roman" w:cs="Times New Roman"/>
          <w:sz w:val="24"/>
          <w:szCs w:val="24"/>
        </w:rPr>
        <w:t>Hanweck</w:t>
      </w:r>
      <w:proofErr w:type="spellEnd"/>
      <w:r w:rsidRPr="00FD1E24">
        <w:rPr>
          <w:rFonts w:ascii="Times New Roman" w:hAnsi="Times New Roman" w:cs="Times New Roman"/>
          <w:sz w:val="24"/>
          <w:szCs w:val="24"/>
        </w:rPr>
        <w:t xml:space="preserve"> and Humphrey (1987) for a detailed discussion on the issue.</w:t>
      </w:r>
    </w:p>
  </w:footnote>
  <w:footnote w:id="16">
    <w:p w:rsidR="00B505E1" w:rsidRDefault="00B505E1">
      <w:pPr>
        <w:pStyle w:val="FootnoteText"/>
      </w:pPr>
      <w:r w:rsidRPr="00CC2AA6">
        <w:rPr>
          <w:rStyle w:val="FootnoteReference"/>
          <w:rFonts w:ascii="Times New Roman" w:hAnsi="Times New Roman" w:cs="Times New Roman"/>
          <w:sz w:val="24"/>
          <w:szCs w:val="24"/>
        </w:rPr>
        <w:footnoteRef/>
      </w:r>
      <w:r>
        <w:t xml:space="preserve"> </w:t>
      </w:r>
      <w:proofErr w:type="spellStart"/>
      <w:r w:rsidRPr="00CC2AA6">
        <w:rPr>
          <w:rFonts w:ascii="Times New Roman" w:hAnsi="Times New Roman" w:cs="Times New Roman"/>
          <w:sz w:val="24"/>
          <w:szCs w:val="24"/>
        </w:rPr>
        <w:t>BankScope</w:t>
      </w:r>
      <w:proofErr w:type="spellEnd"/>
      <w:r w:rsidRPr="00CC2AA6">
        <w:rPr>
          <w:rFonts w:ascii="Times New Roman" w:hAnsi="Times New Roman" w:cs="Times New Roman"/>
          <w:sz w:val="24"/>
          <w:szCs w:val="24"/>
        </w:rPr>
        <w:t xml:space="preserve"> database does not provide complete data for all Islamic banks operating in these six GCC countries. Hence those banks with incomplete information are dropped from our sample.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EF"/>
    <w:rsid w:val="00002BBA"/>
    <w:rsid w:val="000129D1"/>
    <w:rsid w:val="000157A7"/>
    <w:rsid w:val="00020C95"/>
    <w:rsid w:val="00034D7B"/>
    <w:rsid w:val="0004156F"/>
    <w:rsid w:val="00041C02"/>
    <w:rsid w:val="00045080"/>
    <w:rsid w:val="00047730"/>
    <w:rsid w:val="00056E86"/>
    <w:rsid w:val="00071643"/>
    <w:rsid w:val="000823A6"/>
    <w:rsid w:val="000939F5"/>
    <w:rsid w:val="00094B30"/>
    <w:rsid w:val="00095239"/>
    <w:rsid w:val="000A6F12"/>
    <w:rsid w:val="000B13C1"/>
    <w:rsid w:val="000C4F81"/>
    <w:rsid w:val="000D034C"/>
    <w:rsid w:val="000F1E38"/>
    <w:rsid w:val="000F2159"/>
    <w:rsid w:val="00100077"/>
    <w:rsid w:val="00100EEF"/>
    <w:rsid w:val="0011025E"/>
    <w:rsid w:val="0011151A"/>
    <w:rsid w:val="00115A7E"/>
    <w:rsid w:val="00115EA4"/>
    <w:rsid w:val="00124535"/>
    <w:rsid w:val="00131638"/>
    <w:rsid w:val="0013303E"/>
    <w:rsid w:val="00143E03"/>
    <w:rsid w:val="00145224"/>
    <w:rsid w:val="00147838"/>
    <w:rsid w:val="001505B7"/>
    <w:rsid w:val="001512CF"/>
    <w:rsid w:val="001522AF"/>
    <w:rsid w:val="001538F4"/>
    <w:rsid w:val="001543B0"/>
    <w:rsid w:val="001559FD"/>
    <w:rsid w:val="001615A8"/>
    <w:rsid w:val="00162BC0"/>
    <w:rsid w:val="0016347F"/>
    <w:rsid w:val="0016662D"/>
    <w:rsid w:val="00171E55"/>
    <w:rsid w:val="001748CF"/>
    <w:rsid w:val="001957F1"/>
    <w:rsid w:val="001A0299"/>
    <w:rsid w:val="001A23F9"/>
    <w:rsid w:val="001A2980"/>
    <w:rsid w:val="001A4A24"/>
    <w:rsid w:val="001A7E6E"/>
    <w:rsid w:val="001D19BF"/>
    <w:rsid w:val="001D4E6F"/>
    <w:rsid w:val="001F6498"/>
    <w:rsid w:val="0020061E"/>
    <w:rsid w:val="002217CB"/>
    <w:rsid w:val="002272A6"/>
    <w:rsid w:val="0023308B"/>
    <w:rsid w:val="00241BC4"/>
    <w:rsid w:val="00246252"/>
    <w:rsid w:val="00252367"/>
    <w:rsid w:val="002B03C2"/>
    <w:rsid w:val="002B1692"/>
    <w:rsid w:val="002B1ED2"/>
    <w:rsid w:val="002C106E"/>
    <w:rsid w:val="002C6F35"/>
    <w:rsid w:val="002C7E0F"/>
    <w:rsid w:val="002D1C71"/>
    <w:rsid w:val="00300A84"/>
    <w:rsid w:val="00300BA1"/>
    <w:rsid w:val="00305137"/>
    <w:rsid w:val="0032378E"/>
    <w:rsid w:val="00324566"/>
    <w:rsid w:val="0032757A"/>
    <w:rsid w:val="00327C72"/>
    <w:rsid w:val="003304CE"/>
    <w:rsid w:val="003403C1"/>
    <w:rsid w:val="003527F8"/>
    <w:rsid w:val="003548B1"/>
    <w:rsid w:val="00355FCA"/>
    <w:rsid w:val="00360684"/>
    <w:rsid w:val="003721E3"/>
    <w:rsid w:val="00377706"/>
    <w:rsid w:val="003807CF"/>
    <w:rsid w:val="00391CAF"/>
    <w:rsid w:val="00395647"/>
    <w:rsid w:val="003A4150"/>
    <w:rsid w:val="003A51A4"/>
    <w:rsid w:val="003A7E96"/>
    <w:rsid w:val="003C072E"/>
    <w:rsid w:val="003D3080"/>
    <w:rsid w:val="003E4D48"/>
    <w:rsid w:val="003E76E8"/>
    <w:rsid w:val="003F11A3"/>
    <w:rsid w:val="003F6A64"/>
    <w:rsid w:val="003F6F10"/>
    <w:rsid w:val="00416564"/>
    <w:rsid w:val="00420154"/>
    <w:rsid w:val="004202A3"/>
    <w:rsid w:val="0042659D"/>
    <w:rsid w:val="004343AC"/>
    <w:rsid w:val="004346CA"/>
    <w:rsid w:val="00446973"/>
    <w:rsid w:val="00457333"/>
    <w:rsid w:val="00457891"/>
    <w:rsid w:val="00467E17"/>
    <w:rsid w:val="00470275"/>
    <w:rsid w:val="0047453F"/>
    <w:rsid w:val="00480322"/>
    <w:rsid w:val="00480399"/>
    <w:rsid w:val="004919E9"/>
    <w:rsid w:val="00492919"/>
    <w:rsid w:val="004B2A64"/>
    <w:rsid w:val="004B483D"/>
    <w:rsid w:val="004B5071"/>
    <w:rsid w:val="004B7C70"/>
    <w:rsid w:val="004C3618"/>
    <w:rsid w:val="004D0742"/>
    <w:rsid w:val="004D7001"/>
    <w:rsid w:val="004D77EA"/>
    <w:rsid w:val="004E2427"/>
    <w:rsid w:val="004F059A"/>
    <w:rsid w:val="004F5358"/>
    <w:rsid w:val="005020C0"/>
    <w:rsid w:val="00510B6D"/>
    <w:rsid w:val="005138D6"/>
    <w:rsid w:val="0051423B"/>
    <w:rsid w:val="005161E7"/>
    <w:rsid w:val="00520961"/>
    <w:rsid w:val="0053185E"/>
    <w:rsid w:val="005350F8"/>
    <w:rsid w:val="0053605D"/>
    <w:rsid w:val="00554B49"/>
    <w:rsid w:val="005800BA"/>
    <w:rsid w:val="00582996"/>
    <w:rsid w:val="005A0A33"/>
    <w:rsid w:val="005A1498"/>
    <w:rsid w:val="005A6AB7"/>
    <w:rsid w:val="005B6D61"/>
    <w:rsid w:val="005B7F87"/>
    <w:rsid w:val="005C3C5E"/>
    <w:rsid w:val="005D4AE4"/>
    <w:rsid w:val="005D746B"/>
    <w:rsid w:val="005E0E22"/>
    <w:rsid w:val="005E24C5"/>
    <w:rsid w:val="006018AE"/>
    <w:rsid w:val="00602E32"/>
    <w:rsid w:val="0060353E"/>
    <w:rsid w:val="006046C8"/>
    <w:rsid w:val="00607EF1"/>
    <w:rsid w:val="00620FE9"/>
    <w:rsid w:val="00627B00"/>
    <w:rsid w:val="00643C9E"/>
    <w:rsid w:val="006441AF"/>
    <w:rsid w:val="0064514D"/>
    <w:rsid w:val="0064535F"/>
    <w:rsid w:val="0064719E"/>
    <w:rsid w:val="00650563"/>
    <w:rsid w:val="00653CB5"/>
    <w:rsid w:val="00655093"/>
    <w:rsid w:val="006619BB"/>
    <w:rsid w:val="00672AEE"/>
    <w:rsid w:val="006A719B"/>
    <w:rsid w:val="006C16F1"/>
    <w:rsid w:val="006C1BA0"/>
    <w:rsid w:val="006C60E5"/>
    <w:rsid w:val="006D0658"/>
    <w:rsid w:val="006E1E0E"/>
    <w:rsid w:val="006F3BF9"/>
    <w:rsid w:val="00700177"/>
    <w:rsid w:val="007061B1"/>
    <w:rsid w:val="0071477D"/>
    <w:rsid w:val="00723B21"/>
    <w:rsid w:val="00735B02"/>
    <w:rsid w:val="00742F30"/>
    <w:rsid w:val="00744776"/>
    <w:rsid w:val="00754523"/>
    <w:rsid w:val="00754BC7"/>
    <w:rsid w:val="00756AC4"/>
    <w:rsid w:val="00760DA6"/>
    <w:rsid w:val="007613BF"/>
    <w:rsid w:val="0076280D"/>
    <w:rsid w:val="007669A3"/>
    <w:rsid w:val="00766D0A"/>
    <w:rsid w:val="00786219"/>
    <w:rsid w:val="00794CF9"/>
    <w:rsid w:val="00794D86"/>
    <w:rsid w:val="00795E5C"/>
    <w:rsid w:val="007A44A7"/>
    <w:rsid w:val="007A56C1"/>
    <w:rsid w:val="007B158A"/>
    <w:rsid w:val="007B2E37"/>
    <w:rsid w:val="007C0B55"/>
    <w:rsid w:val="007C0C04"/>
    <w:rsid w:val="007C0D13"/>
    <w:rsid w:val="007C4B99"/>
    <w:rsid w:val="007C79B6"/>
    <w:rsid w:val="007D1097"/>
    <w:rsid w:val="007D46DC"/>
    <w:rsid w:val="007D7FEF"/>
    <w:rsid w:val="007E4C41"/>
    <w:rsid w:val="007E54EC"/>
    <w:rsid w:val="007F1BC3"/>
    <w:rsid w:val="007F3FEF"/>
    <w:rsid w:val="008035B1"/>
    <w:rsid w:val="0080501F"/>
    <w:rsid w:val="0080707E"/>
    <w:rsid w:val="008070FB"/>
    <w:rsid w:val="00807EF3"/>
    <w:rsid w:val="00812260"/>
    <w:rsid w:val="00816D01"/>
    <w:rsid w:val="00820C92"/>
    <w:rsid w:val="00824156"/>
    <w:rsid w:val="00825C20"/>
    <w:rsid w:val="008312F6"/>
    <w:rsid w:val="008354D6"/>
    <w:rsid w:val="00836DD8"/>
    <w:rsid w:val="00842B2D"/>
    <w:rsid w:val="00844053"/>
    <w:rsid w:val="008447D1"/>
    <w:rsid w:val="008514F9"/>
    <w:rsid w:val="00853A03"/>
    <w:rsid w:val="00855234"/>
    <w:rsid w:val="00855712"/>
    <w:rsid w:val="008613C5"/>
    <w:rsid w:val="00865D6C"/>
    <w:rsid w:val="00866634"/>
    <w:rsid w:val="00871B24"/>
    <w:rsid w:val="008726B0"/>
    <w:rsid w:val="0087298C"/>
    <w:rsid w:val="00877BD8"/>
    <w:rsid w:val="00884613"/>
    <w:rsid w:val="008940C9"/>
    <w:rsid w:val="008A0938"/>
    <w:rsid w:val="008A620E"/>
    <w:rsid w:val="008B0749"/>
    <w:rsid w:val="008B2B53"/>
    <w:rsid w:val="008D2166"/>
    <w:rsid w:val="008E3515"/>
    <w:rsid w:val="008E410C"/>
    <w:rsid w:val="008E56C2"/>
    <w:rsid w:val="00903A4C"/>
    <w:rsid w:val="00921664"/>
    <w:rsid w:val="009322CF"/>
    <w:rsid w:val="0093441F"/>
    <w:rsid w:val="0094518D"/>
    <w:rsid w:val="00980EE2"/>
    <w:rsid w:val="00981BE7"/>
    <w:rsid w:val="00990ADB"/>
    <w:rsid w:val="00995B74"/>
    <w:rsid w:val="0099763B"/>
    <w:rsid w:val="009B29E1"/>
    <w:rsid w:val="009B41D0"/>
    <w:rsid w:val="009C2927"/>
    <w:rsid w:val="009D239E"/>
    <w:rsid w:val="009D3783"/>
    <w:rsid w:val="009D3B5D"/>
    <w:rsid w:val="009D4541"/>
    <w:rsid w:val="009D6125"/>
    <w:rsid w:val="009E0A13"/>
    <w:rsid w:val="009F158D"/>
    <w:rsid w:val="009F23E7"/>
    <w:rsid w:val="009F53FA"/>
    <w:rsid w:val="009F6AF7"/>
    <w:rsid w:val="009F6B1A"/>
    <w:rsid w:val="00A01CA1"/>
    <w:rsid w:val="00A12119"/>
    <w:rsid w:val="00A2172E"/>
    <w:rsid w:val="00A21F60"/>
    <w:rsid w:val="00A32CDD"/>
    <w:rsid w:val="00A3644B"/>
    <w:rsid w:val="00A40197"/>
    <w:rsid w:val="00A44EB0"/>
    <w:rsid w:val="00A47642"/>
    <w:rsid w:val="00A47E16"/>
    <w:rsid w:val="00A53CDC"/>
    <w:rsid w:val="00A64E52"/>
    <w:rsid w:val="00A64FEA"/>
    <w:rsid w:val="00A65ADC"/>
    <w:rsid w:val="00A66D47"/>
    <w:rsid w:val="00A709A9"/>
    <w:rsid w:val="00A733B8"/>
    <w:rsid w:val="00A77181"/>
    <w:rsid w:val="00A86E47"/>
    <w:rsid w:val="00A902EC"/>
    <w:rsid w:val="00A94369"/>
    <w:rsid w:val="00AA1656"/>
    <w:rsid w:val="00AA6F3D"/>
    <w:rsid w:val="00AB2C6B"/>
    <w:rsid w:val="00AB35A3"/>
    <w:rsid w:val="00AB50EB"/>
    <w:rsid w:val="00AC369C"/>
    <w:rsid w:val="00AC3CBF"/>
    <w:rsid w:val="00AD3A6F"/>
    <w:rsid w:val="00AD7D1F"/>
    <w:rsid w:val="00AE2BE0"/>
    <w:rsid w:val="00AF2E9F"/>
    <w:rsid w:val="00AF3EEE"/>
    <w:rsid w:val="00AF46EF"/>
    <w:rsid w:val="00B0116B"/>
    <w:rsid w:val="00B03271"/>
    <w:rsid w:val="00B038AE"/>
    <w:rsid w:val="00B11ADB"/>
    <w:rsid w:val="00B14760"/>
    <w:rsid w:val="00B14A1F"/>
    <w:rsid w:val="00B16098"/>
    <w:rsid w:val="00B27202"/>
    <w:rsid w:val="00B31D0E"/>
    <w:rsid w:val="00B35560"/>
    <w:rsid w:val="00B357A9"/>
    <w:rsid w:val="00B37497"/>
    <w:rsid w:val="00B45A22"/>
    <w:rsid w:val="00B46A01"/>
    <w:rsid w:val="00B47FCF"/>
    <w:rsid w:val="00B505E1"/>
    <w:rsid w:val="00B55556"/>
    <w:rsid w:val="00B60267"/>
    <w:rsid w:val="00B67312"/>
    <w:rsid w:val="00B67B64"/>
    <w:rsid w:val="00BE2755"/>
    <w:rsid w:val="00BE30CE"/>
    <w:rsid w:val="00BE6F91"/>
    <w:rsid w:val="00BE7367"/>
    <w:rsid w:val="00BF029A"/>
    <w:rsid w:val="00BF546F"/>
    <w:rsid w:val="00BF6D6C"/>
    <w:rsid w:val="00C17F0B"/>
    <w:rsid w:val="00C2056D"/>
    <w:rsid w:val="00C26716"/>
    <w:rsid w:val="00C26C20"/>
    <w:rsid w:val="00C279B2"/>
    <w:rsid w:val="00C42FC9"/>
    <w:rsid w:val="00C4519A"/>
    <w:rsid w:val="00C53FFC"/>
    <w:rsid w:val="00C554CD"/>
    <w:rsid w:val="00C56683"/>
    <w:rsid w:val="00C62B56"/>
    <w:rsid w:val="00C71B19"/>
    <w:rsid w:val="00C75B87"/>
    <w:rsid w:val="00C9019F"/>
    <w:rsid w:val="00CA24E2"/>
    <w:rsid w:val="00CB4461"/>
    <w:rsid w:val="00CB44FA"/>
    <w:rsid w:val="00CB6AA6"/>
    <w:rsid w:val="00CB6ACC"/>
    <w:rsid w:val="00CC1F19"/>
    <w:rsid w:val="00CC2A7D"/>
    <w:rsid w:val="00CC2AA6"/>
    <w:rsid w:val="00CD0CBB"/>
    <w:rsid w:val="00CD17FC"/>
    <w:rsid w:val="00CD3BA4"/>
    <w:rsid w:val="00CD500B"/>
    <w:rsid w:val="00CD5E15"/>
    <w:rsid w:val="00CD7EE1"/>
    <w:rsid w:val="00CE5DB8"/>
    <w:rsid w:val="00CF1BEE"/>
    <w:rsid w:val="00CF226F"/>
    <w:rsid w:val="00CF24B2"/>
    <w:rsid w:val="00D01976"/>
    <w:rsid w:val="00D0285C"/>
    <w:rsid w:val="00D0432C"/>
    <w:rsid w:val="00D2505F"/>
    <w:rsid w:val="00D26747"/>
    <w:rsid w:val="00D26B15"/>
    <w:rsid w:val="00D33B9C"/>
    <w:rsid w:val="00D35ABC"/>
    <w:rsid w:val="00D40307"/>
    <w:rsid w:val="00D43EB8"/>
    <w:rsid w:val="00D45BE4"/>
    <w:rsid w:val="00D526FF"/>
    <w:rsid w:val="00D62069"/>
    <w:rsid w:val="00D62911"/>
    <w:rsid w:val="00D63AA1"/>
    <w:rsid w:val="00D67FD4"/>
    <w:rsid w:val="00D77523"/>
    <w:rsid w:val="00D77681"/>
    <w:rsid w:val="00D81DB9"/>
    <w:rsid w:val="00D8453F"/>
    <w:rsid w:val="00D851E5"/>
    <w:rsid w:val="00D854A5"/>
    <w:rsid w:val="00DB194F"/>
    <w:rsid w:val="00DB1F57"/>
    <w:rsid w:val="00DD5F95"/>
    <w:rsid w:val="00DE442F"/>
    <w:rsid w:val="00DE7D22"/>
    <w:rsid w:val="00E1438F"/>
    <w:rsid w:val="00E2076A"/>
    <w:rsid w:val="00E60E3B"/>
    <w:rsid w:val="00E6321D"/>
    <w:rsid w:val="00E642FB"/>
    <w:rsid w:val="00E679ED"/>
    <w:rsid w:val="00EB1794"/>
    <w:rsid w:val="00EC1408"/>
    <w:rsid w:val="00EC15CD"/>
    <w:rsid w:val="00ED28C5"/>
    <w:rsid w:val="00ED79F3"/>
    <w:rsid w:val="00EF4D44"/>
    <w:rsid w:val="00EF60AD"/>
    <w:rsid w:val="00EF714A"/>
    <w:rsid w:val="00F00772"/>
    <w:rsid w:val="00F12E26"/>
    <w:rsid w:val="00F17769"/>
    <w:rsid w:val="00F22452"/>
    <w:rsid w:val="00F226C2"/>
    <w:rsid w:val="00F2422F"/>
    <w:rsid w:val="00F341DC"/>
    <w:rsid w:val="00F3711A"/>
    <w:rsid w:val="00F373B9"/>
    <w:rsid w:val="00F40C2D"/>
    <w:rsid w:val="00F4141C"/>
    <w:rsid w:val="00F41AEC"/>
    <w:rsid w:val="00F56B01"/>
    <w:rsid w:val="00F57D38"/>
    <w:rsid w:val="00F6493B"/>
    <w:rsid w:val="00F66303"/>
    <w:rsid w:val="00F85A3A"/>
    <w:rsid w:val="00F90670"/>
    <w:rsid w:val="00F9395C"/>
    <w:rsid w:val="00F944D6"/>
    <w:rsid w:val="00FA677E"/>
    <w:rsid w:val="00FB2E58"/>
    <w:rsid w:val="00FB4D04"/>
    <w:rsid w:val="00FC22E4"/>
    <w:rsid w:val="00FC6211"/>
    <w:rsid w:val="00FD0EFD"/>
    <w:rsid w:val="00FD1E24"/>
    <w:rsid w:val="00FE1559"/>
    <w:rsid w:val="00FE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5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5B7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995B74"/>
    <w:rPr>
      <w:sz w:val="20"/>
      <w:szCs w:val="20"/>
    </w:rPr>
  </w:style>
  <w:style w:type="paragraph" w:styleId="Footer">
    <w:name w:val="footer"/>
    <w:basedOn w:val="Normal"/>
    <w:link w:val="FooterChar"/>
    <w:uiPriority w:val="99"/>
    <w:unhideWhenUsed/>
    <w:rsid w:val="00995B7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95B74"/>
    <w:rPr>
      <w:sz w:val="20"/>
      <w:szCs w:val="20"/>
    </w:rPr>
  </w:style>
  <w:style w:type="paragraph" w:styleId="BalloonText">
    <w:name w:val="Balloon Text"/>
    <w:basedOn w:val="Normal"/>
    <w:link w:val="BalloonTextChar"/>
    <w:uiPriority w:val="99"/>
    <w:semiHidden/>
    <w:unhideWhenUsed/>
    <w:rsid w:val="00162BC0"/>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62BC0"/>
    <w:rPr>
      <w:rFonts w:asciiTheme="majorHAnsi" w:eastAsiaTheme="majorEastAsia" w:hAnsiTheme="majorHAnsi" w:cstheme="majorBidi"/>
      <w:sz w:val="18"/>
      <w:szCs w:val="18"/>
    </w:rPr>
  </w:style>
  <w:style w:type="paragraph" w:styleId="FootnoteText">
    <w:name w:val="footnote text"/>
    <w:basedOn w:val="Normal"/>
    <w:link w:val="FootnoteTextChar"/>
    <w:semiHidden/>
    <w:unhideWhenUsed/>
    <w:rsid w:val="00BE2755"/>
    <w:pPr>
      <w:spacing w:line="240" w:lineRule="auto"/>
    </w:pPr>
    <w:rPr>
      <w:sz w:val="20"/>
      <w:szCs w:val="20"/>
    </w:rPr>
  </w:style>
  <w:style w:type="character" w:customStyle="1" w:styleId="FootnoteTextChar">
    <w:name w:val="Footnote Text Char"/>
    <w:basedOn w:val="DefaultParagraphFont"/>
    <w:link w:val="FootnoteText"/>
    <w:semiHidden/>
    <w:rsid w:val="00BE2755"/>
    <w:rPr>
      <w:sz w:val="20"/>
      <w:szCs w:val="20"/>
    </w:rPr>
  </w:style>
  <w:style w:type="character" w:styleId="FootnoteReference">
    <w:name w:val="footnote reference"/>
    <w:basedOn w:val="DefaultParagraphFont"/>
    <w:semiHidden/>
    <w:unhideWhenUsed/>
    <w:rsid w:val="00BE2755"/>
    <w:rPr>
      <w:vertAlign w:val="superscript"/>
    </w:rPr>
  </w:style>
  <w:style w:type="paragraph" w:styleId="BodyTextIndent">
    <w:name w:val="Body Text Indent"/>
    <w:basedOn w:val="Normal"/>
    <w:link w:val="BodyTextIndentChar"/>
    <w:rsid w:val="00B0116B"/>
    <w:pPr>
      <w:widowControl/>
      <w:spacing w:line="480" w:lineRule="auto"/>
      <w:ind w:left="720" w:hanging="720"/>
      <w:jc w:val="both"/>
    </w:pPr>
    <w:rPr>
      <w:rFonts w:ascii="Times New Roman" w:eastAsia="PMingLiU" w:hAnsi="Times New Roman" w:cs="Times New Roman"/>
      <w:kern w:val="0"/>
      <w:szCs w:val="24"/>
      <w:lang w:eastAsia="en-US"/>
    </w:rPr>
  </w:style>
  <w:style w:type="character" w:customStyle="1" w:styleId="BodyTextIndentChar">
    <w:name w:val="Body Text Indent Char"/>
    <w:basedOn w:val="DefaultParagraphFont"/>
    <w:link w:val="BodyTextIndent"/>
    <w:rsid w:val="00B0116B"/>
    <w:rPr>
      <w:rFonts w:ascii="Times New Roman" w:eastAsia="PMingLiU" w:hAnsi="Times New Roman" w:cs="Times New Roman"/>
      <w:kern w:val="0"/>
      <w:szCs w:val="24"/>
      <w:lang w:eastAsia="en-US"/>
    </w:rPr>
  </w:style>
  <w:style w:type="character" w:styleId="Emphasis">
    <w:name w:val="Emphasis"/>
    <w:basedOn w:val="DefaultParagraphFont"/>
    <w:uiPriority w:val="20"/>
    <w:qFormat/>
    <w:rsid w:val="00327C72"/>
    <w:rPr>
      <w:i/>
      <w:iCs/>
    </w:rPr>
  </w:style>
  <w:style w:type="paragraph" w:styleId="NoSpacing">
    <w:name w:val="No Spacing"/>
    <w:uiPriority w:val="1"/>
    <w:qFormat/>
    <w:rsid w:val="00327C72"/>
    <w:pPr>
      <w:spacing w:line="240" w:lineRule="auto"/>
    </w:pPr>
    <w:rPr>
      <w:rFonts w:ascii="Times New Roman" w:eastAsia="PMingLiU" w:hAnsi="Times New Roman" w:cs="Times New Roman"/>
      <w:kern w:val="0"/>
      <w:szCs w:val="24"/>
      <w:lang w:eastAsia="en-US"/>
    </w:rPr>
  </w:style>
  <w:style w:type="character" w:styleId="Hyperlink">
    <w:name w:val="Hyperlink"/>
    <w:basedOn w:val="DefaultParagraphFont"/>
    <w:uiPriority w:val="99"/>
    <w:unhideWhenUsed/>
    <w:rsid w:val="00F17769"/>
    <w:rPr>
      <w:rFonts w:ascii="Times New Roman" w:hAnsi="Times New Roman" w:cs="Times New Roman" w:hint="default"/>
      <w:color w:val="0000FF"/>
      <w:u w:val="single"/>
    </w:rPr>
  </w:style>
  <w:style w:type="paragraph" w:styleId="BodyText">
    <w:name w:val="Body Text"/>
    <w:basedOn w:val="Normal"/>
    <w:link w:val="BodyTextChar"/>
    <w:uiPriority w:val="99"/>
    <w:unhideWhenUsed/>
    <w:rsid w:val="00300A84"/>
    <w:pPr>
      <w:spacing w:after="120"/>
    </w:pPr>
  </w:style>
  <w:style w:type="character" w:customStyle="1" w:styleId="BodyTextChar">
    <w:name w:val="Body Text Char"/>
    <w:basedOn w:val="DefaultParagraphFont"/>
    <w:link w:val="BodyText"/>
    <w:uiPriority w:val="99"/>
    <w:rsid w:val="00300A84"/>
  </w:style>
  <w:style w:type="character" w:styleId="CommentReference">
    <w:name w:val="annotation reference"/>
    <w:basedOn w:val="DefaultParagraphFont"/>
    <w:uiPriority w:val="99"/>
    <w:semiHidden/>
    <w:unhideWhenUsed/>
    <w:rsid w:val="00D67FD4"/>
    <w:rPr>
      <w:sz w:val="16"/>
      <w:szCs w:val="16"/>
    </w:rPr>
  </w:style>
  <w:style w:type="paragraph" w:styleId="CommentText">
    <w:name w:val="annotation text"/>
    <w:basedOn w:val="Normal"/>
    <w:link w:val="CommentTextChar"/>
    <w:uiPriority w:val="99"/>
    <w:semiHidden/>
    <w:unhideWhenUsed/>
    <w:rsid w:val="00D67FD4"/>
    <w:pPr>
      <w:spacing w:line="240" w:lineRule="auto"/>
    </w:pPr>
    <w:rPr>
      <w:sz w:val="20"/>
      <w:szCs w:val="20"/>
    </w:rPr>
  </w:style>
  <w:style w:type="character" w:customStyle="1" w:styleId="CommentTextChar">
    <w:name w:val="Comment Text Char"/>
    <w:basedOn w:val="DefaultParagraphFont"/>
    <w:link w:val="CommentText"/>
    <w:uiPriority w:val="99"/>
    <w:semiHidden/>
    <w:rsid w:val="00D67FD4"/>
    <w:rPr>
      <w:sz w:val="20"/>
      <w:szCs w:val="20"/>
    </w:rPr>
  </w:style>
  <w:style w:type="paragraph" w:styleId="CommentSubject">
    <w:name w:val="annotation subject"/>
    <w:basedOn w:val="CommentText"/>
    <w:next w:val="CommentText"/>
    <w:link w:val="CommentSubjectChar"/>
    <w:uiPriority w:val="99"/>
    <w:semiHidden/>
    <w:unhideWhenUsed/>
    <w:rsid w:val="00D67FD4"/>
    <w:rPr>
      <w:b/>
      <w:bCs/>
    </w:rPr>
  </w:style>
  <w:style w:type="character" w:customStyle="1" w:styleId="CommentSubjectChar">
    <w:name w:val="Comment Subject Char"/>
    <w:basedOn w:val="CommentTextChar"/>
    <w:link w:val="CommentSubject"/>
    <w:uiPriority w:val="99"/>
    <w:semiHidden/>
    <w:rsid w:val="00D67FD4"/>
    <w:rPr>
      <w:b/>
      <w:bCs/>
      <w:sz w:val="20"/>
      <w:szCs w:val="20"/>
    </w:rPr>
  </w:style>
  <w:style w:type="paragraph" w:styleId="Revision">
    <w:name w:val="Revision"/>
    <w:hidden/>
    <w:uiPriority w:val="99"/>
    <w:semiHidden/>
    <w:rsid w:val="00D67FD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5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5B7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995B74"/>
    <w:rPr>
      <w:sz w:val="20"/>
      <w:szCs w:val="20"/>
    </w:rPr>
  </w:style>
  <w:style w:type="paragraph" w:styleId="Footer">
    <w:name w:val="footer"/>
    <w:basedOn w:val="Normal"/>
    <w:link w:val="FooterChar"/>
    <w:uiPriority w:val="99"/>
    <w:unhideWhenUsed/>
    <w:rsid w:val="00995B7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95B74"/>
    <w:rPr>
      <w:sz w:val="20"/>
      <w:szCs w:val="20"/>
    </w:rPr>
  </w:style>
  <w:style w:type="paragraph" w:styleId="BalloonText">
    <w:name w:val="Balloon Text"/>
    <w:basedOn w:val="Normal"/>
    <w:link w:val="BalloonTextChar"/>
    <w:uiPriority w:val="99"/>
    <w:semiHidden/>
    <w:unhideWhenUsed/>
    <w:rsid w:val="00162BC0"/>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62BC0"/>
    <w:rPr>
      <w:rFonts w:asciiTheme="majorHAnsi" w:eastAsiaTheme="majorEastAsia" w:hAnsiTheme="majorHAnsi" w:cstheme="majorBidi"/>
      <w:sz w:val="18"/>
      <w:szCs w:val="18"/>
    </w:rPr>
  </w:style>
  <w:style w:type="paragraph" w:styleId="FootnoteText">
    <w:name w:val="footnote text"/>
    <w:basedOn w:val="Normal"/>
    <w:link w:val="FootnoteTextChar"/>
    <w:semiHidden/>
    <w:unhideWhenUsed/>
    <w:rsid w:val="00BE2755"/>
    <w:pPr>
      <w:spacing w:line="240" w:lineRule="auto"/>
    </w:pPr>
    <w:rPr>
      <w:sz w:val="20"/>
      <w:szCs w:val="20"/>
    </w:rPr>
  </w:style>
  <w:style w:type="character" w:customStyle="1" w:styleId="FootnoteTextChar">
    <w:name w:val="Footnote Text Char"/>
    <w:basedOn w:val="DefaultParagraphFont"/>
    <w:link w:val="FootnoteText"/>
    <w:semiHidden/>
    <w:rsid w:val="00BE2755"/>
    <w:rPr>
      <w:sz w:val="20"/>
      <w:szCs w:val="20"/>
    </w:rPr>
  </w:style>
  <w:style w:type="character" w:styleId="FootnoteReference">
    <w:name w:val="footnote reference"/>
    <w:basedOn w:val="DefaultParagraphFont"/>
    <w:semiHidden/>
    <w:unhideWhenUsed/>
    <w:rsid w:val="00BE2755"/>
    <w:rPr>
      <w:vertAlign w:val="superscript"/>
    </w:rPr>
  </w:style>
  <w:style w:type="paragraph" w:styleId="BodyTextIndent">
    <w:name w:val="Body Text Indent"/>
    <w:basedOn w:val="Normal"/>
    <w:link w:val="BodyTextIndentChar"/>
    <w:rsid w:val="00B0116B"/>
    <w:pPr>
      <w:widowControl/>
      <w:spacing w:line="480" w:lineRule="auto"/>
      <w:ind w:left="720" w:hanging="720"/>
      <w:jc w:val="both"/>
    </w:pPr>
    <w:rPr>
      <w:rFonts w:ascii="Times New Roman" w:eastAsia="PMingLiU" w:hAnsi="Times New Roman" w:cs="Times New Roman"/>
      <w:kern w:val="0"/>
      <w:szCs w:val="24"/>
      <w:lang w:eastAsia="en-US"/>
    </w:rPr>
  </w:style>
  <w:style w:type="character" w:customStyle="1" w:styleId="BodyTextIndentChar">
    <w:name w:val="Body Text Indent Char"/>
    <w:basedOn w:val="DefaultParagraphFont"/>
    <w:link w:val="BodyTextIndent"/>
    <w:rsid w:val="00B0116B"/>
    <w:rPr>
      <w:rFonts w:ascii="Times New Roman" w:eastAsia="PMingLiU" w:hAnsi="Times New Roman" w:cs="Times New Roman"/>
      <w:kern w:val="0"/>
      <w:szCs w:val="24"/>
      <w:lang w:eastAsia="en-US"/>
    </w:rPr>
  </w:style>
  <w:style w:type="character" w:styleId="Emphasis">
    <w:name w:val="Emphasis"/>
    <w:basedOn w:val="DefaultParagraphFont"/>
    <w:uiPriority w:val="20"/>
    <w:qFormat/>
    <w:rsid w:val="00327C72"/>
    <w:rPr>
      <w:i/>
      <w:iCs/>
    </w:rPr>
  </w:style>
  <w:style w:type="paragraph" w:styleId="NoSpacing">
    <w:name w:val="No Spacing"/>
    <w:uiPriority w:val="1"/>
    <w:qFormat/>
    <w:rsid w:val="00327C72"/>
    <w:pPr>
      <w:spacing w:line="240" w:lineRule="auto"/>
    </w:pPr>
    <w:rPr>
      <w:rFonts w:ascii="Times New Roman" w:eastAsia="PMingLiU" w:hAnsi="Times New Roman" w:cs="Times New Roman"/>
      <w:kern w:val="0"/>
      <w:szCs w:val="24"/>
      <w:lang w:eastAsia="en-US"/>
    </w:rPr>
  </w:style>
  <w:style w:type="character" w:styleId="Hyperlink">
    <w:name w:val="Hyperlink"/>
    <w:basedOn w:val="DefaultParagraphFont"/>
    <w:uiPriority w:val="99"/>
    <w:unhideWhenUsed/>
    <w:rsid w:val="00F17769"/>
    <w:rPr>
      <w:rFonts w:ascii="Times New Roman" w:hAnsi="Times New Roman" w:cs="Times New Roman" w:hint="default"/>
      <w:color w:val="0000FF"/>
      <w:u w:val="single"/>
    </w:rPr>
  </w:style>
  <w:style w:type="paragraph" w:styleId="BodyText">
    <w:name w:val="Body Text"/>
    <w:basedOn w:val="Normal"/>
    <w:link w:val="BodyTextChar"/>
    <w:uiPriority w:val="99"/>
    <w:unhideWhenUsed/>
    <w:rsid w:val="00300A84"/>
    <w:pPr>
      <w:spacing w:after="120"/>
    </w:pPr>
  </w:style>
  <w:style w:type="character" w:customStyle="1" w:styleId="BodyTextChar">
    <w:name w:val="Body Text Char"/>
    <w:basedOn w:val="DefaultParagraphFont"/>
    <w:link w:val="BodyText"/>
    <w:uiPriority w:val="99"/>
    <w:rsid w:val="00300A84"/>
  </w:style>
  <w:style w:type="character" w:styleId="CommentReference">
    <w:name w:val="annotation reference"/>
    <w:basedOn w:val="DefaultParagraphFont"/>
    <w:uiPriority w:val="99"/>
    <w:semiHidden/>
    <w:unhideWhenUsed/>
    <w:rsid w:val="00D67FD4"/>
    <w:rPr>
      <w:sz w:val="16"/>
      <w:szCs w:val="16"/>
    </w:rPr>
  </w:style>
  <w:style w:type="paragraph" w:styleId="CommentText">
    <w:name w:val="annotation text"/>
    <w:basedOn w:val="Normal"/>
    <w:link w:val="CommentTextChar"/>
    <w:uiPriority w:val="99"/>
    <w:semiHidden/>
    <w:unhideWhenUsed/>
    <w:rsid w:val="00D67FD4"/>
    <w:pPr>
      <w:spacing w:line="240" w:lineRule="auto"/>
    </w:pPr>
    <w:rPr>
      <w:sz w:val="20"/>
      <w:szCs w:val="20"/>
    </w:rPr>
  </w:style>
  <w:style w:type="character" w:customStyle="1" w:styleId="CommentTextChar">
    <w:name w:val="Comment Text Char"/>
    <w:basedOn w:val="DefaultParagraphFont"/>
    <w:link w:val="CommentText"/>
    <w:uiPriority w:val="99"/>
    <w:semiHidden/>
    <w:rsid w:val="00D67FD4"/>
    <w:rPr>
      <w:sz w:val="20"/>
      <w:szCs w:val="20"/>
    </w:rPr>
  </w:style>
  <w:style w:type="paragraph" w:styleId="CommentSubject">
    <w:name w:val="annotation subject"/>
    <w:basedOn w:val="CommentText"/>
    <w:next w:val="CommentText"/>
    <w:link w:val="CommentSubjectChar"/>
    <w:uiPriority w:val="99"/>
    <w:semiHidden/>
    <w:unhideWhenUsed/>
    <w:rsid w:val="00D67FD4"/>
    <w:rPr>
      <w:b/>
      <w:bCs/>
    </w:rPr>
  </w:style>
  <w:style w:type="character" w:customStyle="1" w:styleId="CommentSubjectChar">
    <w:name w:val="Comment Subject Char"/>
    <w:basedOn w:val="CommentTextChar"/>
    <w:link w:val="CommentSubject"/>
    <w:uiPriority w:val="99"/>
    <w:semiHidden/>
    <w:rsid w:val="00D67FD4"/>
    <w:rPr>
      <w:b/>
      <w:bCs/>
      <w:sz w:val="20"/>
      <w:szCs w:val="20"/>
    </w:rPr>
  </w:style>
  <w:style w:type="paragraph" w:styleId="Revision">
    <w:name w:val="Revision"/>
    <w:hidden/>
    <w:uiPriority w:val="99"/>
    <w:semiHidden/>
    <w:rsid w:val="00D67FD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5534">
      <w:bodyDiv w:val="1"/>
      <w:marLeft w:val="0"/>
      <w:marRight w:val="0"/>
      <w:marTop w:val="0"/>
      <w:marBottom w:val="0"/>
      <w:divBdr>
        <w:top w:val="none" w:sz="0" w:space="0" w:color="auto"/>
        <w:left w:val="none" w:sz="0" w:space="0" w:color="auto"/>
        <w:bottom w:val="none" w:sz="0" w:space="0" w:color="auto"/>
        <w:right w:val="none" w:sz="0" w:space="0" w:color="auto"/>
      </w:divBdr>
    </w:div>
    <w:div w:id="107361088">
      <w:bodyDiv w:val="1"/>
      <w:marLeft w:val="0"/>
      <w:marRight w:val="0"/>
      <w:marTop w:val="0"/>
      <w:marBottom w:val="0"/>
      <w:divBdr>
        <w:top w:val="none" w:sz="0" w:space="0" w:color="auto"/>
        <w:left w:val="none" w:sz="0" w:space="0" w:color="auto"/>
        <w:bottom w:val="none" w:sz="0" w:space="0" w:color="auto"/>
        <w:right w:val="none" w:sz="0" w:space="0" w:color="auto"/>
      </w:divBdr>
    </w:div>
    <w:div w:id="144128793">
      <w:bodyDiv w:val="1"/>
      <w:marLeft w:val="0"/>
      <w:marRight w:val="0"/>
      <w:marTop w:val="0"/>
      <w:marBottom w:val="0"/>
      <w:divBdr>
        <w:top w:val="none" w:sz="0" w:space="0" w:color="auto"/>
        <w:left w:val="none" w:sz="0" w:space="0" w:color="auto"/>
        <w:bottom w:val="none" w:sz="0" w:space="0" w:color="auto"/>
        <w:right w:val="none" w:sz="0" w:space="0" w:color="auto"/>
      </w:divBdr>
    </w:div>
    <w:div w:id="150173629">
      <w:bodyDiv w:val="1"/>
      <w:marLeft w:val="0"/>
      <w:marRight w:val="0"/>
      <w:marTop w:val="0"/>
      <w:marBottom w:val="0"/>
      <w:divBdr>
        <w:top w:val="none" w:sz="0" w:space="0" w:color="auto"/>
        <w:left w:val="none" w:sz="0" w:space="0" w:color="auto"/>
        <w:bottom w:val="none" w:sz="0" w:space="0" w:color="auto"/>
        <w:right w:val="none" w:sz="0" w:space="0" w:color="auto"/>
      </w:divBdr>
    </w:div>
    <w:div w:id="243876227">
      <w:bodyDiv w:val="1"/>
      <w:marLeft w:val="0"/>
      <w:marRight w:val="0"/>
      <w:marTop w:val="0"/>
      <w:marBottom w:val="0"/>
      <w:divBdr>
        <w:top w:val="none" w:sz="0" w:space="0" w:color="auto"/>
        <w:left w:val="none" w:sz="0" w:space="0" w:color="auto"/>
        <w:bottom w:val="none" w:sz="0" w:space="0" w:color="auto"/>
        <w:right w:val="none" w:sz="0" w:space="0" w:color="auto"/>
      </w:divBdr>
    </w:div>
    <w:div w:id="396174740">
      <w:bodyDiv w:val="1"/>
      <w:marLeft w:val="0"/>
      <w:marRight w:val="0"/>
      <w:marTop w:val="0"/>
      <w:marBottom w:val="0"/>
      <w:divBdr>
        <w:top w:val="none" w:sz="0" w:space="0" w:color="auto"/>
        <w:left w:val="none" w:sz="0" w:space="0" w:color="auto"/>
        <w:bottom w:val="none" w:sz="0" w:space="0" w:color="auto"/>
        <w:right w:val="none" w:sz="0" w:space="0" w:color="auto"/>
      </w:divBdr>
    </w:div>
    <w:div w:id="398677441">
      <w:bodyDiv w:val="1"/>
      <w:marLeft w:val="0"/>
      <w:marRight w:val="0"/>
      <w:marTop w:val="0"/>
      <w:marBottom w:val="0"/>
      <w:divBdr>
        <w:top w:val="none" w:sz="0" w:space="0" w:color="auto"/>
        <w:left w:val="none" w:sz="0" w:space="0" w:color="auto"/>
        <w:bottom w:val="none" w:sz="0" w:space="0" w:color="auto"/>
        <w:right w:val="none" w:sz="0" w:space="0" w:color="auto"/>
      </w:divBdr>
    </w:div>
    <w:div w:id="466627932">
      <w:bodyDiv w:val="1"/>
      <w:marLeft w:val="0"/>
      <w:marRight w:val="0"/>
      <w:marTop w:val="0"/>
      <w:marBottom w:val="0"/>
      <w:divBdr>
        <w:top w:val="none" w:sz="0" w:space="0" w:color="auto"/>
        <w:left w:val="none" w:sz="0" w:space="0" w:color="auto"/>
        <w:bottom w:val="none" w:sz="0" w:space="0" w:color="auto"/>
        <w:right w:val="none" w:sz="0" w:space="0" w:color="auto"/>
      </w:divBdr>
    </w:div>
    <w:div w:id="533882844">
      <w:bodyDiv w:val="1"/>
      <w:marLeft w:val="0"/>
      <w:marRight w:val="0"/>
      <w:marTop w:val="0"/>
      <w:marBottom w:val="0"/>
      <w:divBdr>
        <w:top w:val="none" w:sz="0" w:space="0" w:color="auto"/>
        <w:left w:val="none" w:sz="0" w:space="0" w:color="auto"/>
        <w:bottom w:val="none" w:sz="0" w:space="0" w:color="auto"/>
        <w:right w:val="none" w:sz="0" w:space="0" w:color="auto"/>
      </w:divBdr>
    </w:div>
    <w:div w:id="689262267">
      <w:bodyDiv w:val="1"/>
      <w:marLeft w:val="0"/>
      <w:marRight w:val="0"/>
      <w:marTop w:val="0"/>
      <w:marBottom w:val="0"/>
      <w:divBdr>
        <w:top w:val="none" w:sz="0" w:space="0" w:color="auto"/>
        <w:left w:val="none" w:sz="0" w:space="0" w:color="auto"/>
        <w:bottom w:val="none" w:sz="0" w:space="0" w:color="auto"/>
        <w:right w:val="none" w:sz="0" w:space="0" w:color="auto"/>
      </w:divBdr>
    </w:div>
    <w:div w:id="760106298">
      <w:bodyDiv w:val="1"/>
      <w:marLeft w:val="0"/>
      <w:marRight w:val="0"/>
      <w:marTop w:val="0"/>
      <w:marBottom w:val="0"/>
      <w:divBdr>
        <w:top w:val="none" w:sz="0" w:space="0" w:color="auto"/>
        <w:left w:val="none" w:sz="0" w:space="0" w:color="auto"/>
        <w:bottom w:val="none" w:sz="0" w:space="0" w:color="auto"/>
        <w:right w:val="none" w:sz="0" w:space="0" w:color="auto"/>
      </w:divBdr>
    </w:div>
    <w:div w:id="967735876">
      <w:bodyDiv w:val="1"/>
      <w:marLeft w:val="0"/>
      <w:marRight w:val="0"/>
      <w:marTop w:val="0"/>
      <w:marBottom w:val="0"/>
      <w:divBdr>
        <w:top w:val="none" w:sz="0" w:space="0" w:color="auto"/>
        <w:left w:val="none" w:sz="0" w:space="0" w:color="auto"/>
        <w:bottom w:val="none" w:sz="0" w:space="0" w:color="auto"/>
        <w:right w:val="none" w:sz="0" w:space="0" w:color="auto"/>
      </w:divBdr>
    </w:div>
    <w:div w:id="1097748612">
      <w:bodyDiv w:val="1"/>
      <w:marLeft w:val="0"/>
      <w:marRight w:val="0"/>
      <w:marTop w:val="0"/>
      <w:marBottom w:val="0"/>
      <w:divBdr>
        <w:top w:val="none" w:sz="0" w:space="0" w:color="auto"/>
        <w:left w:val="none" w:sz="0" w:space="0" w:color="auto"/>
        <w:bottom w:val="none" w:sz="0" w:space="0" w:color="auto"/>
        <w:right w:val="none" w:sz="0" w:space="0" w:color="auto"/>
      </w:divBdr>
    </w:div>
    <w:div w:id="1217164524">
      <w:bodyDiv w:val="1"/>
      <w:marLeft w:val="0"/>
      <w:marRight w:val="0"/>
      <w:marTop w:val="0"/>
      <w:marBottom w:val="0"/>
      <w:divBdr>
        <w:top w:val="none" w:sz="0" w:space="0" w:color="auto"/>
        <w:left w:val="none" w:sz="0" w:space="0" w:color="auto"/>
        <w:bottom w:val="none" w:sz="0" w:space="0" w:color="auto"/>
        <w:right w:val="none" w:sz="0" w:space="0" w:color="auto"/>
      </w:divBdr>
    </w:div>
    <w:div w:id="1224832033">
      <w:bodyDiv w:val="1"/>
      <w:marLeft w:val="0"/>
      <w:marRight w:val="0"/>
      <w:marTop w:val="0"/>
      <w:marBottom w:val="0"/>
      <w:divBdr>
        <w:top w:val="none" w:sz="0" w:space="0" w:color="auto"/>
        <w:left w:val="none" w:sz="0" w:space="0" w:color="auto"/>
        <w:bottom w:val="none" w:sz="0" w:space="0" w:color="auto"/>
        <w:right w:val="none" w:sz="0" w:space="0" w:color="auto"/>
      </w:divBdr>
    </w:div>
    <w:div w:id="1277253381">
      <w:bodyDiv w:val="1"/>
      <w:marLeft w:val="0"/>
      <w:marRight w:val="0"/>
      <w:marTop w:val="0"/>
      <w:marBottom w:val="0"/>
      <w:divBdr>
        <w:top w:val="none" w:sz="0" w:space="0" w:color="auto"/>
        <w:left w:val="none" w:sz="0" w:space="0" w:color="auto"/>
        <w:bottom w:val="none" w:sz="0" w:space="0" w:color="auto"/>
        <w:right w:val="none" w:sz="0" w:space="0" w:color="auto"/>
      </w:divBdr>
    </w:div>
    <w:div w:id="1580796949">
      <w:bodyDiv w:val="1"/>
      <w:marLeft w:val="0"/>
      <w:marRight w:val="0"/>
      <w:marTop w:val="0"/>
      <w:marBottom w:val="0"/>
      <w:divBdr>
        <w:top w:val="none" w:sz="0" w:space="0" w:color="auto"/>
        <w:left w:val="none" w:sz="0" w:space="0" w:color="auto"/>
        <w:bottom w:val="none" w:sz="0" w:space="0" w:color="auto"/>
        <w:right w:val="none" w:sz="0" w:space="0" w:color="auto"/>
      </w:divBdr>
    </w:div>
    <w:div w:id="1584951747">
      <w:bodyDiv w:val="1"/>
      <w:marLeft w:val="0"/>
      <w:marRight w:val="0"/>
      <w:marTop w:val="0"/>
      <w:marBottom w:val="0"/>
      <w:divBdr>
        <w:top w:val="none" w:sz="0" w:space="0" w:color="auto"/>
        <w:left w:val="none" w:sz="0" w:space="0" w:color="auto"/>
        <w:bottom w:val="none" w:sz="0" w:space="0" w:color="auto"/>
        <w:right w:val="none" w:sz="0" w:space="0" w:color="auto"/>
      </w:divBdr>
    </w:div>
    <w:div w:id="1733574345">
      <w:bodyDiv w:val="1"/>
      <w:marLeft w:val="0"/>
      <w:marRight w:val="0"/>
      <w:marTop w:val="0"/>
      <w:marBottom w:val="0"/>
      <w:divBdr>
        <w:top w:val="none" w:sz="0" w:space="0" w:color="auto"/>
        <w:left w:val="none" w:sz="0" w:space="0" w:color="auto"/>
        <w:bottom w:val="none" w:sz="0" w:space="0" w:color="auto"/>
        <w:right w:val="none" w:sz="0" w:space="0" w:color="auto"/>
      </w:divBdr>
    </w:div>
    <w:div w:id="1918124911">
      <w:bodyDiv w:val="1"/>
      <w:marLeft w:val="0"/>
      <w:marRight w:val="0"/>
      <w:marTop w:val="0"/>
      <w:marBottom w:val="0"/>
      <w:divBdr>
        <w:top w:val="none" w:sz="0" w:space="0" w:color="auto"/>
        <w:left w:val="none" w:sz="0" w:space="0" w:color="auto"/>
        <w:bottom w:val="none" w:sz="0" w:space="0" w:color="auto"/>
        <w:right w:val="none" w:sz="0" w:space="0" w:color="auto"/>
      </w:divBdr>
    </w:div>
    <w:div w:id="1950776429">
      <w:bodyDiv w:val="1"/>
      <w:marLeft w:val="0"/>
      <w:marRight w:val="0"/>
      <w:marTop w:val="0"/>
      <w:marBottom w:val="0"/>
      <w:divBdr>
        <w:top w:val="none" w:sz="0" w:space="0" w:color="auto"/>
        <w:left w:val="none" w:sz="0" w:space="0" w:color="auto"/>
        <w:bottom w:val="none" w:sz="0" w:space="0" w:color="auto"/>
        <w:right w:val="none" w:sz="0" w:space="0" w:color="auto"/>
      </w:divBdr>
    </w:div>
    <w:div w:id="2021010150">
      <w:bodyDiv w:val="1"/>
      <w:marLeft w:val="0"/>
      <w:marRight w:val="0"/>
      <w:marTop w:val="0"/>
      <w:marBottom w:val="0"/>
      <w:divBdr>
        <w:top w:val="none" w:sz="0" w:space="0" w:color="auto"/>
        <w:left w:val="none" w:sz="0" w:space="0" w:color="auto"/>
        <w:bottom w:val="none" w:sz="0" w:space="0" w:color="auto"/>
        <w:right w:val="none" w:sz="0" w:space="0" w:color="auto"/>
      </w:divBdr>
    </w:div>
    <w:div w:id="2049331666">
      <w:bodyDiv w:val="1"/>
      <w:marLeft w:val="0"/>
      <w:marRight w:val="0"/>
      <w:marTop w:val="0"/>
      <w:marBottom w:val="0"/>
      <w:divBdr>
        <w:top w:val="none" w:sz="0" w:space="0" w:color="auto"/>
        <w:left w:val="none" w:sz="0" w:space="0" w:color="auto"/>
        <w:bottom w:val="none" w:sz="0" w:space="0" w:color="auto"/>
        <w:right w:val="none" w:sz="0" w:space="0" w:color="auto"/>
      </w:divBdr>
    </w:div>
    <w:div w:id="205877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43.wmf"/><Relationship Id="rId21" Type="http://schemas.openxmlformats.org/officeDocument/2006/relationships/oleObject" Target="embeddings/oleObject6.bin"/><Relationship Id="rId42" Type="http://schemas.openxmlformats.org/officeDocument/2006/relationships/oleObject" Target="embeddings/oleObject21.bin"/><Relationship Id="rId47" Type="http://schemas.openxmlformats.org/officeDocument/2006/relationships/image" Target="media/image12.wmf"/><Relationship Id="rId63" Type="http://schemas.openxmlformats.org/officeDocument/2006/relationships/oleObject" Target="embeddings/oleObject34.bin"/><Relationship Id="rId68" Type="http://schemas.openxmlformats.org/officeDocument/2006/relationships/image" Target="media/image20.wmf"/><Relationship Id="rId84" Type="http://schemas.openxmlformats.org/officeDocument/2006/relationships/oleObject" Target="embeddings/oleObject47.bin"/><Relationship Id="rId89" Type="http://schemas.openxmlformats.org/officeDocument/2006/relationships/image" Target="media/image30.wmf"/><Relationship Id="rId112" Type="http://schemas.openxmlformats.org/officeDocument/2006/relationships/oleObject" Target="embeddings/oleObject62.bin"/><Relationship Id="rId16" Type="http://schemas.openxmlformats.org/officeDocument/2006/relationships/image" Target="media/image3.wmf"/><Relationship Id="rId107" Type="http://schemas.openxmlformats.org/officeDocument/2006/relationships/oleObject" Target="embeddings/oleObject59.bin"/><Relationship Id="rId11" Type="http://schemas.openxmlformats.org/officeDocument/2006/relationships/hyperlink" Target="mailto:hbardesi@kau.edu.sa" TargetMode="External"/><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image" Target="media/image15.wmf"/><Relationship Id="rId58" Type="http://schemas.openxmlformats.org/officeDocument/2006/relationships/oleObject" Target="embeddings/oleObject30.bin"/><Relationship Id="rId74" Type="http://schemas.openxmlformats.org/officeDocument/2006/relationships/image" Target="media/image23.wmf"/><Relationship Id="rId79" Type="http://schemas.openxmlformats.org/officeDocument/2006/relationships/image" Target="media/image25.wmf"/><Relationship Id="rId102" Type="http://schemas.openxmlformats.org/officeDocument/2006/relationships/oleObject" Target="embeddings/oleObject56.bin"/><Relationship Id="rId123" Type="http://schemas.openxmlformats.org/officeDocument/2006/relationships/image" Target="media/image45.emf"/><Relationship Id="rId5" Type="http://schemas.openxmlformats.org/officeDocument/2006/relationships/webSettings" Target="webSettings.xml"/><Relationship Id="rId61" Type="http://schemas.openxmlformats.org/officeDocument/2006/relationships/oleObject" Target="embeddings/oleObject33.bin"/><Relationship Id="rId82" Type="http://schemas.openxmlformats.org/officeDocument/2006/relationships/oleObject" Target="embeddings/oleObject46.bin"/><Relationship Id="rId90" Type="http://schemas.openxmlformats.org/officeDocument/2006/relationships/oleObject" Target="embeddings/oleObject50.bin"/><Relationship Id="rId95" Type="http://schemas.openxmlformats.org/officeDocument/2006/relationships/image" Target="media/image33.wmf"/><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5.bin"/><Relationship Id="rId69" Type="http://schemas.openxmlformats.org/officeDocument/2006/relationships/oleObject" Target="embeddings/oleObject39.bin"/><Relationship Id="rId77" Type="http://schemas.openxmlformats.org/officeDocument/2006/relationships/oleObject" Target="embeddings/oleObject43.bin"/><Relationship Id="rId100" Type="http://schemas.openxmlformats.org/officeDocument/2006/relationships/oleObject" Target="embeddings/oleObject55.bin"/><Relationship Id="rId105" Type="http://schemas.openxmlformats.org/officeDocument/2006/relationships/image" Target="media/image38.wmf"/><Relationship Id="rId113" Type="http://schemas.openxmlformats.org/officeDocument/2006/relationships/image" Target="media/image41.wmf"/><Relationship Id="rId118" Type="http://schemas.openxmlformats.org/officeDocument/2006/relationships/oleObject" Target="embeddings/oleObject65.bin"/><Relationship Id="rId8" Type="http://schemas.openxmlformats.org/officeDocument/2006/relationships/hyperlink" Target="mailto:skmohanty@stthomas.edu" TargetMode="External"/><Relationship Id="rId51" Type="http://schemas.openxmlformats.org/officeDocument/2006/relationships/image" Target="media/image14.wmf"/><Relationship Id="rId72" Type="http://schemas.openxmlformats.org/officeDocument/2006/relationships/image" Target="media/image22.wmf"/><Relationship Id="rId80" Type="http://schemas.openxmlformats.org/officeDocument/2006/relationships/oleObject" Target="embeddings/oleObject45.bin"/><Relationship Id="rId85" Type="http://schemas.openxmlformats.org/officeDocument/2006/relationships/image" Target="media/image28.wmf"/><Relationship Id="rId93" Type="http://schemas.openxmlformats.org/officeDocument/2006/relationships/image" Target="media/image32.wmf"/><Relationship Id="rId98" Type="http://schemas.openxmlformats.org/officeDocument/2006/relationships/oleObject" Target="embeddings/oleObject54.bin"/><Relationship Id="rId121" Type="http://schemas.openxmlformats.org/officeDocument/2006/relationships/oleObject" Target="embeddings/oleObject67.bin"/><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4.bin"/><Relationship Id="rId59" Type="http://schemas.openxmlformats.org/officeDocument/2006/relationships/image" Target="media/image18.wmf"/><Relationship Id="rId67" Type="http://schemas.openxmlformats.org/officeDocument/2006/relationships/oleObject" Target="embeddings/oleObject38.bin"/><Relationship Id="rId103" Type="http://schemas.openxmlformats.org/officeDocument/2006/relationships/image" Target="media/image37.wmf"/><Relationship Id="rId108" Type="http://schemas.openxmlformats.org/officeDocument/2006/relationships/image" Target="media/image39.wmf"/><Relationship Id="rId116" Type="http://schemas.openxmlformats.org/officeDocument/2006/relationships/oleObject" Target="embeddings/oleObject64.bin"/><Relationship Id="rId124"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image" Target="media/image19.wmf"/><Relationship Id="rId70" Type="http://schemas.openxmlformats.org/officeDocument/2006/relationships/image" Target="media/image21.wmf"/><Relationship Id="rId75" Type="http://schemas.openxmlformats.org/officeDocument/2006/relationships/oleObject" Target="embeddings/oleObject42.bin"/><Relationship Id="rId83" Type="http://schemas.openxmlformats.org/officeDocument/2006/relationships/image" Target="media/image27.wmf"/><Relationship Id="rId88" Type="http://schemas.openxmlformats.org/officeDocument/2006/relationships/oleObject" Target="embeddings/oleObject49.bin"/><Relationship Id="rId91" Type="http://schemas.openxmlformats.org/officeDocument/2006/relationships/image" Target="media/image31.wmf"/><Relationship Id="rId96" Type="http://schemas.openxmlformats.org/officeDocument/2006/relationships/oleObject" Target="embeddings/oleObject53.bin"/><Relationship Id="rId111"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8.wmf"/><Relationship Id="rId36" Type="http://schemas.openxmlformats.org/officeDocument/2006/relationships/image" Target="media/image9.wmf"/><Relationship Id="rId49" Type="http://schemas.openxmlformats.org/officeDocument/2006/relationships/image" Target="media/image13.wmf"/><Relationship Id="rId57" Type="http://schemas.openxmlformats.org/officeDocument/2006/relationships/image" Target="media/image17.wmf"/><Relationship Id="rId106" Type="http://schemas.openxmlformats.org/officeDocument/2006/relationships/oleObject" Target="embeddings/oleObject58.bin"/><Relationship Id="rId114" Type="http://schemas.openxmlformats.org/officeDocument/2006/relationships/oleObject" Target="embeddings/oleObject63.bin"/><Relationship Id="rId119" Type="http://schemas.openxmlformats.org/officeDocument/2006/relationships/oleObject" Target="embeddings/oleObject66.bin"/><Relationship Id="rId10" Type="http://schemas.openxmlformats.org/officeDocument/2006/relationships/hyperlink" Target="mailto:juhanie@hotmail.com" TargetMode="External"/><Relationship Id="rId31" Type="http://schemas.openxmlformats.org/officeDocument/2006/relationships/oleObject" Target="embeddings/oleObject12.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oleObject" Target="embeddings/oleObject44.bin"/><Relationship Id="rId81" Type="http://schemas.openxmlformats.org/officeDocument/2006/relationships/image" Target="media/image26.wmf"/><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JLin@brooklyn.cuny.edu"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9.bin"/><Relationship Id="rId109" Type="http://schemas.openxmlformats.org/officeDocument/2006/relationships/oleObject" Target="embeddings/oleObject60.bin"/><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image" Target="media/image16.wmf"/><Relationship Id="rId76" Type="http://schemas.openxmlformats.org/officeDocument/2006/relationships/image" Target="media/image24.wmf"/><Relationship Id="rId97" Type="http://schemas.openxmlformats.org/officeDocument/2006/relationships/image" Target="media/image34.wmf"/><Relationship Id="rId104" Type="http://schemas.openxmlformats.org/officeDocument/2006/relationships/oleObject" Target="embeddings/oleObject57.bin"/><Relationship Id="rId120" Type="http://schemas.openxmlformats.org/officeDocument/2006/relationships/image" Target="media/image44.wmf"/><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40.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6.wmf"/><Relationship Id="rId40" Type="http://schemas.openxmlformats.org/officeDocument/2006/relationships/image" Target="media/image10.wmf"/><Relationship Id="rId45" Type="http://schemas.openxmlformats.org/officeDocument/2006/relationships/image" Target="media/image11.wmf"/><Relationship Id="rId66" Type="http://schemas.openxmlformats.org/officeDocument/2006/relationships/oleObject" Target="embeddings/oleObject37.bin"/><Relationship Id="rId87" Type="http://schemas.openxmlformats.org/officeDocument/2006/relationships/image" Target="media/image29.wmf"/><Relationship Id="rId110" Type="http://schemas.openxmlformats.org/officeDocument/2006/relationships/image" Target="media/image40.wmf"/><Relationship Id="rId115" Type="http://schemas.openxmlformats.org/officeDocument/2006/relationships/image" Target="media/image42.wmf"/></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1.bin"/><Relationship Id="rId1" Type="http://schemas.openxmlformats.org/officeDocument/2006/relationships/image" Target="media/image18.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299B-D8A2-4FCF-B03E-A9C0C04A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53</Pages>
  <Words>10763</Words>
  <Characters>61350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71970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13</cp:revision>
  <cp:lastPrinted>2012-03-26T15:33:00Z</cp:lastPrinted>
  <dcterms:created xsi:type="dcterms:W3CDTF">2012-03-27T00:05:00Z</dcterms:created>
  <dcterms:modified xsi:type="dcterms:W3CDTF">2012-03-27T00:47:00Z</dcterms:modified>
</cp:coreProperties>
</file>