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02" w:rsidRDefault="00195802" w:rsidP="00520990"/>
    <w:p w:rsidR="00F46498" w:rsidRDefault="00F46498" w:rsidP="00520990"/>
    <w:p w:rsidR="00F46498" w:rsidRDefault="00F46498" w:rsidP="00520990"/>
    <w:p w:rsidR="006278B4" w:rsidRDefault="006278B4" w:rsidP="00520990"/>
    <w:p w:rsidR="006278B4" w:rsidRDefault="006278B4" w:rsidP="00520990"/>
    <w:p w:rsidR="00195802" w:rsidRDefault="00195802" w:rsidP="00520990"/>
    <w:p w:rsidR="00195802" w:rsidRPr="000E152D" w:rsidRDefault="00FB0D21" w:rsidP="0044035B">
      <w:pPr>
        <w:jc w:val="center"/>
        <w:rPr>
          <w:b/>
          <w:sz w:val="28"/>
          <w:szCs w:val="28"/>
        </w:rPr>
      </w:pPr>
      <w:r w:rsidRPr="000E152D">
        <w:rPr>
          <w:b/>
          <w:sz w:val="28"/>
          <w:szCs w:val="28"/>
        </w:rPr>
        <w:t xml:space="preserve">Momentum </w:t>
      </w:r>
      <w:r>
        <w:rPr>
          <w:b/>
          <w:sz w:val="28"/>
          <w:szCs w:val="28"/>
        </w:rPr>
        <w:t xml:space="preserve">Strategies for </w:t>
      </w:r>
      <w:r w:rsidR="00195802" w:rsidRPr="000E152D">
        <w:rPr>
          <w:b/>
          <w:sz w:val="28"/>
          <w:szCs w:val="28"/>
        </w:rPr>
        <w:t xml:space="preserve">Style </w:t>
      </w:r>
      <w:r w:rsidR="003C29CF" w:rsidRPr="000E152D">
        <w:rPr>
          <w:b/>
          <w:sz w:val="28"/>
          <w:szCs w:val="28"/>
        </w:rPr>
        <w:t xml:space="preserve">and Sector </w:t>
      </w:r>
      <w:r w:rsidR="00195802" w:rsidRPr="000E152D">
        <w:rPr>
          <w:b/>
          <w:sz w:val="28"/>
          <w:szCs w:val="28"/>
        </w:rPr>
        <w:t>Indexes</w:t>
      </w:r>
    </w:p>
    <w:p w:rsidR="00195802" w:rsidRPr="000E152D" w:rsidRDefault="00195802" w:rsidP="00520990">
      <w:pPr>
        <w:rPr>
          <w:b/>
        </w:rPr>
      </w:pPr>
    </w:p>
    <w:p w:rsidR="0044035B" w:rsidRDefault="0044035B" w:rsidP="00520990"/>
    <w:p w:rsidR="00195802" w:rsidRDefault="00195802" w:rsidP="0044035B">
      <w:pPr>
        <w:jc w:val="center"/>
      </w:pPr>
      <w:r>
        <w:t>By</w:t>
      </w:r>
    </w:p>
    <w:p w:rsidR="00195802" w:rsidRDefault="00195802" w:rsidP="0044035B">
      <w:pPr>
        <w:jc w:val="center"/>
      </w:pPr>
    </w:p>
    <w:p w:rsidR="00195802" w:rsidRDefault="00195802" w:rsidP="0044035B">
      <w:pPr>
        <w:jc w:val="center"/>
      </w:pPr>
    </w:p>
    <w:p w:rsidR="00195802" w:rsidRDefault="008D19EF" w:rsidP="0044035B">
      <w:pPr>
        <w:jc w:val="center"/>
      </w:pPr>
      <w:r>
        <w:t>Linda H. Chen</w:t>
      </w:r>
      <w:r w:rsidR="00686F60">
        <w:t xml:space="preserve">, </w:t>
      </w:r>
      <w:r w:rsidR="00195802">
        <w:t>George J. Jiang and Kevin X. Zhu</w:t>
      </w:r>
    </w:p>
    <w:p w:rsidR="00195802" w:rsidRDefault="00195802" w:rsidP="00520990"/>
    <w:p w:rsidR="00195802" w:rsidRDefault="00195802" w:rsidP="00520990"/>
    <w:p w:rsidR="00C2136F" w:rsidRDefault="00833AE5" w:rsidP="005966BC">
      <w:pPr>
        <w:jc w:val="center"/>
      </w:pPr>
      <w:r>
        <w:t>March</w:t>
      </w:r>
      <w:r w:rsidR="00895099">
        <w:t xml:space="preserve"> </w:t>
      </w:r>
      <w:bookmarkStart w:id="0" w:name="_GoBack"/>
      <w:bookmarkEnd w:id="0"/>
      <w:r w:rsidR="00DF2EBB">
        <w:t>8</w:t>
      </w:r>
      <w:r w:rsidR="00195802">
        <w:t>, 20</w:t>
      </w:r>
      <w:r w:rsidR="00D97B73">
        <w:t>1</w:t>
      </w:r>
      <w:r w:rsidR="00FB0D21">
        <w:t>2</w:t>
      </w:r>
      <w:r w:rsidR="009840B9">
        <w:rPr>
          <w:rStyle w:val="FootnoteReference"/>
        </w:rPr>
        <w:footnoteReference w:id="1"/>
      </w:r>
    </w:p>
    <w:p w:rsidR="00FD1DF3" w:rsidRDefault="00C2136F" w:rsidP="00FD1DF3">
      <w:pPr>
        <w:jc w:val="center"/>
      </w:pPr>
      <w:r>
        <w:br w:type="page"/>
      </w:r>
    </w:p>
    <w:p w:rsidR="00FD1DF3" w:rsidRDefault="00FD1DF3" w:rsidP="00FE5B83">
      <w:pPr>
        <w:spacing w:line="480" w:lineRule="auto"/>
        <w:ind w:left="-540"/>
        <w:contextualSpacing/>
        <w:jc w:val="center"/>
      </w:pPr>
    </w:p>
    <w:p w:rsidR="00FD1DF3" w:rsidRDefault="00FD1DF3" w:rsidP="00FE5B83">
      <w:pPr>
        <w:spacing w:line="480" w:lineRule="auto"/>
        <w:ind w:left="-540"/>
        <w:contextualSpacing/>
        <w:jc w:val="center"/>
      </w:pPr>
    </w:p>
    <w:p w:rsidR="00FB0D21" w:rsidRPr="000E152D" w:rsidRDefault="00FB0D21" w:rsidP="00FB0D21">
      <w:pPr>
        <w:jc w:val="center"/>
        <w:rPr>
          <w:b/>
          <w:sz w:val="28"/>
          <w:szCs w:val="28"/>
        </w:rPr>
      </w:pPr>
      <w:r w:rsidRPr="000E152D">
        <w:rPr>
          <w:b/>
          <w:sz w:val="28"/>
          <w:szCs w:val="28"/>
        </w:rPr>
        <w:t xml:space="preserve">Momentum </w:t>
      </w:r>
      <w:r>
        <w:rPr>
          <w:b/>
          <w:sz w:val="28"/>
          <w:szCs w:val="28"/>
        </w:rPr>
        <w:t xml:space="preserve">Strategies for </w:t>
      </w:r>
      <w:r w:rsidRPr="000E152D">
        <w:rPr>
          <w:b/>
          <w:sz w:val="28"/>
          <w:szCs w:val="28"/>
        </w:rPr>
        <w:t>Style and Sector Indexes</w:t>
      </w:r>
    </w:p>
    <w:p w:rsidR="00FB0D21" w:rsidRDefault="00FB0D21" w:rsidP="00FE5B83">
      <w:pPr>
        <w:spacing w:line="480" w:lineRule="auto"/>
        <w:ind w:left="-540" w:right="-900"/>
        <w:contextualSpacing/>
        <w:jc w:val="center"/>
        <w:rPr>
          <w:sz w:val="28"/>
          <w:szCs w:val="28"/>
        </w:rPr>
      </w:pPr>
    </w:p>
    <w:p w:rsidR="00FD1DF3" w:rsidRPr="00FB0D21" w:rsidRDefault="00FD1DF3" w:rsidP="00FE5B83">
      <w:pPr>
        <w:spacing w:line="480" w:lineRule="auto"/>
        <w:ind w:left="-540" w:right="-900"/>
        <w:contextualSpacing/>
        <w:jc w:val="center"/>
        <w:rPr>
          <w:i/>
          <w:sz w:val="28"/>
          <w:szCs w:val="28"/>
        </w:rPr>
      </w:pPr>
      <w:r w:rsidRPr="00FB0D21">
        <w:rPr>
          <w:i/>
          <w:sz w:val="28"/>
          <w:szCs w:val="28"/>
        </w:rPr>
        <w:t>Abstract</w:t>
      </w:r>
    </w:p>
    <w:p w:rsidR="00E067D4" w:rsidRDefault="00044AD0" w:rsidP="00FE5B83">
      <w:pPr>
        <w:spacing w:line="480" w:lineRule="auto"/>
        <w:ind w:left="-540" w:right="-900"/>
        <w:contextualSpacing/>
      </w:pPr>
      <w:r>
        <w:tab/>
      </w:r>
      <w:r w:rsidR="00FD1DF3" w:rsidRPr="00FD1DF3">
        <w:t xml:space="preserve">Existing </w:t>
      </w:r>
      <w:r w:rsidR="00FD1DF3">
        <w:t xml:space="preserve">literature documents that cross-sectional stock returns exhibit </w:t>
      </w:r>
      <w:r w:rsidR="003A79CC">
        <w:t xml:space="preserve">both </w:t>
      </w:r>
      <w:r w:rsidR="00D0187E">
        <w:t xml:space="preserve">price </w:t>
      </w:r>
      <w:r w:rsidR="0022618B">
        <w:t xml:space="preserve">momentum </w:t>
      </w:r>
      <w:r w:rsidR="00D0187E">
        <w:t>and earning</w:t>
      </w:r>
      <w:r w:rsidR="00514ADA">
        <w:t>s</w:t>
      </w:r>
      <w:r w:rsidR="00D0187E">
        <w:t xml:space="preserve"> </w:t>
      </w:r>
      <w:r w:rsidR="006F4853">
        <w:t>momentum</w:t>
      </w:r>
      <w:r w:rsidR="00FD1DF3">
        <w:t xml:space="preserve">. In this paper, we </w:t>
      </w:r>
      <w:r w:rsidR="009865D6">
        <w:t xml:space="preserve">examine whether </w:t>
      </w:r>
      <w:r w:rsidR="0054337F">
        <w:t xml:space="preserve">commonly used </w:t>
      </w:r>
      <w:r w:rsidR="009865D6">
        <w:t xml:space="preserve">style </w:t>
      </w:r>
      <w:r w:rsidR="00FD1DF3">
        <w:t>and secto</w:t>
      </w:r>
      <w:r w:rsidR="00571C56">
        <w:t xml:space="preserve">r indexes </w:t>
      </w:r>
      <w:r w:rsidR="00D650C4">
        <w:t xml:space="preserve">also </w:t>
      </w:r>
      <w:r w:rsidR="000C0C4F">
        <w:t>have</w:t>
      </w:r>
      <w:r w:rsidR="00FD1DF3">
        <w:t xml:space="preserve"> momentum patterns</w:t>
      </w:r>
      <w:r w:rsidR="00935101">
        <w:t xml:space="preserve">. </w:t>
      </w:r>
      <w:r w:rsidR="004B0D70">
        <w:t>We</w:t>
      </w:r>
      <w:r w:rsidR="00935101">
        <w:t xml:space="preserve"> show that </w:t>
      </w:r>
      <w:r w:rsidR="009865D6">
        <w:t xml:space="preserve">style </w:t>
      </w:r>
      <w:r w:rsidR="00781F21">
        <w:t xml:space="preserve">indexes </w:t>
      </w:r>
      <w:r w:rsidR="009865D6">
        <w:t>exhibit</w:t>
      </w:r>
      <w:r w:rsidR="000C0C4F">
        <w:t xml:space="preserve"> </w:t>
      </w:r>
      <w:r w:rsidR="00781F21">
        <w:t xml:space="preserve">strong </w:t>
      </w:r>
      <w:r w:rsidR="000C0C4F">
        <w:t>price momentum</w:t>
      </w:r>
      <w:r w:rsidR="009865D6">
        <w:t xml:space="preserve">, </w:t>
      </w:r>
      <w:r w:rsidR="00781F21">
        <w:t xml:space="preserve">but </w:t>
      </w:r>
      <w:r w:rsidR="00C56E53">
        <w:t>little</w:t>
      </w:r>
      <w:r w:rsidR="00781F21">
        <w:t xml:space="preserve"> evidence of earnings momentum. On the other hand, </w:t>
      </w:r>
      <w:r w:rsidR="000C0C4F">
        <w:t xml:space="preserve">sector indexes exhibit </w:t>
      </w:r>
      <w:r w:rsidR="00781F21">
        <w:t xml:space="preserve">both significant price </w:t>
      </w:r>
      <w:r w:rsidR="0022618B">
        <w:t xml:space="preserve">momentum </w:t>
      </w:r>
      <w:r w:rsidR="00781F21">
        <w:t xml:space="preserve">and </w:t>
      </w:r>
      <w:r w:rsidR="000C0C4F">
        <w:t>earnings momentum</w:t>
      </w:r>
      <w:r w:rsidR="009865D6">
        <w:t>. Moreover</w:t>
      </w:r>
      <w:r w:rsidR="00D0187E">
        <w:t xml:space="preserve">, we </w:t>
      </w:r>
      <w:r w:rsidR="00C652E8">
        <w:t xml:space="preserve">provide evidence </w:t>
      </w:r>
      <w:r w:rsidR="00E067D4">
        <w:t xml:space="preserve">that price </w:t>
      </w:r>
      <w:r w:rsidR="00D0187E">
        <w:t>momentum in s</w:t>
      </w:r>
      <w:r w:rsidR="00E067D4">
        <w:t xml:space="preserve">tyle </w:t>
      </w:r>
      <w:r w:rsidR="00D0187E">
        <w:t>indexes</w:t>
      </w:r>
      <w:r w:rsidR="00E067D4">
        <w:t xml:space="preserve"> </w:t>
      </w:r>
      <w:r w:rsidR="00AE765F">
        <w:t>can be explained</w:t>
      </w:r>
      <w:r w:rsidR="00E067D4">
        <w:t xml:space="preserve"> by individual stock return momentum</w:t>
      </w:r>
      <w:r w:rsidR="00D0187E">
        <w:t xml:space="preserve">, </w:t>
      </w:r>
      <w:r w:rsidR="00E067D4">
        <w:t>whereas price momentum in s</w:t>
      </w:r>
      <w:r w:rsidR="009865D6">
        <w:t xml:space="preserve">ector </w:t>
      </w:r>
      <w:r w:rsidR="00E067D4">
        <w:t xml:space="preserve">indexes is driven </w:t>
      </w:r>
      <w:r w:rsidR="009865D6">
        <w:t xml:space="preserve">by </w:t>
      </w:r>
      <w:r w:rsidR="00E067D4">
        <w:t>earnings momentum.</w:t>
      </w:r>
      <w:r w:rsidR="00701547">
        <w:t xml:space="preserve"> </w:t>
      </w:r>
      <w:r w:rsidR="009D2DB4">
        <w:t xml:space="preserve">Finally, we </w:t>
      </w:r>
      <w:r w:rsidR="004318CE">
        <w:t xml:space="preserve">show </w:t>
      </w:r>
      <w:r w:rsidR="00E067D4">
        <w:t xml:space="preserve">that </w:t>
      </w:r>
      <w:r w:rsidR="00701547">
        <w:t xml:space="preserve">a dynamic momentum strategy can further enhance </w:t>
      </w:r>
      <w:r w:rsidR="00571C56">
        <w:t xml:space="preserve">the </w:t>
      </w:r>
      <w:r w:rsidR="00E067D4">
        <w:t xml:space="preserve">performance </w:t>
      </w:r>
      <w:r w:rsidR="00514ADA">
        <w:t xml:space="preserve">of style investment </w:t>
      </w:r>
      <w:r w:rsidR="00A37AF2">
        <w:t>even after adjusting for transaction costs</w:t>
      </w:r>
      <w:r w:rsidR="00E067D4">
        <w:t xml:space="preserve">.  </w:t>
      </w:r>
    </w:p>
    <w:p w:rsidR="00EF7CC2" w:rsidRDefault="00EF7CC2" w:rsidP="00FE5B83">
      <w:pPr>
        <w:spacing w:line="480" w:lineRule="auto"/>
        <w:ind w:left="-540" w:right="-900"/>
        <w:contextualSpacing/>
      </w:pPr>
    </w:p>
    <w:p w:rsidR="00EF7CC2" w:rsidRPr="00FD1DF3" w:rsidRDefault="0060321D" w:rsidP="00FE5B83">
      <w:pPr>
        <w:spacing w:line="480" w:lineRule="auto"/>
        <w:ind w:left="-540" w:right="-900"/>
        <w:contextualSpacing/>
      </w:pPr>
      <w:r>
        <w:tab/>
      </w:r>
      <w:r w:rsidR="00EF7CC2" w:rsidRPr="00EF7CC2">
        <w:rPr>
          <w:i/>
        </w:rPr>
        <w:t>Key Words</w:t>
      </w:r>
      <w:r w:rsidR="00EF7CC2">
        <w:t xml:space="preserve">: </w:t>
      </w:r>
      <w:r w:rsidR="00EF7CC2" w:rsidRPr="00EF7CC2">
        <w:t>Style Indexes</w:t>
      </w:r>
      <w:r w:rsidR="00B114F7">
        <w:t>;</w:t>
      </w:r>
      <w:r w:rsidR="00EF7CC2" w:rsidRPr="00EF7CC2">
        <w:t xml:space="preserve"> Sector Indexes</w:t>
      </w:r>
      <w:r w:rsidR="00B114F7">
        <w:t>;</w:t>
      </w:r>
      <w:r w:rsidR="00EF7CC2" w:rsidRPr="00EF7CC2">
        <w:t xml:space="preserve"> Price Momentum</w:t>
      </w:r>
      <w:r w:rsidR="00B114F7">
        <w:t>;</w:t>
      </w:r>
      <w:r w:rsidR="00EF7CC2" w:rsidRPr="00EF7CC2">
        <w:t xml:space="preserve"> Earnings Momentum</w:t>
      </w:r>
      <w:r w:rsidR="00B114F7">
        <w:t>;</w:t>
      </w:r>
      <w:r w:rsidR="00EF7CC2" w:rsidRPr="00EF7CC2">
        <w:t xml:space="preserve"> Transaction Costs</w:t>
      </w:r>
    </w:p>
    <w:p w:rsidR="00FD1DF3" w:rsidRPr="00FD1DF3" w:rsidRDefault="00FD1DF3" w:rsidP="00FE5B83">
      <w:pPr>
        <w:spacing w:line="480" w:lineRule="auto"/>
        <w:ind w:left="-540" w:right="-900"/>
        <w:contextualSpacing/>
      </w:pPr>
    </w:p>
    <w:p w:rsidR="00FD1DF3" w:rsidRDefault="00FD1DF3" w:rsidP="00FE5B83">
      <w:pPr>
        <w:spacing w:line="480" w:lineRule="auto"/>
        <w:ind w:left="-540" w:right="-900"/>
        <w:contextualSpacing/>
        <w:rPr>
          <w:b/>
        </w:rPr>
      </w:pPr>
    </w:p>
    <w:p w:rsidR="00B93EC4" w:rsidRPr="00BB17F0" w:rsidRDefault="00FD1DF3" w:rsidP="00FE5B83">
      <w:pPr>
        <w:spacing w:line="480" w:lineRule="auto"/>
        <w:ind w:left="-540" w:right="-900"/>
        <w:contextualSpacing/>
        <w:rPr>
          <w:b/>
        </w:rPr>
      </w:pPr>
      <w:r>
        <w:rPr>
          <w:b/>
        </w:rPr>
        <w:br w:type="page"/>
      </w:r>
      <w:r w:rsidR="00B93EC4" w:rsidRPr="00BB17F0">
        <w:rPr>
          <w:b/>
        </w:rPr>
        <w:lastRenderedPageBreak/>
        <w:t>1. Introduction</w:t>
      </w:r>
    </w:p>
    <w:p w:rsidR="00BB417F" w:rsidRDefault="00077323" w:rsidP="00FE5B83">
      <w:pPr>
        <w:spacing w:line="480" w:lineRule="auto"/>
        <w:ind w:left="-540" w:right="-900"/>
        <w:contextualSpacing/>
        <w:rPr>
          <w:lang w:eastAsia="en-US"/>
        </w:rPr>
      </w:pPr>
      <w:r>
        <w:tab/>
      </w:r>
      <w:r w:rsidR="00B93EC4" w:rsidRPr="00F5178E">
        <w:t>Existing literature has documented that</w:t>
      </w:r>
      <w:r w:rsidR="000362FF">
        <w:t xml:space="preserve"> cross-sectional</w:t>
      </w:r>
      <w:r w:rsidR="00B93EC4" w:rsidRPr="00F5178E">
        <w:t xml:space="preserve"> stock returns exhibit </w:t>
      </w:r>
      <w:r w:rsidR="00182B8E">
        <w:t xml:space="preserve">price </w:t>
      </w:r>
      <w:r w:rsidR="00B93EC4" w:rsidRPr="00F5178E">
        <w:t>momentum patterns. Namely, past winners continue to perform well</w:t>
      </w:r>
      <w:r w:rsidR="004204AB">
        <w:t>,</w:t>
      </w:r>
      <w:r w:rsidR="00B93EC4" w:rsidRPr="00F5178E">
        <w:t xml:space="preserve"> and past los</w:t>
      </w:r>
      <w:r w:rsidR="00315153">
        <w:t>ers continue to perform poorly.</w:t>
      </w:r>
      <w:r w:rsidR="00FC2F56">
        <w:t xml:space="preserve"> </w:t>
      </w:r>
      <w:r w:rsidR="00575803">
        <w:t xml:space="preserve">Stock price momentum is first documented by </w:t>
      </w:r>
      <w:bookmarkStart w:id="3" w:name="OLE_LINK9"/>
      <w:bookmarkStart w:id="4" w:name="OLE_LINK10"/>
      <w:proofErr w:type="spellStart"/>
      <w:r w:rsidR="00F5178E" w:rsidRPr="00F5178E">
        <w:rPr>
          <w:lang w:eastAsia="en-US"/>
        </w:rPr>
        <w:t>Jegadeesh</w:t>
      </w:r>
      <w:proofErr w:type="spellEnd"/>
      <w:r w:rsidR="00F5178E" w:rsidRPr="00F5178E">
        <w:rPr>
          <w:lang w:eastAsia="en-US"/>
        </w:rPr>
        <w:t xml:space="preserve"> and Titman (1993)</w:t>
      </w:r>
      <w:bookmarkEnd w:id="3"/>
      <w:bookmarkEnd w:id="4"/>
      <w:r w:rsidR="00F5178E" w:rsidRPr="00F5178E">
        <w:rPr>
          <w:lang w:eastAsia="en-US"/>
        </w:rPr>
        <w:t xml:space="preserve"> </w:t>
      </w:r>
      <w:r w:rsidR="00575803">
        <w:rPr>
          <w:lang w:eastAsia="en-US"/>
        </w:rPr>
        <w:t xml:space="preserve">who </w:t>
      </w:r>
      <w:r w:rsidR="00F5178E" w:rsidRPr="00F5178E">
        <w:rPr>
          <w:lang w:eastAsia="en-US"/>
        </w:rPr>
        <w:t xml:space="preserve">show that stocks with </w:t>
      </w:r>
      <w:r w:rsidR="00F5178E">
        <w:rPr>
          <w:lang w:eastAsia="en-US"/>
        </w:rPr>
        <w:t>h</w:t>
      </w:r>
      <w:r w:rsidR="00F5178E" w:rsidRPr="00F5178E">
        <w:rPr>
          <w:lang w:eastAsia="en-US"/>
        </w:rPr>
        <w:t>igher</w:t>
      </w:r>
      <w:r w:rsidR="00F5178E">
        <w:rPr>
          <w:lang w:eastAsia="en-US"/>
        </w:rPr>
        <w:t xml:space="preserve"> past returns subsequently </w:t>
      </w:r>
      <w:r w:rsidR="00D46567">
        <w:rPr>
          <w:lang w:eastAsia="en-US"/>
        </w:rPr>
        <w:t>have</w:t>
      </w:r>
      <w:r w:rsidR="00F5178E">
        <w:rPr>
          <w:lang w:eastAsia="en-US"/>
        </w:rPr>
        <w:t xml:space="preserve"> </w:t>
      </w:r>
      <w:r w:rsidR="00F5178E" w:rsidRPr="00F5178E">
        <w:rPr>
          <w:lang w:eastAsia="en-US"/>
        </w:rPr>
        <w:t>higher returns, at horizons ranging from 3 to 12 months. They</w:t>
      </w:r>
      <w:r w:rsidR="00F5178E">
        <w:rPr>
          <w:lang w:eastAsia="en-US"/>
        </w:rPr>
        <w:t xml:space="preserve"> refer to investment strategies </w:t>
      </w:r>
      <w:r w:rsidR="00F5178E" w:rsidRPr="00F5178E">
        <w:rPr>
          <w:lang w:eastAsia="en-US"/>
        </w:rPr>
        <w:t>of buying past winners and selling past losers as relative streng</w:t>
      </w:r>
      <w:r w:rsidR="00F5178E">
        <w:rPr>
          <w:lang w:eastAsia="en-US"/>
        </w:rPr>
        <w:t xml:space="preserve">th strategies, which are widely </w:t>
      </w:r>
      <w:r w:rsidR="00F5178E" w:rsidRPr="00F5178E">
        <w:rPr>
          <w:lang w:eastAsia="en-US"/>
        </w:rPr>
        <w:t>referred to as momentum strategies in subsequent studi</w:t>
      </w:r>
      <w:r w:rsidR="00F5178E">
        <w:rPr>
          <w:lang w:eastAsia="en-US"/>
        </w:rPr>
        <w:t xml:space="preserve">es. </w:t>
      </w:r>
    </w:p>
    <w:p w:rsidR="00F80316" w:rsidRPr="00C16B19" w:rsidRDefault="00077323" w:rsidP="00FE5B83">
      <w:pPr>
        <w:spacing w:line="480" w:lineRule="auto"/>
        <w:ind w:left="-540" w:right="-900"/>
        <w:contextualSpacing/>
        <w:rPr>
          <w:lang w:eastAsia="en-US"/>
        </w:rPr>
      </w:pPr>
      <w:r>
        <w:rPr>
          <w:lang w:eastAsia="en-US"/>
        </w:rPr>
        <w:tab/>
      </w:r>
      <w:r w:rsidR="00BB417F">
        <w:rPr>
          <w:lang w:eastAsia="en-US"/>
        </w:rPr>
        <w:t>In addition to price momentum, the literature also documents an earnings momentum pattern</w:t>
      </w:r>
      <w:r w:rsidR="00AE765F">
        <w:rPr>
          <w:lang w:eastAsia="en-US"/>
        </w:rPr>
        <w:t xml:space="preserve"> or </w:t>
      </w:r>
      <w:r w:rsidR="00BB417F">
        <w:rPr>
          <w:lang w:eastAsia="en-US"/>
        </w:rPr>
        <w:t>the well-known post-earnings announcement drift (PEAD) phenomenon</w:t>
      </w:r>
      <w:r w:rsidR="00AE765F">
        <w:rPr>
          <w:lang w:eastAsia="en-US"/>
        </w:rPr>
        <w:t xml:space="preserve">. That is, </w:t>
      </w:r>
      <w:r w:rsidR="00BB417F">
        <w:rPr>
          <w:lang w:eastAsia="en-US"/>
        </w:rPr>
        <w:t xml:space="preserve">firms reporting unexpectedly high earnings subsequently outperform firms reporting unexpectedly low earnings. The superior performance </w:t>
      </w:r>
      <w:r w:rsidR="004204AB">
        <w:rPr>
          <w:lang w:eastAsia="en-US"/>
        </w:rPr>
        <w:t>persists</w:t>
      </w:r>
      <w:r w:rsidR="00BB417F">
        <w:rPr>
          <w:lang w:eastAsia="en-US"/>
        </w:rPr>
        <w:t xml:space="preserve"> for about nine months after the earnings announcement. Ball and Brown (1968) is the first to document </w:t>
      </w:r>
      <w:r w:rsidR="00AE765F">
        <w:rPr>
          <w:lang w:eastAsia="en-US"/>
        </w:rPr>
        <w:t xml:space="preserve">an apparent delay in the stock </w:t>
      </w:r>
      <w:r w:rsidR="00BB417F">
        <w:rPr>
          <w:lang w:eastAsia="en-US"/>
        </w:rPr>
        <w:t>price reaction to earnings</w:t>
      </w:r>
      <w:r w:rsidR="004204AB">
        <w:rPr>
          <w:lang w:eastAsia="en-US"/>
        </w:rPr>
        <w:t xml:space="preserve"> surprises</w:t>
      </w:r>
      <w:r w:rsidR="00BB417F">
        <w:rPr>
          <w:lang w:eastAsia="en-US"/>
        </w:rPr>
        <w:t>.</w:t>
      </w:r>
      <w:r w:rsidR="00BB417F" w:rsidRPr="00286E39">
        <w:rPr>
          <w:lang w:eastAsia="en-US"/>
        </w:rPr>
        <w:t xml:space="preserve"> </w:t>
      </w:r>
      <w:r w:rsidR="00E060AD">
        <w:rPr>
          <w:lang w:eastAsia="en-US"/>
        </w:rPr>
        <w:t xml:space="preserve">Based on the data from 1974 to 1981, </w:t>
      </w:r>
      <w:r w:rsidR="00BB417F">
        <w:t xml:space="preserve">Foster, Olsen, and </w:t>
      </w:r>
      <w:proofErr w:type="spellStart"/>
      <w:r w:rsidR="00BB417F">
        <w:t>Shevlin</w:t>
      </w:r>
      <w:proofErr w:type="spellEnd"/>
      <w:r w:rsidR="00BB417F">
        <w:rPr>
          <w:lang w:eastAsia="en-US"/>
        </w:rPr>
        <w:t xml:space="preserve"> (1984) </w:t>
      </w:r>
      <w:r w:rsidR="00EB738F">
        <w:rPr>
          <w:lang w:eastAsia="en-US"/>
        </w:rPr>
        <w:t xml:space="preserve">show that there is potentially </w:t>
      </w:r>
      <w:r w:rsidR="00BB417F">
        <w:rPr>
          <w:lang w:eastAsia="en-US"/>
        </w:rPr>
        <w:t xml:space="preserve">an annualized payoff of 25% from earnings momentum strategies. </w:t>
      </w:r>
    </w:p>
    <w:p w:rsidR="00EA6C55" w:rsidRDefault="00077323" w:rsidP="00F51936">
      <w:pPr>
        <w:spacing w:line="480" w:lineRule="auto"/>
        <w:ind w:left="-540" w:right="-900"/>
        <w:contextualSpacing/>
        <w:rPr>
          <w:lang w:eastAsia="en-US"/>
        </w:rPr>
      </w:pPr>
      <w:r>
        <w:rPr>
          <w:lang w:eastAsia="en-US"/>
        </w:rPr>
        <w:tab/>
      </w:r>
      <w:r w:rsidR="00F91D74">
        <w:rPr>
          <w:lang w:eastAsia="en-US"/>
        </w:rPr>
        <w:t>In this paper, we examine whether widely used style indexes and sector indexes in the financial industry also exhibit momentum patterns</w:t>
      </w:r>
      <w:r w:rsidR="00FC6B81">
        <w:rPr>
          <w:lang w:eastAsia="en-US"/>
        </w:rPr>
        <w:t xml:space="preserve"> and </w:t>
      </w:r>
      <w:r w:rsidR="000117D4">
        <w:rPr>
          <w:lang w:eastAsia="en-US"/>
        </w:rPr>
        <w:t xml:space="preserve">how </w:t>
      </w:r>
      <w:r w:rsidR="00DF07F3">
        <w:rPr>
          <w:lang w:eastAsia="en-US"/>
        </w:rPr>
        <w:t>price momentum</w:t>
      </w:r>
      <w:r w:rsidR="000117D4">
        <w:rPr>
          <w:lang w:eastAsia="en-US"/>
        </w:rPr>
        <w:t xml:space="preserve"> is related to earnings momentum at the style and sector index level</w:t>
      </w:r>
      <w:r w:rsidR="00AA0186">
        <w:rPr>
          <w:lang w:eastAsia="en-US"/>
        </w:rPr>
        <w:t xml:space="preserve">. </w:t>
      </w:r>
      <w:r w:rsidR="00F51936">
        <w:rPr>
          <w:lang w:eastAsia="en-US"/>
        </w:rPr>
        <w:t>The main motivation of</w:t>
      </w:r>
      <w:r w:rsidR="003960E8">
        <w:rPr>
          <w:lang w:eastAsia="en-US"/>
        </w:rPr>
        <w:t xml:space="preserve"> our study is </w:t>
      </w:r>
      <w:r w:rsidR="00F51936">
        <w:rPr>
          <w:lang w:eastAsia="en-US"/>
        </w:rPr>
        <w:t>that d</w:t>
      </w:r>
      <w:r w:rsidR="00EA6C55">
        <w:rPr>
          <w:lang w:eastAsia="en-US"/>
        </w:rPr>
        <w:t xml:space="preserve">espite the documented </w:t>
      </w:r>
      <w:r w:rsidR="00EA6C55">
        <w:t xml:space="preserve">price </w:t>
      </w:r>
      <w:r w:rsidR="00EA6C55" w:rsidRPr="00174AB9">
        <w:t xml:space="preserve">momentum </w:t>
      </w:r>
      <w:r w:rsidR="00EA6C55">
        <w:t xml:space="preserve">and earnings </w:t>
      </w:r>
      <w:r w:rsidR="00EA6C55" w:rsidRPr="00174AB9">
        <w:t>momentum</w:t>
      </w:r>
      <w:r w:rsidR="00F51936">
        <w:t xml:space="preserve"> in individual stocks</w:t>
      </w:r>
      <w:r w:rsidR="00EA6C55">
        <w:t>, implementing such</w:t>
      </w:r>
      <w:r w:rsidR="00CF5C34" w:rsidRPr="00174AB9">
        <w:t xml:space="preserve"> trading </w:t>
      </w:r>
      <w:r w:rsidR="00CF5C34">
        <w:t xml:space="preserve">strategies </w:t>
      </w:r>
      <w:r w:rsidR="00CF5C34" w:rsidRPr="00174AB9">
        <w:t>can be costly</w:t>
      </w:r>
      <w:r w:rsidR="00D65AE6">
        <w:t xml:space="preserve"> if not infeasible</w:t>
      </w:r>
      <w:r w:rsidR="00CF5C34" w:rsidRPr="00174AB9">
        <w:t xml:space="preserve">. This is because </w:t>
      </w:r>
      <w:r w:rsidR="00CF5C34">
        <w:t xml:space="preserve">these strategies </w:t>
      </w:r>
      <w:r w:rsidR="00CF5C34" w:rsidRPr="00174AB9">
        <w:t xml:space="preserve">involve trading on a large number of winner and loser stocks. </w:t>
      </w:r>
      <w:r w:rsidR="00CF5C34">
        <w:t>As a result</w:t>
      </w:r>
      <w:r w:rsidR="00CF5C34" w:rsidRPr="00174AB9">
        <w:t xml:space="preserve">, </w:t>
      </w:r>
      <w:r w:rsidR="00CF5C34">
        <w:t xml:space="preserve">an important question is: </w:t>
      </w:r>
      <w:r w:rsidR="00CF5C34" w:rsidRPr="00174AB9">
        <w:t>can momentum e</w:t>
      </w:r>
      <w:r w:rsidR="00CF5C34">
        <w:t>ffect</w:t>
      </w:r>
      <w:r w:rsidR="00D65AE6">
        <w:t>s</w:t>
      </w:r>
      <w:r w:rsidR="00CF5C34">
        <w:t xml:space="preserve"> survive transaction costs?</w:t>
      </w:r>
      <w:r w:rsidR="00CF5C34" w:rsidRPr="00174AB9">
        <w:t xml:space="preserve"> </w:t>
      </w:r>
      <w:proofErr w:type="spellStart"/>
      <w:r w:rsidR="00CF5C34" w:rsidRPr="00174AB9">
        <w:rPr>
          <w:lang w:eastAsia="en-US"/>
        </w:rPr>
        <w:t>Lesmond</w:t>
      </w:r>
      <w:proofErr w:type="spellEnd"/>
      <w:r w:rsidR="00CF5C34" w:rsidRPr="00174AB9">
        <w:rPr>
          <w:lang w:eastAsia="en-US"/>
        </w:rPr>
        <w:t xml:space="preserve">, </w:t>
      </w:r>
      <w:proofErr w:type="spellStart"/>
      <w:r w:rsidR="00CF5C34" w:rsidRPr="00174AB9">
        <w:rPr>
          <w:lang w:eastAsia="en-US"/>
        </w:rPr>
        <w:t>Schill</w:t>
      </w:r>
      <w:proofErr w:type="spellEnd"/>
      <w:r w:rsidR="00CF5C34" w:rsidRPr="00174AB9">
        <w:rPr>
          <w:lang w:eastAsia="en-US"/>
        </w:rPr>
        <w:t>, and Zhou (2004)</w:t>
      </w:r>
      <w:r w:rsidR="00CF5C34">
        <w:rPr>
          <w:lang w:eastAsia="en-US"/>
        </w:rPr>
        <w:t xml:space="preserve"> and </w:t>
      </w:r>
      <w:proofErr w:type="spellStart"/>
      <w:r w:rsidR="00CF5C34" w:rsidRPr="00174AB9">
        <w:rPr>
          <w:lang w:eastAsia="en-US"/>
        </w:rPr>
        <w:t>Korajczyk</w:t>
      </w:r>
      <w:proofErr w:type="spellEnd"/>
      <w:r w:rsidR="00CF5C34" w:rsidRPr="00174AB9">
        <w:rPr>
          <w:lang w:eastAsia="en-US"/>
        </w:rPr>
        <w:t xml:space="preserve"> and </w:t>
      </w:r>
      <w:proofErr w:type="spellStart"/>
      <w:r w:rsidR="00CF5C34" w:rsidRPr="00174AB9">
        <w:rPr>
          <w:lang w:eastAsia="en-US"/>
        </w:rPr>
        <w:t>Sadka</w:t>
      </w:r>
      <w:proofErr w:type="spellEnd"/>
      <w:r w:rsidR="00CF5C34" w:rsidRPr="00174AB9">
        <w:rPr>
          <w:lang w:eastAsia="en-US"/>
        </w:rPr>
        <w:t xml:space="preserve"> (2004)</w:t>
      </w:r>
      <w:r w:rsidR="00CF5C34">
        <w:rPr>
          <w:lang w:eastAsia="en-US"/>
        </w:rPr>
        <w:t xml:space="preserve"> examine the effect of t</w:t>
      </w:r>
      <w:r w:rsidR="00CF5C34" w:rsidRPr="00174AB9">
        <w:rPr>
          <w:lang w:eastAsia="en-US"/>
        </w:rPr>
        <w:t xml:space="preserve">ransaction </w:t>
      </w:r>
      <w:r w:rsidR="00CF5C34">
        <w:rPr>
          <w:lang w:eastAsia="en-US"/>
        </w:rPr>
        <w:t>c</w:t>
      </w:r>
      <w:r w:rsidR="00CF5C34" w:rsidRPr="00174AB9">
        <w:rPr>
          <w:lang w:eastAsia="en-US"/>
        </w:rPr>
        <w:t>osts</w:t>
      </w:r>
      <w:r w:rsidR="00CF5C34">
        <w:rPr>
          <w:lang w:eastAsia="en-US"/>
        </w:rPr>
        <w:t xml:space="preserve"> on </w:t>
      </w:r>
      <w:r w:rsidR="00CF5C34" w:rsidRPr="00174AB9">
        <w:rPr>
          <w:lang w:eastAsia="en-US"/>
        </w:rPr>
        <w:t xml:space="preserve">momentum </w:t>
      </w:r>
      <w:r w:rsidR="00962CCC">
        <w:rPr>
          <w:lang w:eastAsia="en-US"/>
        </w:rPr>
        <w:t>profits</w:t>
      </w:r>
      <w:r w:rsidR="00CF5C34">
        <w:rPr>
          <w:lang w:eastAsia="en-US"/>
        </w:rPr>
        <w:t xml:space="preserve">. </w:t>
      </w:r>
      <w:proofErr w:type="spellStart"/>
      <w:r w:rsidR="00CF5C34" w:rsidRPr="00174AB9">
        <w:rPr>
          <w:lang w:eastAsia="en-US"/>
        </w:rPr>
        <w:t>Lesmond</w:t>
      </w:r>
      <w:proofErr w:type="spellEnd"/>
      <w:r w:rsidR="00CF5C34" w:rsidRPr="00174AB9">
        <w:rPr>
          <w:lang w:eastAsia="en-US"/>
        </w:rPr>
        <w:t xml:space="preserve">, </w:t>
      </w:r>
      <w:proofErr w:type="spellStart"/>
      <w:r w:rsidR="00CF5C34" w:rsidRPr="00174AB9">
        <w:rPr>
          <w:lang w:eastAsia="en-US"/>
        </w:rPr>
        <w:t>Schill</w:t>
      </w:r>
      <w:proofErr w:type="spellEnd"/>
      <w:r w:rsidR="00CF5C34" w:rsidRPr="00174AB9">
        <w:rPr>
          <w:lang w:eastAsia="en-US"/>
        </w:rPr>
        <w:t>, and Zhou (2004)</w:t>
      </w:r>
      <w:r w:rsidR="00CF5C34">
        <w:rPr>
          <w:lang w:eastAsia="en-US"/>
        </w:rPr>
        <w:t xml:space="preserve"> find that standard momentum strateg</w:t>
      </w:r>
      <w:r w:rsidR="00D65AE6">
        <w:rPr>
          <w:lang w:eastAsia="en-US"/>
        </w:rPr>
        <w:t>ies</w:t>
      </w:r>
      <w:r w:rsidR="00CF5C34">
        <w:rPr>
          <w:lang w:eastAsia="en-US"/>
        </w:rPr>
        <w:t xml:space="preserve"> require frequent trading in disproportionally high cost stocks. That is, stocks that generate large </w:t>
      </w:r>
      <w:r w:rsidR="00CF5C34">
        <w:rPr>
          <w:lang w:eastAsia="en-US"/>
        </w:rPr>
        <w:lastRenderedPageBreak/>
        <w:t xml:space="preserve">momentum returns are precisely those stocks with high trading costs. </w:t>
      </w:r>
      <w:proofErr w:type="spellStart"/>
      <w:r w:rsidR="00CF5C34" w:rsidRPr="00174AB9">
        <w:rPr>
          <w:lang w:eastAsia="en-US"/>
        </w:rPr>
        <w:t>Korajczyk</w:t>
      </w:r>
      <w:proofErr w:type="spellEnd"/>
      <w:r w:rsidR="00CF5C34" w:rsidRPr="00174AB9">
        <w:rPr>
          <w:lang w:eastAsia="en-US"/>
        </w:rPr>
        <w:t xml:space="preserve"> and </w:t>
      </w:r>
      <w:proofErr w:type="spellStart"/>
      <w:r w:rsidR="00CF5C34" w:rsidRPr="00174AB9">
        <w:rPr>
          <w:lang w:eastAsia="en-US"/>
        </w:rPr>
        <w:t>Sadka</w:t>
      </w:r>
      <w:proofErr w:type="spellEnd"/>
      <w:r w:rsidR="00CF5C34" w:rsidRPr="00174AB9">
        <w:rPr>
          <w:lang w:eastAsia="en-US"/>
        </w:rPr>
        <w:t xml:space="preserve"> (2004)</w:t>
      </w:r>
      <w:r w:rsidR="00CF5C34">
        <w:rPr>
          <w:lang w:eastAsia="en-US"/>
        </w:rPr>
        <w:t xml:space="preserve"> show that </w:t>
      </w:r>
      <w:r w:rsidR="00D65AE6">
        <w:rPr>
          <w:lang w:eastAsia="en-US"/>
        </w:rPr>
        <w:t xml:space="preserve">returns of </w:t>
      </w:r>
      <w:r w:rsidR="00CF5C34">
        <w:rPr>
          <w:lang w:eastAsia="en-US"/>
        </w:rPr>
        <w:t xml:space="preserve">equal-weighted momentum portfolio </w:t>
      </w:r>
      <w:r w:rsidR="00D65AE6">
        <w:rPr>
          <w:lang w:eastAsia="en-US"/>
        </w:rPr>
        <w:t>are</w:t>
      </w:r>
      <w:r w:rsidR="00CF5C34">
        <w:rPr>
          <w:lang w:eastAsia="en-US"/>
        </w:rPr>
        <w:t xml:space="preserve"> most sensitive to trading costs. Overall,</w:t>
      </w:r>
      <w:r w:rsidR="00D65AE6">
        <w:rPr>
          <w:lang w:eastAsia="en-US"/>
        </w:rPr>
        <w:t xml:space="preserve"> they provide evidence that </w:t>
      </w:r>
      <w:r w:rsidR="00CF5C34">
        <w:rPr>
          <w:lang w:eastAsia="en-US"/>
        </w:rPr>
        <w:t xml:space="preserve">momentum profits often disappear after adjusting for transaction costs. </w:t>
      </w:r>
      <w:r w:rsidR="00EA6C55">
        <w:rPr>
          <w:lang w:eastAsia="en-US"/>
        </w:rPr>
        <w:t xml:space="preserve">The advantage of </w:t>
      </w:r>
      <w:r w:rsidR="00D65AE6">
        <w:rPr>
          <w:lang w:eastAsia="en-US"/>
        </w:rPr>
        <w:t xml:space="preserve">examining </w:t>
      </w:r>
      <w:r w:rsidR="00EA6C55">
        <w:rPr>
          <w:lang w:eastAsia="en-US"/>
        </w:rPr>
        <w:t>style and sector indexes is that most (if not all) of their returns are tracked directly by exchange-traded funds (ETFs). In addition, the number of these style and sector in</w:t>
      </w:r>
      <w:r w:rsidR="00F51936">
        <w:rPr>
          <w:lang w:eastAsia="en-US"/>
        </w:rPr>
        <w:t xml:space="preserve">dexes is </w:t>
      </w:r>
      <w:r w:rsidR="00EA6C55">
        <w:rPr>
          <w:lang w:eastAsia="en-US"/>
        </w:rPr>
        <w:t>small and the transaction costs of ETFs are low. Thus, if these indexes also carry momentum effect</w:t>
      </w:r>
      <w:r w:rsidR="00D65AE6">
        <w:rPr>
          <w:lang w:eastAsia="en-US"/>
        </w:rPr>
        <w:t>s</w:t>
      </w:r>
      <w:r w:rsidR="00EA6C55">
        <w:rPr>
          <w:lang w:eastAsia="en-US"/>
        </w:rPr>
        <w:t xml:space="preserve"> then it would be much more feasible for such effect</w:t>
      </w:r>
      <w:r w:rsidR="00D65AE6">
        <w:rPr>
          <w:lang w:eastAsia="en-US"/>
        </w:rPr>
        <w:t>s</w:t>
      </w:r>
      <w:r w:rsidR="00EA6C55">
        <w:rPr>
          <w:lang w:eastAsia="en-US"/>
        </w:rPr>
        <w:t xml:space="preserve"> to be realized. </w:t>
      </w:r>
      <w:r w:rsidR="00BE5F42">
        <w:rPr>
          <w:lang w:eastAsia="en-US"/>
        </w:rPr>
        <w:t xml:space="preserve">We note that both style and sector investing strategies have been widely employed in the industry and extensively researched by academic studies </w:t>
      </w:r>
      <w:r w:rsidR="00BE5F42" w:rsidRPr="00F3118C">
        <w:rPr>
          <w:lang w:eastAsia="en-US"/>
        </w:rPr>
        <w:t>(</w:t>
      </w:r>
      <w:r w:rsidR="00BE5F42">
        <w:rPr>
          <w:lang w:eastAsia="en-US"/>
        </w:rPr>
        <w:t xml:space="preserve">see, </w:t>
      </w:r>
      <w:r w:rsidR="00BE5F42" w:rsidRPr="00F3118C">
        <w:rPr>
          <w:lang w:eastAsia="en-US"/>
        </w:rPr>
        <w:t xml:space="preserve">e.g., </w:t>
      </w:r>
      <w:r w:rsidR="00BE5F42">
        <w:rPr>
          <w:lang w:eastAsia="en-US"/>
        </w:rPr>
        <w:t xml:space="preserve">Brown and </w:t>
      </w:r>
      <w:proofErr w:type="spellStart"/>
      <w:r w:rsidR="00BE5F42">
        <w:rPr>
          <w:lang w:eastAsia="en-US"/>
        </w:rPr>
        <w:t>Goetzmann</w:t>
      </w:r>
      <w:proofErr w:type="spellEnd"/>
      <w:r w:rsidR="00BE5F42">
        <w:rPr>
          <w:lang w:eastAsia="en-US"/>
        </w:rPr>
        <w:t>, 1997, 2001; Chan</w:t>
      </w:r>
      <w:r w:rsidR="00BF325E">
        <w:rPr>
          <w:lang w:eastAsia="en-US"/>
        </w:rPr>
        <w:t>,</w:t>
      </w:r>
      <w:r w:rsidR="00BE5F42">
        <w:rPr>
          <w:lang w:eastAsia="en-US"/>
        </w:rPr>
        <w:t xml:space="preserve"> </w:t>
      </w:r>
      <w:r w:rsidR="00BF325E">
        <w:t>Chen</w:t>
      </w:r>
      <w:r w:rsidR="00D65AE6">
        <w:t>,</w:t>
      </w:r>
      <w:r w:rsidR="00BF325E">
        <w:t xml:space="preserve"> and </w:t>
      </w:r>
      <w:proofErr w:type="spellStart"/>
      <w:r w:rsidR="00BF325E">
        <w:t>Lakonishok</w:t>
      </w:r>
      <w:proofErr w:type="spellEnd"/>
      <w:r w:rsidR="00BE5F42">
        <w:rPr>
          <w:lang w:eastAsia="en-US"/>
        </w:rPr>
        <w:t xml:space="preserve">, 2002; Levis and </w:t>
      </w:r>
      <w:proofErr w:type="spellStart"/>
      <w:r w:rsidR="00BE5F42">
        <w:rPr>
          <w:lang w:eastAsia="en-US"/>
        </w:rPr>
        <w:t>Liodakis</w:t>
      </w:r>
      <w:proofErr w:type="spellEnd"/>
      <w:r w:rsidR="00BE5F42">
        <w:rPr>
          <w:lang w:eastAsia="en-US"/>
        </w:rPr>
        <w:t>, 1999; and Lucas</w:t>
      </w:r>
      <w:r w:rsidR="00BF325E">
        <w:rPr>
          <w:lang w:eastAsia="en-US"/>
        </w:rPr>
        <w:t xml:space="preserve">, </w:t>
      </w:r>
      <w:r w:rsidR="00BF325E">
        <w:t xml:space="preserve">van </w:t>
      </w:r>
      <w:proofErr w:type="spellStart"/>
      <w:r w:rsidR="00BF325E">
        <w:t>Dijk</w:t>
      </w:r>
      <w:proofErr w:type="spellEnd"/>
      <w:r w:rsidR="00BF325E">
        <w:t xml:space="preserve"> and </w:t>
      </w:r>
      <w:proofErr w:type="spellStart"/>
      <w:r w:rsidR="00BF325E">
        <w:t>Kloek</w:t>
      </w:r>
      <w:proofErr w:type="spellEnd"/>
      <w:r w:rsidR="00BE5F42">
        <w:rPr>
          <w:lang w:eastAsia="en-US"/>
        </w:rPr>
        <w:t xml:space="preserve">, </w:t>
      </w:r>
      <w:r w:rsidR="00BE5F42" w:rsidRPr="00F767BD">
        <w:rPr>
          <w:lang w:eastAsia="en-US"/>
        </w:rPr>
        <w:t>2002</w:t>
      </w:r>
      <w:r w:rsidR="00BE5F42">
        <w:rPr>
          <w:lang w:eastAsia="en-US"/>
        </w:rPr>
        <w:t>).</w:t>
      </w:r>
      <w:r w:rsidR="00BF325E">
        <w:rPr>
          <w:lang w:eastAsia="en-US"/>
        </w:rPr>
        <w:t xml:space="preserve"> As </w:t>
      </w:r>
      <w:r w:rsidR="00962CCC">
        <w:rPr>
          <w:lang w:eastAsia="en-US"/>
        </w:rPr>
        <w:t xml:space="preserve">an </w:t>
      </w:r>
      <w:r w:rsidR="00BF325E">
        <w:rPr>
          <w:lang w:eastAsia="en-US"/>
        </w:rPr>
        <w:t xml:space="preserve">illustration, we show in this paper that </w:t>
      </w:r>
      <w:r w:rsidR="00BF325E">
        <w:t>a dynamic momentum strategy can further enhance the performance of style investment even after adjusting for transaction costs.</w:t>
      </w:r>
    </w:p>
    <w:p w:rsidR="00BE3C9E" w:rsidRDefault="00077323" w:rsidP="00FE5B83">
      <w:pPr>
        <w:spacing w:line="480" w:lineRule="auto"/>
        <w:ind w:left="-540" w:right="-900"/>
        <w:contextualSpacing/>
      </w:pPr>
      <w:r>
        <w:rPr>
          <w:lang w:eastAsia="en-US"/>
        </w:rPr>
        <w:tab/>
      </w:r>
      <w:r w:rsidR="00EA6C55">
        <w:rPr>
          <w:lang w:eastAsia="en-US"/>
        </w:rPr>
        <w:t xml:space="preserve">The data used in our study consists of two sets of indexes constructed by </w:t>
      </w:r>
      <w:r w:rsidR="00EA6C55">
        <w:t xml:space="preserve">Morningstar: </w:t>
      </w:r>
      <w:r w:rsidR="000B0C8B">
        <w:t xml:space="preserve">nine </w:t>
      </w:r>
      <w:r w:rsidR="00EA6C55">
        <w:t xml:space="preserve">Morningstar </w:t>
      </w:r>
      <w:r w:rsidR="000B0C8B">
        <w:t>Style I</w:t>
      </w:r>
      <w:r w:rsidR="00EA6C55">
        <w:t xml:space="preserve">ndexes and </w:t>
      </w:r>
      <w:r w:rsidR="000B0C8B">
        <w:t xml:space="preserve">12 </w:t>
      </w:r>
      <w:r w:rsidR="00EA6C55">
        <w:t xml:space="preserve">Morningstar </w:t>
      </w:r>
      <w:r w:rsidR="000B0C8B">
        <w:t>S</w:t>
      </w:r>
      <w:r w:rsidR="00EA6C55">
        <w:t xml:space="preserve">ector </w:t>
      </w:r>
      <w:r w:rsidR="000B0C8B">
        <w:t>I</w:t>
      </w:r>
      <w:r w:rsidR="00EA6C55">
        <w:t xml:space="preserve">ndexes. The style indexes cover </w:t>
      </w:r>
      <w:r w:rsidR="00EA6C55" w:rsidRPr="00CD7B0C">
        <w:t xml:space="preserve">about 97% of US equity markets with stocks ranging from small cap to large cap and from high growth (low value) to high value (low growth). The sector indexes cover stocks in three major super sectors: the Information Economy, the Service Economy, and the Manufacturing Economy and four specific groups within each of the super sectors. </w:t>
      </w:r>
      <w:r w:rsidR="008C7A97" w:rsidRPr="00CD7B0C">
        <w:t>The sample period in our study is from July 1997 to October 2007 for both style indexes and sector indexes.</w:t>
      </w:r>
    </w:p>
    <w:p w:rsidR="00EA6C55" w:rsidRDefault="00077323" w:rsidP="00FE5B83">
      <w:pPr>
        <w:spacing w:line="480" w:lineRule="auto"/>
        <w:ind w:left="-540" w:right="-900"/>
        <w:contextualSpacing/>
      </w:pPr>
      <w:r>
        <w:tab/>
      </w:r>
      <w:r w:rsidR="00EA6C55">
        <w:t xml:space="preserve">We show that despite </w:t>
      </w:r>
      <w:r w:rsidR="00962CCC">
        <w:t xml:space="preserve">a </w:t>
      </w:r>
      <w:r w:rsidR="00D438B8">
        <w:t>small</w:t>
      </w:r>
      <w:r w:rsidR="00EA6C55">
        <w:t xml:space="preserve"> number of indexes, both style indexes and sector indexes exhi</w:t>
      </w:r>
      <w:r w:rsidR="00CB60F3">
        <w:t xml:space="preserve">bit </w:t>
      </w:r>
      <w:r w:rsidR="00962CCC">
        <w:t xml:space="preserve">significant </w:t>
      </w:r>
      <w:r w:rsidR="00CB60F3">
        <w:t>price momentum patterns</w:t>
      </w:r>
      <w:r w:rsidR="00EA6C55">
        <w:t xml:space="preserve">. </w:t>
      </w:r>
      <w:r w:rsidR="00CB60F3">
        <w:t>We construct momentum portfolios based on 3-, 6-, and 12-month ranking periods</w:t>
      </w:r>
      <w:r w:rsidR="00D438B8">
        <w:t>, with</w:t>
      </w:r>
      <w:r w:rsidR="00CB60F3">
        <w:t xml:space="preserve"> 1-, 3-, 6-, and 12-month holding periods. Among all </w:t>
      </w:r>
      <w:r w:rsidR="00D438B8">
        <w:t xml:space="preserve">of </w:t>
      </w:r>
      <w:r w:rsidR="00CB60F3">
        <w:t>the portfolios</w:t>
      </w:r>
      <w:r w:rsidR="00EA6C55">
        <w:t xml:space="preserve">, style indexes </w:t>
      </w:r>
      <w:r w:rsidR="00CB60F3">
        <w:t xml:space="preserve">exhibit the strongest </w:t>
      </w:r>
      <w:r w:rsidR="00EA6C55">
        <w:t xml:space="preserve">price momentum effects </w:t>
      </w:r>
      <w:r w:rsidR="00CB60F3">
        <w:t xml:space="preserve">when they are ranked </w:t>
      </w:r>
      <w:r w:rsidR="00EA6C55">
        <w:t xml:space="preserve">on past 6-month returns, whereas </w:t>
      </w:r>
      <w:r w:rsidR="00EA6C55">
        <w:lastRenderedPageBreak/>
        <w:t xml:space="preserve">sector indexes </w:t>
      </w:r>
      <w:r w:rsidR="00CB60F3">
        <w:t xml:space="preserve">show the strongest </w:t>
      </w:r>
      <w:r w:rsidR="00EA6C55">
        <w:t>price momentum effects a</w:t>
      </w:r>
      <w:r w:rsidR="00CB60F3">
        <w:t>t the 6-month holding period</w:t>
      </w:r>
      <w:r w:rsidR="00EA6C55">
        <w:t xml:space="preserve">. In comparison, momentum </w:t>
      </w:r>
      <w:r w:rsidR="00CB60F3">
        <w:t>returns</w:t>
      </w:r>
      <w:r w:rsidR="00EA6C55">
        <w:t xml:space="preserve"> are generally higher for style indexes t</w:t>
      </w:r>
      <w:r w:rsidR="00CB60F3">
        <w:t xml:space="preserve">han for sector indexes. For </w:t>
      </w:r>
      <w:r w:rsidR="00EA6C55">
        <w:t xml:space="preserve">style indexes, the annualized </w:t>
      </w:r>
      <w:r w:rsidR="00CB60F3">
        <w:t xml:space="preserve">returns </w:t>
      </w:r>
      <w:r w:rsidR="00B7609C">
        <w:t xml:space="preserve">of momentum portfolios formed </w:t>
      </w:r>
      <w:r w:rsidR="00EA6C55">
        <w:t xml:space="preserve">on past 6-month returns are as high as </w:t>
      </w:r>
      <w:r w:rsidR="00EA6C55" w:rsidRPr="009F52A7">
        <w:t>16.9</w:t>
      </w:r>
      <w:r w:rsidR="00EA6C55">
        <w:t>9</w:t>
      </w:r>
      <w:r w:rsidR="00EA6C55" w:rsidRPr="009F52A7">
        <w:t>% and 13.</w:t>
      </w:r>
      <w:r w:rsidR="00EA6C55">
        <w:t>42</w:t>
      </w:r>
      <w:r w:rsidR="00EA6C55" w:rsidRPr="009F52A7">
        <w:t>% over the 3-month and 6-month ho</w:t>
      </w:r>
      <w:r w:rsidR="00CB60F3">
        <w:t>lding periods</w:t>
      </w:r>
      <w:r w:rsidR="00B7609C">
        <w:t>, respectively</w:t>
      </w:r>
      <w:r w:rsidR="00CB60F3">
        <w:t xml:space="preserve">. For </w:t>
      </w:r>
      <w:r w:rsidR="00EA6C55" w:rsidRPr="009F52A7">
        <w:t xml:space="preserve">sector indexes, the annualized </w:t>
      </w:r>
      <w:r w:rsidR="00B7609C">
        <w:t xml:space="preserve">returns of </w:t>
      </w:r>
      <w:r w:rsidR="00EA6C55" w:rsidRPr="009F52A7">
        <w:t xml:space="preserve">momentum </w:t>
      </w:r>
      <w:r w:rsidR="00B7609C">
        <w:t xml:space="preserve">portfolios formed </w:t>
      </w:r>
      <w:r w:rsidR="00EA6C55" w:rsidRPr="009F52A7">
        <w:t>on the past 3-month and 6-month returns</w:t>
      </w:r>
      <w:r w:rsidR="00B7609C">
        <w:t xml:space="preserve">, both with a </w:t>
      </w:r>
      <w:r w:rsidR="00B7609C" w:rsidRPr="009F52A7">
        <w:t>6-month holding period</w:t>
      </w:r>
      <w:r w:rsidR="00B7609C">
        <w:t>,</w:t>
      </w:r>
      <w:r w:rsidR="00EA6C55" w:rsidRPr="009F52A7">
        <w:t xml:space="preserve"> are, respectively, 4.</w:t>
      </w:r>
      <w:r w:rsidR="00EA6C55">
        <w:t>86</w:t>
      </w:r>
      <w:r w:rsidR="00EA6C55" w:rsidRPr="009F52A7">
        <w:t>% and 6.7</w:t>
      </w:r>
      <w:r w:rsidR="00EA6C55">
        <w:t>1</w:t>
      </w:r>
      <w:r w:rsidR="00EA6C55" w:rsidRPr="009F52A7">
        <w:t>%.</w:t>
      </w:r>
      <w:r w:rsidR="00EA6C55">
        <w:t xml:space="preserve"> Our results also show that these momentum profits are not driven by outliers. For the style index momentum portfolio</w:t>
      </w:r>
      <w:r w:rsidR="00CB60F3">
        <w:t>s</w:t>
      </w:r>
      <w:r w:rsidR="00EA6C55">
        <w:t xml:space="preserve"> </w:t>
      </w:r>
      <w:r w:rsidR="002C0F9E">
        <w:t xml:space="preserve">formed </w:t>
      </w:r>
      <w:r w:rsidR="00EA6C55">
        <w:t>on past 6-month returns</w:t>
      </w:r>
      <w:r w:rsidR="00CB60F3">
        <w:t xml:space="preserve"> </w:t>
      </w:r>
      <w:r w:rsidR="002C0F9E">
        <w:t xml:space="preserve">with </w:t>
      </w:r>
      <w:r w:rsidR="00CB60F3">
        <w:t>3-month and 6-month holding periods</w:t>
      </w:r>
      <w:r w:rsidR="00EA6C55">
        <w:t>, the percentages of positive returns are, respectively, 63% and 66%.</w:t>
      </w:r>
    </w:p>
    <w:p w:rsidR="00EA6C55" w:rsidRDefault="00077323" w:rsidP="00FE5B83">
      <w:pPr>
        <w:spacing w:line="480" w:lineRule="auto"/>
        <w:ind w:left="-540" w:right="-900"/>
        <w:contextualSpacing/>
      </w:pPr>
      <w:r>
        <w:tab/>
      </w:r>
      <w:r w:rsidR="00EA6C55" w:rsidRPr="003C4FFB">
        <w:t>Based on historical earnings surprise</w:t>
      </w:r>
      <w:r w:rsidR="00EA6C55">
        <w:t>s</w:t>
      </w:r>
      <w:r w:rsidR="00EA6C55" w:rsidRPr="003C4FFB">
        <w:t xml:space="preserve">, </w:t>
      </w:r>
      <w:r w:rsidR="008D06F7" w:rsidRPr="003C4FFB">
        <w:t>we find no evidence of earning momentum effect</w:t>
      </w:r>
      <w:r w:rsidR="00B71510">
        <w:t>s</w:t>
      </w:r>
      <w:r w:rsidR="008D06F7" w:rsidRPr="003C4FFB">
        <w:t xml:space="preserve"> in style indexes.</w:t>
      </w:r>
      <w:r w:rsidR="008D06F7">
        <w:t xml:space="preserve"> However, </w:t>
      </w:r>
      <w:r w:rsidR="00EA6C55" w:rsidRPr="003C4FFB">
        <w:t xml:space="preserve">we find significant </w:t>
      </w:r>
      <w:r w:rsidR="008D06F7">
        <w:t xml:space="preserve">and pervasive </w:t>
      </w:r>
      <w:r w:rsidR="00EA6C55" w:rsidRPr="003C4FFB">
        <w:t xml:space="preserve">earnings momentum patterns in sector indexes. The momentum effects are significant for </w:t>
      </w:r>
      <w:r w:rsidR="00EA6C55">
        <w:t>3</w:t>
      </w:r>
      <w:r w:rsidR="00EA6C55" w:rsidRPr="003C4FFB">
        <w:t xml:space="preserve">-month </w:t>
      </w:r>
      <w:r w:rsidR="00EA6C55">
        <w:t>to</w:t>
      </w:r>
      <w:r w:rsidR="00EA6C55" w:rsidRPr="003C4FFB">
        <w:t xml:space="preserve"> 12-month holding periods </w:t>
      </w:r>
      <w:r w:rsidR="00EA6C55">
        <w:t>and robust to</w:t>
      </w:r>
      <w:r w:rsidR="00EA6C55" w:rsidRPr="003C4FFB">
        <w:t xml:space="preserve"> past SUEs. The annualize</w:t>
      </w:r>
      <w:r w:rsidR="00B71510">
        <w:t xml:space="preserve">d momentum profits based on </w:t>
      </w:r>
      <w:r w:rsidR="00EA6C55" w:rsidRPr="003C4FFB">
        <w:t>past 12-month SUEs are 6.97% and 6.56%, respectively, over the 3-month and 6-</w:t>
      </w:r>
      <w:r w:rsidR="008D06F7">
        <w:t>month holding periods.</w:t>
      </w:r>
    </w:p>
    <w:p w:rsidR="00EA6C55" w:rsidRDefault="00077323" w:rsidP="00FE5B83">
      <w:pPr>
        <w:spacing w:line="480" w:lineRule="auto"/>
        <w:ind w:left="-540" w:right="-900"/>
        <w:contextualSpacing/>
      </w:pPr>
      <w:r>
        <w:tab/>
      </w:r>
      <w:r w:rsidR="00EA6C55">
        <w:t xml:space="preserve">The fact that style indexes do not exhibit earnings momentum is evidence that price momentum in style indexes is not driven by earnings momentum. </w:t>
      </w:r>
      <w:r w:rsidR="00A8640B">
        <w:t xml:space="preserve">We explore alternative explanations of price momentum in style indexes by regressing momentum returns against various factors. The models </w:t>
      </w:r>
      <w:r w:rsidR="00535D1B">
        <w:t xml:space="preserve">included </w:t>
      </w:r>
      <w:r w:rsidR="00A8640B">
        <w:t xml:space="preserve">in our analysis </w:t>
      </w:r>
      <w:r w:rsidR="00535D1B">
        <w:t xml:space="preserve">are </w:t>
      </w:r>
      <w:r w:rsidR="00A8640B">
        <w:t xml:space="preserve">the CAPM, the 3-factor </w:t>
      </w:r>
      <w:r w:rsidR="00E261BB">
        <w:t xml:space="preserve">model of </w:t>
      </w:r>
      <w:proofErr w:type="spellStart"/>
      <w:r w:rsidR="00A8640B">
        <w:t>Fama</w:t>
      </w:r>
      <w:proofErr w:type="spellEnd"/>
      <w:r w:rsidR="00A8640B">
        <w:t xml:space="preserve">-French (1993), and the 4-factor </w:t>
      </w:r>
      <w:r w:rsidR="00B71510">
        <w:t xml:space="preserve">model of </w:t>
      </w:r>
      <w:proofErr w:type="spellStart"/>
      <w:r w:rsidR="00A8640B">
        <w:t>Carhart</w:t>
      </w:r>
      <w:proofErr w:type="spellEnd"/>
      <w:r w:rsidR="00A8640B">
        <w:t xml:space="preserve"> (1997). The empirical results show that the momentum returns have a highly significant loading on the momentum factor of individual stocks (UMD). More importantly, the momentum returns of style indexes are fully explained by the momentum factor.  </w:t>
      </w:r>
      <w:r w:rsidR="00EA6C55">
        <w:t>Finally, we examin</w:t>
      </w:r>
      <w:r w:rsidR="00A8640B">
        <w:t xml:space="preserve">e whether price momentum </w:t>
      </w:r>
      <w:r w:rsidR="00EA6C55">
        <w:t xml:space="preserve">in sector indexes is </w:t>
      </w:r>
      <w:r w:rsidR="00A8640B">
        <w:t xml:space="preserve">driven </w:t>
      </w:r>
      <w:r w:rsidR="00EA6C55">
        <w:t xml:space="preserve">by earnings momentum effect. We employ a double sorting procedure </w:t>
      </w:r>
      <w:r w:rsidR="00A8640B">
        <w:t xml:space="preserve">to examine the effect of past earnings surprises on the price momentum of sector </w:t>
      </w:r>
      <w:r w:rsidR="00A8640B">
        <w:lastRenderedPageBreak/>
        <w:t xml:space="preserve">indexes. Our results show that </w:t>
      </w:r>
      <w:r w:rsidR="005C1C0F">
        <w:t xml:space="preserve">once we control for the effect of </w:t>
      </w:r>
      <w:r w:rsidR="00A8640B">
        <w:t xml:space="preserve">past earnings surprises, </w:t>
      </w:r>
      <w:r w:rsidR="005C1C0F">
        <w:t xml:space="preserve">there is no longer significant price momentum in sector indexes. </w:t>
      </w:r>
      <w:r w:rsidR="00EA6C55">
        <w:t>Th</w:t>
      </w:r>
      <w:r w:rsidR="005C1C0F">
        <w:t>is</w:t>
      </w:r>
      <w:r w:rsidR="00EA6C55">
        <w:t xml:space="preserve"> </w:t>
      </w:r>
      <w:r w:rsidR="005C1C0F">
        <w:t xml:space="preserve">is evidence </w:t>
      </w:r>
      <w:r w:rsidR="00EA6C55">
        <w:t xml:space="preserve">that </w:t>
      </w:r>
      <w:r w:rsidR="005C1C0F">
        <w:t xml:space="preserve">the </w:t>
      </w:r>
      <w:r w:rsidR="00EA6C55">
        <w:t xml:space="preserve">price momentum effect in sector indexes is </w:t>
      </w:r>
      <w:r w:rsidR="005C1C0F">
        <w:t xml:space="preserve">largely driven </w:t>
      </w:r>
      <w:r w:rsidR="00EA6C55">
        <w:t xml:space="preserve">by earnings momentum.  </w:t>
      </w:r>
    </w:p>
    <w:p w:rsidR="00EA6C55" w:rsidRDefault="00077323" w:rsidP="00FE5B83">
      <w:pPr>
        <w:spacing w:line="480" w:lineRule="auto"/>
        <w:ind w:left="-540" w:right="-900"/>
        <w:contextualSpacing/>
      </w:pPr>
      <w:r>
        <w:rPr>
          <w:lang w:eastAsia="en-US"/>
        </w:rPr>
        <w:tab/>
      </w:r>
      <w:r w:rsidR="00EA6C55">
        <w:rPr>
          <w:lang w:eastAsia="en-US"/>
        </w:rPr>
        <w:t xml:space="preserve">The rest of the paper is structured as follows. Section 2 discusses the data used in our study. Section 3 examines both price and earnings momentum effects in style and sector </w:t>
      </w:r>
      <w:r w:rsidR="005B604E">
        <w:rPr>
          <w:lang w:eastAsia="en-US"/>
        </w:rPr>
        <w:t>and</w:t>
      </w:r>
      <w:r w:rsidR="00EA6C55">
        <w:rPr>
          <w:lang w:eastAsia="en-US"/>
        </w:rPr>
        <w:t xml:space="preserve"> </w:t>
      </w:r>
      <w:r w:rsidR="00C84FB9">
        <w:rPr>
          <w:lang w:eastAsia="en-US"/>
        </w:rPr>
        <w:t xml:space="preserve">what are </w:t>
      </w:r>
      <w:r w:rsidR="00B832D7">
        <w:rPr>
          <w:lang w:eastAsia="en-US"/>
        </w:rPr>
        <w:t xml:space="preserve">the potential </w:t>
      </w:r>
      <w:r w:rsidR="00C84FB9">
        <w:rPr>
          <w:lang w:eastAsia="en-US"/>
        </w:rPr>
        <w:t>driving force</w:t>
      </w:r>
      <w:r w:rsidR="00B832D7">
        <w:rPr>
          <w:lang w:eastAsia="en-US"/>
        </w:rPr>
        <w:t>s</w:t>
      </w:r>
      <w:r w:rsidR="005B604E">
        <w:rPr>
          <w:lang w:eastAsia="en-US"/>
        </w:rPr>
        <w:t xml:space="preserve"> of price momentum</w:t>
      </w:r>
      <w:r w:rsidR="00C84FB9">
        <w:rPr>
          <w:lang w:eastAsia="en-US"/>
        </w:rPr>
        <w:t xml:space="preserve">. </w:t>
      </w:r>
      <w:r w:rsidR="00EA6C55">
        <w:t>Section 4</w:t>
      </w:r>
      <w:r w:rsidR="00C84FB9">
        <w:t xml:space="preserve"> uses style indexes to</w:t>
      </w:r>
      <w:r w:rsidR="00EA6C55">
        <w:t xml:space="preserve"> </w:t>
      </w:r>
      <w:r w:rsidR="00C84FB9">
        <w:t xml:space="preserve">illustrate the dynamic momentum strategy. Section 5 </w:t>
      </w:r>
      <w:r w:rsidR="00EA6C55">
        <w:t>concludes.</w:t>
      </w:r>
    </w:p>
    <w:p w:rsidR="00EA6C55" w:rsidRDefault="00EA6C55" w:rsidP="00FE5B83">
      <w:pPr>
        <w:spacing w:line="480" w:lineRule="auto"/>
        <w:ind w:left="-540" w:right="-900"/>
        <w:contextualSpacing/>
      </w:pPr>
    </w:p>
    <w:p w:rsidR="00663550" w:rsidRPr="00BB17F0" w:rsidRDefault="00FC2F56" w:rsidP="00FE5B83">
      <w:pPr>
        <w:spacing w:line="480" w:lineRule="auto"/>
        <w:ind w:left="-540" w:right="-900"/>
        <w:contextualSpacing/>
        <w:rPr>
          <w:b/>
        </w:rPr>
      </w:pPr>
      <w:r w:rsidRPr="00BB17F0">
        <w:rPr>
          <w:b/>
        </w:rPr>
        <w:t xml:space="preserve">2. </w:t>
      </w:r>
      <w:r w:rsidR="00520990" w:rsidRPr="00BB17F0">
        <w:rPr>
          <w:b/>
        </w:rPr>
        <w:t>Data</w:t>
      </w:r>
      <w:r w:rsidRPr="00BB17F0">
        <w:rPr>
          <w:b/>
        </w:rPr>
        <w:t xml:space="preserve"> Description</w:t>
      </w:r>
    </w:p>
    <w:p w:rsidR="00714DC8" w:rsidRDefault="00077323" w:rsidP="00FE5B83">
      <w:pPr>
        <w:spacing w:line="480" w:lineRule="auto"/>
        <w:ind w:left="-540" w:right="-900"/>
        <w:contextualSpacing/>
        <w:rPr>
          <w:bCs/>
        </w:rPr>
      </w:pPr>
      <w:r>
        <w:tab/>
      </w:r>
      <w:r w:rsidR="005349E3">
        <w:t xml:space="preserve">The main data used in our study consists of </w:t>
      </w:r>
      <w:r w:rsidR="00B71510">
        <w:t xml:space="preserve">nine </w:t>
      </w:r>
      <w:r w:rsidR="005349E3">
        <w:t>Morningstar</w:t>
      </w:r>
      <w:r w:rsidR="008B0DC2">
        <w:t xml:space="preserve"> S</w:t>
      </w:r>
      <w:r w:rsidR="005349E3">
        <w:t xml:space="preserve">tyle </w:t>
      </w:r>
      <w:r w:rsidR="008B0DC2">
        <w:t>I</w:t>
      </w:r>
      <w:r w:rsidR="005349E3">
        <w:t>ndex</w:t>
      </w:r>
      <w:r w:rsidR="00B71510">
        <w:t>es</w:t>
      </w:r>
      <w:r w:rsidR="005349E3">
        <w:t xml:space="preserve"> and Morningstar </w:t>
      </w:r>
      <w:r w:rsidR="008B0DC2">
        <w:t>S</w:t>
      </w:r>
      <w:r w:rsidR="005349E3">
        <w:t xml:space="preserve">ector </w:t>
      </w:r>
      <w:r w:rsidR="008B0DC2">
        <w:t>I</w:t>
      </w:r>
      <w:r w:rsidR="005349E3">
        <w:t xml:space="preserve">ndex family. </w:t>
      </w:r>
      <w:r w:rsidR="000F0293">
        <w:t>Morningstar</w:t>
      </w:r>
      <w:r w:rsidR="00CC0574">
        <w:t xml:space="preserve"> </w:t>
      </w:r>
      <w:r w:rsidR="000F0293">
        <w:t>S</w:t>
      </w:r>
      <w:r w:rsidR="00CC0574">
        <w:t xml:space="preserve">tyle </w:t>
      </w:r>
      <w:r w:rsidR="000F0293">
        <w:t>I</w:t>
      </w:r>
      <w:r w:rsidR="00CC0574">
        <w:t>ndexes are</w:t>
      </w:r>
      <w:r w:rsidR="008B0F5E">
        <w:t xml:space="preserve"> corresponding to </w:t>
      </w:r>
      <w:r w:rsidR="000E048F">
        <w:t xml:space="preserve">the well-known </w:t>
      </w:r>
      <w:r w:rsidR="008B0F5E">
        <w:t xml:space="preserve">Morningstar </w:t>
      </w:r>
      <w:r w:rsidR="00CC0574">
        <w:t xml:space="preserve">style boxes. </w:t>
      </w:r>
      <w:r w:rsidR="00CC0574" w:rsidRPr="00CC5A69">
        <w:t>These style indexes</w:t>
      </w:r>
      <w:r w:rsidR="00F61316" w:rsidRPr="00CC5A69">
        <w:t xml:space="preserve"> cover</w:t>
      </w:r>
      <w:r w:rsidR="00D7319F" w:rsidRPr="00CC5A69">
        <w:t xml:space="preserve"> 97% of US equity markets.</w:t>
      </w:r>
      <w:r w:rsidR="006F1EE0" w:rsidRPr="00CC5A69">
        <w:t xml:space="preserve"> Morningstar sector index family divides the stock universe into three major economic spheres or Super Sectors: the Information Economy, the Service Economy, and the Manufacturing Economy. Within each of these Super Sectors, four specific groups are defined for a total of 12 sectors. </w:t>
      </w:r>
      <w:r w:rsidR="001D1C16" w:rsidRPr="00CC5A69">
        <w:t>The</w:t>
      </w:r>
      <w:r w:rsidR="006E59DE" w:rsidRPr="00CC5A69">
        <w:t xml:space="preserve"> indexes for the</w:t>
      </w:r>
      <w:r w:rsidR="001D1C16" w:rsidRPr="00CC5A69">
        <w:t>se 12 sectors are used in the study.</w:t>
      </w:r>
      <w:r w:rsidR="005349E3" w:rsidRPr="00CC5A69">
        <w:t xml:space="preserve"> </w:t>
      </w:r>
      <w:r w:rsidR="00C2340B">
        <w:t xml:space="preserve">To implement earnings momentum strategies, we need measures of unexpected earnings </w:t>
      </w:r>
      <w:r w:rsidR="00636A9C">
        <w:t xml:space="preserve">for each index. </w:t>
      </w:r>
      <w:r w:rsidR="00714DC8" w:rsidRPr="00860BFD">
        <w:t xml:space="preserve">Following </w:t>
      </w:r>
      <w:r w:rsidR="00714DC8" w:rsidRPr="00860BFD">
        <w:rPr>
          <w:bCs/>
        </w:rPr>
        <w:t xml:space="preserve">Foster, Olsen, and </w:t>
      </w:r>
      <w:proofErr w:type="spellStart"/>
      <w:r w:rsidR="00714DC8" w:rsidRPr="00860BFD">
        <w:rPr>
          <w:bCs/>
        </w:rPr>
        <w:t>Shevlin</w:t>
      </w:r>
      <w:proofErr w:type="spellEnd"/>
      <w:r w:rsidR="00714DC8" w:rsidRPr="00860BFD">
        <w:rPr>
          <w:bCs/>
        </w:rPr>
        <w:t xml:space="preserve"> (1984), and Bernard and Thomas (1989), </w:t>
      </w:r>
      <w:r w:rsidR="00714DC8">
        <w:rPr>
          <w:bCs/>
        </w:rPr>
        <w:t xml:space="preserve">we first </w:t>
      </w:r>
      <w:r w:rsidR="00714DC8" w:rsidRPr="00860BFD">
        <w:rPr>
          <w:bCs/>
        </w:rPr>
        <w:t>estimate standardized unexpected earnings (</w:t>
      </w:r>
      <w:r w:rsidR="00714DC8" w:rsidRPr="00860BFD">
        <w:rPr>
          <w:bCs/>
          <w:i/>
        </w:rPr>
        <w:t>SUE</w:t>
      </w:r>
      <w:r w:rsidR="00714DC8" w:rsidRPr="00860BFD">
        <w:rPr>
          <w:bCs/>
        </w:rPr>
        <w:t xml:space="preserve">) </w:t>
      </w:r>
      <w:r w:rsidR="00714DC8">
        <w:rPr>
          <w:bCs/>
        </w:rPr>
        <w:t xml:space="preserve">for each firm in </w:t>
      </w:r>
      <w:r w:rsidR="00714DC8" w:rsidRPr="00860BFD">
        <w:rPr>
          <w:bCs/>
        </w:rPr>
        <w:t xml:space="preserve">each quarter. </w:t>
      </w:r>
      <w:r w:rsidR="00714DC8" w:rsidRPr="00860BFD">
        <w:t>Specifically</w:t>
      </w:r>
      <w:r w:rsidR="00714DC8" w:rsidRPr="00860BFD">
        <w:rPr>
          <w:bCs/>
        </w:rPr>
        <w:t xml:space="preserve">, forecasted earnings are estimated based on the following </w:t>
      </w:r>
      <w:proofErr w:type="spellStart"/>
      <w:r w:rsidR="00714DC8" w:rsidRPr="00860BFD">
        <w:rPr>
          <w:bCs/>
        </w:rPr>
        <w:t>univariate</w:t>
      </w:r>
      <w:proofErr w:type="spellEnd"/>
      <w:r w:rsidR="00714DC8" w:rsidRPr="00860BFD">
        <w:rPr>
          <w:bCs/>
        </w:rPr>
        <w:t xml:space="preserve"> time-series model</w:t>
      </w:r>
      <w:r w:rsidR="0054769F">
        <w:rPr>
          <w:bCs/>
        </w:rPr>
        <w:t xml:space="preserve"> </w:t>
      </w:r>
      <w:r w:rsidR="00714DC8" w:rsidRPr="00860BFD">
        <w:rPr>
          <w:bCs/>
        </w:rPr>
        <w:t>with rolling 20-quarter observations:</w:t>
      </w:r>
    </w:p>
    <w:p w:rsidR="00714DC8" w:rsidRPr="00860BFD" w:rsidRDefault="00E91324" w:rsidP="00FE5B83">
      <w:pPr>
        <w:spacing w:line="480" w:lineRule="auto"/>
        <w:ind w:left="-540" w:right="-900"/>
        <w:contextualSpacing/>
        <w:jc w:val="center"/>
        <w:rPr>
          <w:bCs/>
          <w:i/>
        </w:rPr>
      </w:pPr>
      <w:r w:rsidRPr="00E91324">
        <w:rPr>
          <w:position w:val="-14"/>
        </w:rPr>
        <w:object w:dxaOrig="4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8.75pt" o:ole="">
            <v:imagedata r:id="rId9" o:title=""/>
          </v:shape>
          <o:OLEObject Type="Embed" ProgID="Equation.3" ShapeID="_x0000_i1025" DrawAspect="Content" ObjectID="_1394389636" r:id="rId10"/>
        </w:object>
      </w:r>
      <w:r>
        <w:rPr>
          <w:bCs/>
        </w:rPr>
        <w:tab/>
      </w:r>
      <w:r>
        <w:rPr>
          <w:bCs/>
        </w:rPr>
        <w:tab/>
      </w:r>
      <w:r>
        <w:rPr>
          <w:bCs/>
        </w:rPr>
        <w:tab/>
      </w:r>
      <w:r>
        <w:rPr>
          <w:bCs/>
        </w:rPr>
        <w:tab/>
        <w:t>(1)</w:t>
      </w:r>
    </w:p>
    <w:p w:rsidR="000870FA" w:rsidRPr="00811EF9" w:rsidRDefault="00714DC8" w:rsidP="00FE5B83">
      <w:pPr>
        <w:spacing w:line="480" w:lineRule="auto"/>
        <w:ind w:left="-540" w:right="-900"/>
        <w:contextualSpacing/>
      </w:pPr>
      <w:proofErr w:type="gramStart"/>
      <w:r w:rsidRPr="00860BFD">
        <w:rPr>
          <w:bCs/>
        </w:rPr>
        <w:t>where</w:t>
      </w:r>
      <w:proofErr w:type="gramEnd"/>
      <w:r w:rsidRPr="00860BFD">
        <w:rPr>
          <w:bCs/>
        </w:rPr>
        <w:t xml:space="preserve"> </w:t>
      </w:r>
      <w:proofErr w:type="spellStart"/>
      <w:r w:rsidRPr="00860BFD">
        <w:rPr>
          <w:bCs/>
          <w:i/>
        </w:rPr>
        <w:t>Q</w:t>
      </w:r>
      <w:r w:rsidRPr="00860BFD">
        <w:rPr>
          <w:bCs/>
          <w:i/>
          <w:vertAlign w:val="subscript"/>
        </w:rPr>
        <w:t>i</w:t>
      </w:r>
      <w:r w:rsidR="00693474">
        <w:rPr>
          <w:bCs/>
          <w:i/>
          <w:vertAlign w:val="subscript"/>
        </w:rPr>
        <w:t>,</w:t>
      </w:r>
      <w:r w:rsidRPr="00860BFD">
        <w:rPr>
          <w:bCs/>
          <w:i/>
          <w:vertAlign w:val="subscript"/>
        </w:rPr>
        <w:t>t</w:t>
      </w:r>
      <w:proofErr w:type="spellEnd"/>
      <w:r w:rsidRPr="00860BFD">
        <w:rPr>
          <w:bCs/>
        </w:rPr>
        <w:t xml:space="preserve"> is the quarterly earnings of the </w:t>
      </w:r>
      <w:proofErr w:type="spellStart"/>
      <w:r w:rsidRPr="00860BFD">
        <w:rPr>
          <w:bCs/>
          <w:i/>
        </w:rPr>
        <w:t>i</w:t>
      </w:r>
      <w:r w:rsidRPr="00860BFD">
        <w:rPr>
          <w:bCs/>
        </w:rPr>
        <w:t>th</w:t>
      </w:r>
      <w:proofErr w:type="spellEnd"/>
      <w:r w:rsidRPr="00860BFD">
        <w:rPr>
          <w:bCs/>
        </w:rPr>
        <w:t xml:space="preserve"> firm in </w:t>
      </w:r>
      <w:r>
        <w:rPr>
          <w:bCs/>
        </w:rPr>
        <w:t xml:space="preserve">quarter </w:t>
      </w:r>
      <w:r w:rsidRPr="00860BFD">
        <w:rPr>
          <w:bCs/>
          <w:i/>
        </w:rPr>
        <w:t>t</w:t>
      </w:r>
      <w:r w:rsidRPr="00860BFD">
        <w:rPr>
          <w:bCs/>
        </w:rPr>
        <w:t xml:space="preserve">.  The difference between the actual and forecasted earnings is then scaled by the standard deviation of forecast error over the estimation period </w:t>
      </w:r>
      <w:r w:rsidRPr="00860BFD">
        <w:rPr>
          <w:bCs/>
        </w:rPr>
        <w:lastRenderedPageBreak/>
        <w:t>to obtain standardized unexpected earnings (</w:t>
      </w:r>
      <w:r w:rsidRPr="00860BFD">
        <w:rPr>
          <w:bCs/>
          <w:i/>
        </w:rPr>
        <w:t>SUE</w:t>
      </w:r>
      <w:r w:rsidRPr="00860BFD">
        <w:rPr>
          <w:bCs/>
        </w:rPr>
        <w:t>).</w:t>
      </w:r>
      <w:r w:rsidRPr="00F97A3E">
        <w:rPr>
          <w:rStyle w:val="FootnoteReference"/>
        </w:rPr>
        <w:t xml:space="preserve"> </w:t>
      </w:r>
      <w:r>
        <w:rPr>
          <w:rStyle w:val="FootnoteReference"/>
        </w:rPr>
        <w:footnoteReference w:id="2"/>
      </w:r>
      <w:r w:rsidR="00811EF9">
        <w:t xml:space="preserve"> With the estimate of SUE for each firm, we then calculate </w:t>
      </w:r>
      <w:r w:rsidR="00B71510">
        <w:t xml:space="preserve">the </w:t>
      </w:r>
      <w:r w:rsidR="00811EF9">
        <w:t xml:space="preserve">value-weighted average of SUE for each index based on its stock composition. </w:t>
      </w:r>
      <w:r w:rsidR="00811EF9" w:rsidRPr="00860BFD">
        <w:rPr>
          <w:bCs/>
        </w:rPr>
        <w:t xml:space="preserve">Quarterly earnings data </w:t>
      </w:r>
      <w:r w:rsidR="0054769F">
        <w:rPr>
          <w:bCs/>
        </w:rPr>
        <w:t>is</w:t>
      </w:r>
      <w:r w:rsidR="00811EF9" w:rsidRPr="00860BFD">
        <w:rPr>
          <w:bCs/>
        </w:rPr>
        <w:t xml:space="preserve"> from </w:t>
      </w:r>
      <w:proofErr w:type="spellStart"/>
      <w:r w:rsidR="00811EF9" w:rsidRPr="00860BFD">
        <w:rPr>
          <w:bCs/>
        </w:rPr>
        <w:t>Compustat</w:t>
      </w:r>
      <w:proofErr w:type="spellEnd"/>
      <w:r w:rsidR="00811EF9">
        <w:rPr>
          <w:bCs/>
        </w:rPr>
        <w:t xml:space="preserve">, </w:t>
      </w:r>
      <w:r w:rsidR="00811EF9">
        <w:t>and the holdings data for the indexes is from Morningstar Inc.</w:t>
      </w:r>
    </w:p>
    <w:p w:rsidR="001D1C16" w:rsidRDefault="001D1C16" w:rsidP="00FE5B83">
      <w:pPr>
        <w:spacing w:line="480" w:lineRule="auto"/>
        <w:ind w:left="-540" w:right="-900"/>
        <w:contextualSpacing/>
      </w:pPr>
    </w:p>
    <w:p w:rsidR="00BB17F0" w:rsidRPr="0054769F" w:rsidRDefault="00BB17F0" w:rsidP="00FE5B83">
      <w:pPr>
        <w:spacing w:line="480" w:lineRule="auto"/>
        <w:ind w:left="-540" w:right="-900"/>
        <w:contextualSpacing/>
        <w:rPr>
          <w:b/>
        </w:rPr>
      </w:pPr>
      <w:r w:rsidRPr="0054769F">
        <w:rPr>
          <w:b/>
        </w:rPr>
        <w:t xml:space="preserve">2.1 </w:t>
      </w:r>
      <w:r w:rsidR="0054769F" w:rsidRPr="0054769F">
        <w:rPr>
          <w:b/>
        </w:rPr>
        <w:t xml:space="preserve">Characteristics of </w:t>
      </w:r>
      <w:r w:rsidRPr="0054769F">
        <w:rPr>
          <w:b/>
        </w:rPr>
        <w:t>Morningstar Style Index</w:t>
      </w:r>
      <w:r w:rsidR="00FE5B83" w:rsidRPr="0054769F">
        <w:rPr>
          <w:b/>
        </w:rPr>
        <w:t>es</w:t>
      </w:r>
    </w:p>
    <w:p w:rsidR="00520990" w:rsidRDefault="00077323" w:rsidP="00FE5B83">
      <w:pPr>
        <w:spacing w:line="480" w:lineRule="auto"/>
        <w:ind w:left="-540" w:right="-900"/>
        <w:contextualSpacing/>
      </w:pPr>
      <w:r>
        <w:tab/>
      </w:r>
      <w:r w:rsidR="00D7319F">
        <w:t>The nine style i</w:t>
      </w:r>
      <w:r w:rsidR="008B0F5E">
        <w:t>ndexes are con</w:t>
      </w:r>
      <w:r w:rsidR="00070FB3">
        <w:t>stru</w:t>
      </w:r>
      <w:r w:rsidR="008B0F5E">
        <w:t>cted in two steps</w:t>
      </w:r>
      <w:r w:rsidR="00D7319F">
        <w:t xml:space="preserve"> according to Morningstar index c</w:t>
      </w:r>
      <w:r w:rsidR="00D1008E">
        <w:t xml:space="preserve">onstruction methodology </w:t>
      </w:r>
      <w:r w:rsidR="00651DB2">
        <w:t>(Morningstar Construction Rules for</w:t>
      </w:r>
      <w:r w:rsidR="00B6022E">
        <w:t xml:space="preserve"> </w:t>
      </w:r>
      <w:r w:rsidR="00651DB2">
        <w:t>Morningstar Indexes)</w:t>
      </w:r>
      <w:r w:rsidR="008B0F5E">
        <w:t>. In step 1</w:t>
      </w:r>
      <w:r w:rsidR="00D7319F">
        <w:t xml:space="preserve">, </w:t>
      </w:r>
      <w:r w:rsidR="00520990">
        <w:t>three</w:t>
      </w:r>
      <w:r w:rsidR="000E048F">
        <w:t xml:space="preserve"> market</w:t>
      </w:r>
      <w:r w:rsidR="00520990">
        <w:t xml:space="preserve"> cap </w:t>
      </w:r>
      <w:r w:rsidR="000E048F">
        <w:t xml:space="preserve">or size </w:t>
      </w:r>
      <w:r w:rsidR="00520990">
        <w:t xml:space="preserve">indexes are constructed: The Large Cap Index is constructed by selecting large stocks </w:t>
      </w:r>
      <w:r w:rsidR="00D1008E">
        <w:t>which</w:t>
      </w:r>
      <w:r w:rsidR="00520990">
        <w:t xml:space="preserve"> comprise 70% of market capitalization of the investable universe. The Mid Cap Index represents the next largest stocks</w:t>
      </w:r>
      <w:r w:rsidR="00D1008E">
        <w:t xml:space="preserve"> which</w:t>
      </w:r>
      <w:r w:rsidR="00520990">
        <w:t xml:space="preserve"> comprise 20% of market capitalization of the investable universe. The Small Cap Index represents the next largest stocks </w:t>
      </w:r>
      <w:r w:rsidR="00D1008E">
        <w:t>which</w:t>
      </w:r>
      <w:r w:rsidR="00520990">
        <w:t xml:space="preserve"> comprise</w:t>
      </w:r>
      <w:r w:rsidR="00D7319F">
        <w:t xml:space="preserve"> </w:t>
      </w:r>
      <w:r w:rsidR="00520990">
        <w:t>7% of the market capitalization of the investable universe.</w:t>
      </w:r>
      <w:r w:rsidR="00D7319F">
        <w:t xml:space="preserve"> </w:t>
      </w:r>
      <w:r w:rsidR="00D1008E">
        <w:t>T</w:t>
      </w:r>
      <w:r w:rsidR="00D7319F">
        <w:t>hen</w:t>
      </w:r>
      <w:r w:rsidR="008B0F5E">
        <w:t xml:space="preserve"> in step 2</w:t>
      </w:r>
      <w:r w:rsidR="00D7319F">
        <w:t>, w</w:t>
      </w:r>
      <w:r w:rsidR="00520990">
        <w:t>ithin each of the cap indexes, index constituents are assigned to one of three style indexes</w:t>
      </w:r>
      <w:r w:rsidR="000E048F">
        <w:t xml:space="preserve"> according to </w:t>
      </w:r>
      <w:bookmarkStart w:id="5" w:name="OLE_LINK7"/>
      <w:bookmarkStart w:id="6" w:name="OLE_LINK8"/>
      <w:r w:rsidR="000E048F">
        <w:t>value orientation vs. growth orientation</w:t>
      </w:r>
      <w:bookmarkEnd w:id="5"/>
      <w:bookmarkEnd w:id="6"/>
      <w:r w:rsidR="003E67D8">
        <w:t>.</w:t>
      </w:r>
      <w:r w:rsidR="00E74942" w:rsidRPr="00E74942">
        <w:rPr>
          <w:rStyle w:val="FootnoteReference"/>
        </w:rPr>
        <w:t xml:space="preserve"> </w:t>
      </w:r>
      <w:r w:rsidR="00E74942">
        <w:rPr>
          <w:rStyle w:val="FootnoteReference"/>
        </w:rPr>
        <w:footnoteReference w:id="3"/>
      </w:r>
      <w:r w:rsidR="00E74942" w:rsidRPr="00811EF9">
        <w:rPr>
          <w:b/>
        </w:rPr>
        <w:t xml:space="preserve"> </w:t>
      </w:r>
      <w:r w:rsidR="00520990">
        <w:t>The value-oriented index contains those stocks that, within the relevant cap index, have a stronger value orientation than growth orientation. The growth-oriented index contains those stocks that, within the relevant cap index, have a stronger growth orientation than value orientation.</w:t>
      </w:r>
      <w:r w:rsidR="00070FB3">
        <w:t xml:space="preserve"> The two steps result</w:t>
      </w:r>
      <w:r w:rsidR="008B0F5E">
        <w:t xml:space="preserve"> in nine style indexes.</w:t>
      </w:r>
      <w:r w:rsidR="005349E3">
        <w:t xml:space="preserve"> The inception date of the style indexes is </w:t>
      </w:r>
      <w:smartTag w:uri="urn:schemas-microsoft-com:office:smarttags" w:element="date">
        <w:smartTagPr>
          <w:attr w:name="Month" w:val="6"/>
          <w:attr w:name="Day" w:val="30"/>
          <w:attr w:name="Year" w:val="1997"/>
        </w:smartTagPr>
        <w:r w:rsidR="005349E3">
          <w:t>June 30, 1997</w:t>
        </w:r>
      </w:smartTag>
      <w:r w:rsidR="005349E3">
        <w:t>. The index</w:t>
      </w:r>
      <w:r w:rsidR="003E67D8">
        <w:t>es’</w:t>
      </w:r>
      <w:r w:rsidR="005349E3">
        <w:t xml:space="preserve"> base market values at inception are </w:t>
      </w:r>
      <w:r w:rsidR="008C59C1">
        <w:t>$</w:t>
      </w:r>
      <w:r w:rsidR="005349E3">
        <w:t>1,000.</w:t>
      </w:r>
    </w:p>
    <w:p w:rsidR="000E048F" w:rsidRDefault="00077323" w:rsidP="00FE5B83">
      <w:pPr>
        <w:spacing w:line="480" w:lineRule="auto"/>
        <w:ind w:left="-540" w:right="-900"/>
        <w:contextualSpacing/>
      </w:pPr>
      <w:r>
        <w:tab/>
      </w:r>
      <w:r w:rsidR="000E048F">
        <w:t xml:space="preserve">Table 1 reports summary statistics of monthly returns and </w:t>
      </w:r>
      <w:r w:rsidR="00B200F8">
        <w:t>SUE</w:t>
      </w:r>
      <w:r w:rsidR="000E048F">
        <w:t xml:space="preserve"> of Morningstar Style Indexes.</w:t>
      </w:r>
      <w:r w:rsidR="000E048F" w:rsidDel="00692FCB">
        <w:t xml:space="preserve"> </w:t>
      </w:r>
      <w:r w:rsidR="000E048F">
        <w:t xml:space="preserve">The results show that monthly average returns are positive </w:t>
      </w:r>
      <w:r w:rsidR="000A44B3">
        <w:t xml:space="preserve">with </w:t>
      </w:r>
      <w:r w:rsidR="000E048F">
        <w:t xml:space="preserve">negative </w:t>
      </w:r>
      <w:proofErr w:type="spellStart"/>
      <w:r w:rsidR="000E048F">
        <w:t>skew</w:t>
      </w:r>
      <w:r w:rsidR="000A44B3">
        <w:t>ness</w:t>
      </w:r>
      <w:proofErr w:type="spellEnd"/>
      <w:r w:rsidR="000E048F">
        <w:t xml:space="preserve"> for all style indexes over </w:t>
      </w:r>
      <w:r w:rsidR="000E048F">
        <w:lastRenderedPageBreak/>
        <w:t xml:space="preserve">the sample period. The average returns of mid and small caps are similar </w:t>
      </w:r>
      <w:r w:rsidR="00E62BDD">
        <w:t xml:space="preserve">across value </w:t>
      </w:r>
      <w:r w:rsidR="000E048F">
        <w:t>style</w:t>
      </w:r>
      <w:r w:rsidR="00E62BDD">
        <w:t>s</w:t>
      </w:r>
      <w:r w:rsidR="000E048F">
        <w:t xml:space="preserve">. </w:t>
      </w:r>
      <w:r w:rsidR="00811EF9">
        <w:t xml:space="preserve">The growth indexes have the highest standard deviations and largest ranges between maximum and minimum monthly returns. </w:t>
      </w:r>
      <w:r w:rsidR="000E048F">
        <w:t xml:space="preserve">The core indexes have higher kurtosis than growth and value indexes. </w:t>
      </w:r>
      <w:r w:rsidR="00D21BC7">
        <w:t xml:space="preserve">For the standardized unexpected earnings, the large core index </w:t>
      </w:r>
      <w:r w:rsidR="00D30799">
        <w:t xml:space="preserve">has the </w:t>
      </w:r>
      <w:r w:rsidR="00407886">
        <w:t>high</w:t>
      </w:r>
      <w:r w:rsidR="00D21BC7">
        <w:t xml:space="preserve">est SUE and the </w:t>
      </w:r>
      <w:r w:rsidR="00407886">
        <w:t>small value index has the low</w:t>
      </w:r>
      <w:r w:rsidR="00D21BC7">
        <w:t>est SUE. Interestingly, all growth indexes have positive SUEs</w:t>
      </w:r>
      <w:r w:rsidR="0011597D">
        <w:t>, and i</w:t>
      </w:r>
      <w:r w:rsidR="00D21BC7">
        <w:t xml:space="preserve">n contrary, all value indexes show negative </w:t>
      </w:r>
      <w:r w:rsidR="00D30799">
        <w:t xml:space="preserve">SUEs. This </w:t>
      </w:r>
      <w:r w:rsidR="000A44B3">
        <w:t xml:space="preserve">is </w:t>
      </w:r>
      <w:r w:rsidR="00D30799">
        <w:t>consist</w:t>
      </w:r>
      <w:r w:rsidR="000A44B3">
        <w:t>ent</w:t>
      </w:r>
      <w:r w:rsidR="00D30799">
        <w:t xml:space="preserve"> with the intuition that growth stocks </w:t>
      </w:r>
      <w:r w:rsidR="00D1008E">
        <w:t xml:space="preserve">are </w:t>
      </w:r>
      <w:r w:rsidR="00D30799">
        <w:t xml:space="preserve">more likely </w:t>
      </w:r>
      <w:r w:rsidR="00D1008E">
        <w:t xml:space="preserve">to </w:t>
      </w:r>
      <w:r w:rsidR="00D30799">
        <w:t>have positive earnings surprise</w:t>
      </w:r>
      <w:r w:rsidR="000A44B3">
        <w:t>s</w:t>
      </w:r>
      <w:r w:rsidR="00D1008E">
        <w:t xml:space="preserve"> than value stocks</w:t>
      </w:r>
      <w:r w:rsidR="00D30799">
        <w:t>.</w:t>
      </w:r>
      <w:r w:rsidR="00D21BC7">
        <w:t xml:space="preserve">  </w:t>
      </w:r>
    </w:p>
    <w:p w:rsidR="00692FCB" w:rsidRDefault="00077323" w:rsidP="00694F22">
      <w:pPr>
        <w:spacing w:line="480" w:lineRule="auto"/>
        <w:ind w:left="-540" w:right="-900"/>
        <w:contextualSpacing/>
      </w:pPr>
      <w:r>
        <w:tab/>
      </w:r>
      <w:r w:rsidR="000F0293">
        <w:t>The Morningstar S</w:t>
      </w:r>
      <w:r w:rsidR="00AF29D4">
        <w:t xml:space="preserve">tyle </w:t>
      </w:r>
      <w:r w:rsidR="000F0293">
        <w:t>I</w:t>
      </w:r>
      <w:r w:rsidR="00AF29D4">
        <w:t xml:space="preserve">ndexes are investable and there are </w:t>
      </w:r>
      <w:r w:rsidR="005349E3">
        <w:t xml:space="preserve">corresponding </w:t>
      </w:r>
      <w:r w:rsidR="00AF29D4">
        <w:t>ETF</w:t>
      </w:r>
      <w:r w:rsidR="005349E3">
        <w:t>s</w:t>
      </w:r>
      <w:r w:rsidR="00AF29D4">
        <w:t xml:space="preserve"> (Exchange-Traded Fund</w:t>
      </w:r>
      <w:r w:rsidR="005349E3">
        <w:t>s</w:t>
      </w:r>
      <w:r w:rsidR="00AF29D4">
        <w:t xml:space="preserve">). These ETFs are issued by </w:t>
      </w:r>
      <w:proofErr w:type="spellStart"/>
      <w:r w:rsidR="00AF29D4">
        <w:t>iShares</w:t>
      </w:r>
      <w:proofErr w:type="spellEnd"/>
      <w:r w:rsidR="00AF29D4">
        <w:t xml:space="preserve"> and traded on New York Stock Exchange (NYSE). The inception date of these ETFs is</w:t>
      </w:r>
      <w:r w:rsidR="00D47E9B">
        <w:t xml:space="preserve"> </w:t>
      </w:r>
      <w:smartTag w:uri="urn:schemas-microsoft-com:office:smarttags" w:element="date">
        <w:smartTagPr>
          <w:attr w:name="Month" w:val="6"/>
          <w:attr w:name="Day" w:val="28"/>
          <w:attr w:name="Year" w:val="2004"/>
        </w:smartTagPr>
        <w:r w:rsidR="00AF29D4">
          <w:t>June 28, 2004</w:t>
        </w:r>
      </w:smartTag>
      <w:r w:rsidR="00AF29D4">
        <w:t>.</w:t>
      </w:r>
      <w:r w:rsidR="00D72A7C">
        <w:t xml:space="preserve"> </w:t>
      </w:r>
      <w:r w:rsidR="001C6D59">
        <w:t xml:space="preserve">Table </w:t>
      </w:r>
      <w:r w:rsidR="002255EC">
        <w:t>2</w:t>
      </w:r>
      <w:r w:rsidR="001C6D59">
        <w:t xml:space="preserve"> report</w:t>
      </w:r>
      <w:r w:rsidR="00D72A7C">
        <w:t>s</w:t>
      </w:r>
      <w:r w:rsidR="00692FCB">
        <w:t xml:space="preserve"> the time-series averages of the market value, net expense ratio, and turnover ratio of these ETFs from 2004 to 2008.</w:t>
      </w:r>
      <w:r w:rsidR="00B06175">
        <w:t xml:space="preserve"> </w:t>
      </w:r>
      <w:r w:rsidR="00EC3BC5">
        <w:t>T</w:t>
      </w:r>
      <w:r w:rsidR="00F448D0">
        <w:t>he average market value</w:t>
      </w:r>
      <w:r w:rsidR="00EC3BC5">
        <w:t>s</w:t>
      </w:r>
      <w:r w:rsidR="003740F9">
        <w:t xml:space="preserve"> for the large cap, mid cap, and small cap</w:t>
      </w:r>
      <w:r w:rsidR="00F448D0">
        <w:t xml:space="preserve"> </w:t>
      </w:r>
      <w:r w:rsidR="003E053F">
        <w:t xml:space="preserve">ETFs </w:t>
      </w:r>
      <w:r w:rsidR="00EC3BC5">
        <w:t xml:space="preserve">are </w:t>
      </w:r>
      <w:r w:rsidR="00F448D0">
        <w:t xml:space="preserve">about </w:t>
      </w:r>
      <w:r w:rsidR="003E053F">
        <w:t>$</w:t>
      </w:r>
      <w:r w:rsidR="00F448D0">
        <w:t xml:space="preserve">277 million, </w:t>
      </w:r>
      <w:r w:rsidR="003E053F">
        <w:t>$</w:t>
      </w:r>
      <w:r w:rsidR="00F448D0">
        <w:t>177 million</w:t>
      </w:r>
      <w:r w:rsidR="000A4AC0">
        <w:t>,</w:t>
      </w:r>
      <w:r w:rsidR="00F448D0">
        <w:t xml:space="preserve"> and </w:t>
      </w:r>
      <w:r w:rsidR="003E053F">
        <w:t>$</w:t>
      </w:r>
      <w:r w:rsidR="000A4AC0">
        <w:t xml:space="preserve">92.46 </w:t>
      </w:r>
      <w:r w:rsidR="00F448D0">
        <w:t>million</w:t>
      </w:r>
      <w:r w:rsidR="00156897">
        <w:t>,</w:t>
      </w:r>
      <w:r w:rsidR="003740F9">
        <w:t xml:space="preserve"> respectively</w:t>
      </w:r>
      <w:r w:rsidR="00F448D0">
        <w:t>.</w:t>
      </w:r>
      <w:r w:rsidR="003740F9">
        <w:t xml:space="preserve"> </w:t>
      </w:r>
      <w:r w:rsidR="00823873">
        <w:t xml:space="preserve">Note that </w:t>
      </w:r>
      <w:r w:rsidR="005C733E">
        <w:t xml:space="preserve">for both large cap and mid cap ETFs </w:t>
      </w:r>
      <w:r w:rsidR="00823873">
        <w:t>t</w:t>
      </w:r>
      <w:r w:rsidR="00050B4D">
        <w:t xml:space="preserve">here is </w:t>
      </w:r>
      <w:r w:rsidR="00EC3BC5">
        <w:t xml:space="preserve">a </w:t>
      </w:r>
      <w:r w:rsidR="00050B4D">
        <w:t>significant</w:t>
      </w:r>
      <w:r w:rsidR="00EC3BC5">
        <w:t xml:space="preserve"> amount of</w:t>
      </w:r>
      <w:r w:rsidR="00050B4D">
        <w:t xml:space="preserve"> asset invested in </w:t>
      </w:r>
      <w:r w:rsidR="00EC3BC5">
        <w:t xml:space="preserve">the </w:t>
      </w:r>
      <w:r w:rsidR="00050B4D">
        <w:t xml:space="preserve">growth </w:t>
      </w:r>
      <w:r w:rsidR="005C733E">
        <w:t>ind</w:t>
      </w:r>
      <w:r w:rsidR="00050B4D">
        <w:t>ex</w:t>
      </w:r>
      <w:r w:rsidR="005C733E">
        <w:t>es</w:t>
      </w:r>
      <w:r w:rsidR="00050B4D">
        <w:t xml:space="preserve">, </w:t>
      </w:r>
      <w:r w:rsidR="005C733E">
        <w:t xml:space="preserve">whereas for </w:t>
      </w:r>
      <w:r w:rsidR="00050B4D">
        <w:t xml:space="preserve">the small cap </w:t>
      </w:r>
      <w:r w:rsidR="005C733E">
        <w:t xml:space="preserve">ETFs there is less </w:t>
      </w:r>
      <w:r w:rsidR="00050B4D">
        <w:t>investment</w:t>
      </w:r>
      <w:r w:rsidR="00823873">
        <w:t xml:space="preserve"> in growth</w:t>
      </w:r>
      <w:r w:rsidR="005C733E">
        <w:t xml:space="preserve"> indexes</w:t>
      </w:r>
      <w:r w:rsidR="00050B4D">
        <w:t>. I</w:t>
      </w:r>
      <w:r w:rsidR="00823873">
        <w:t xml:space="preserve">t seems that investors prefer investing in growth stocks to value stocks </w:t>
      </w:r>
      <w:r w:rsidR="005C733E">
        <w:t>in</w:t>
      </w:r>
      <w:r w:rsidR="00823873">
        <w:t xml:space="preserve"> </w:t>
      </w:r>
      <w:r w:rsidR="005C733E">
        <w:t xml:space="preserve">the </w:t>
      </w:r>
      <w:r w:rsidR="00823873">
        <w:t>la</w:t>
      </w:r>
      <w:r w:rsidR="001204D9">
        <w:t>r</w:t>
      </w:r>
      <w:r w:rsidR="00823873">
        <w:t xml:space="preserve">ge </w:t>
      </w:r>
      <w:r w:rsidR="005C733E">
        <w:t xml:space="preserve">cap </w:t>
      </w:r>
      <w:r w:rsidR="00823873">
        <w:t>and mid cap</w:t>
      </w:r>
      <w:r w:rsidR="005C733E">
        <w:t xml:space="preserve"> groups</w:t>
      </w:r>
      <w:r w:rsidR="00823873">
        <w:t xml:space="preserve">, but </w:t>
      </w:r>
      <w:r w:rsidR="00EC3BC5">
        <w:t xml:space="preserve">prefer value stocks </w:t>
      </w:r>
      <w:r w:rsidR="005C733E">
        <w:t xml:space="preserve">to growth stocks in the </w:t>
      </w:r>
      <w:r w:rsidR="00823873">
        <w:t>small cap</w:t>
      </w:r>
      <w:r w:rsidR="005C733E">
        <w:t xml:space="preserve"> group</w:t>
      </w:r>
      <w:r w:rsidR="00823873">
        <w:t xml:space="preserve">. </w:t>
      </w:r>
      <w:r w:rsidR="003740F9">
        <w:t>The average turnover</w:t>
      </w:r>
      <w:r w:rsidR="00EC3BC5">
        <w:t>s</w:t>
      </w:r>
      <w:r w:rsidR="003740F9">
        <w:t xml:space="preserve"> for the large cap, mid cap, and small cap</w:t>
      </w:r>
      <w:r w:rsidR="006E0805">
        <w:t xml:space="preserve"> ETFs</w:t>
      </w:r>
      <w:r w:rsidR="003740F9">
        <w:t xml:space="preserve"> </w:t>
      </w:r>
      <w:r w:rsidR="00EC3BC5">
        <w:t xml:space="preserve">are </w:t>
      </w:r>
      <w:r w:rsidR="003740F9">
        <w:t>about 26</w:t>
      </w:r>
      <w:r w:rsidR="00712183">
        <w:t>%</w:t>
      </w:r>
      <w:r w:rsidR="003740F9">
        <w:t>, 37</w:t>
      </w:r>
      <w:r w:rsidR="00712183">
        <w:t>%</w:t>
      </w:r>
      <w:r w:rsidR="003740F9">
        <w:t>, and 53</w:t>
      </w:r>
      <w:r w:rsidR="00712183">
        <w:t>%</w:t>
      </w:r>
      <w:r w:rsidR="003740F9">
        <w:t>, respectively</w:t>
      </w:r>
      <w:r w:rsidR="009C2205">
        <w:t>, which indicate</w:t>
      </w:r>
      <w:r w:rsidR="000744AB">
        <w:t>s</w:t>
      </w:r>
      <w:r w:rsidR="009C2205">
        <w:t xml:space="preserve"> that stocks </w:t>
      </w:r>
      <w:r w:rsidR="00EC3BC5">
        <w:t xml:space="preserve">in the small cap group </w:t>
      </w:r>
      <w:r w:rsidR="009C2205">
        <w:t>have a higher chan</w:t>
      </w:r>
      <w:r w:rsidR="00EC3BC5">
        <w:t>ce of moving in or out</w:t>
      </w:r>
      <w:r w:rsidR="009C2205">
        <w:t>.</w:t>
      </w:r>
      <w:r w:rsidR="006132FA">
        <w:t xml:space="preserve"> Nevertheless, these turnover ratios are low compared to the average turnover ratio of 70.2% for US equity funds during the period of 1990-1994 (see </w:t>
      </w:r>
      <w:proofErr w:type="spellStart"/>
      <w:r w:rsidR="006132FA">
        <w:t>Wermers</w:t>
      </w:r>
      <w:proofErr w:type="spellEnd"/>
      <w:r w:rsidR="006132FA">
        <w:t xml:space="preserve"> (2000)). </w:t>
      </w:r>
      <w:r w:rsidR="009C2205">
        <w:t xml:space="preserve">Finally, </w:t>
      </w:r>
      <w:r w:rsidR="006132FA">
        <w:t>the expense ratios are generally low, ranging from 0.20% for large core index to 0.30% for mid and small growth/value indexes</w:t>
      </w:r>
      <w:r w:rsidR="00484860">
        <w:t>.</w:t>
      </w:r>
      <w:r w:rsidR="006132FA">
        <w:t xml:space="preserve"> This is compared to the average expense ratio of 0.93% for US equity funds during the period of 1990-1994 (see </w:t>
      </w:r>
      <w:proofErr w:type="spellStart"/>
      <w:r w:rsidR="006132FA">
        <w:t>Wermers</w:t>
      </w:r>
      <w:proofErr w:type="spellEnd"/>
      <w:r w:rsidR="006132FA">
        <w:t xml:space="preserve"> (2000)).  </w:t>
      </w:r>
    </w:p>
    <w:p w:rsidR="00E958DD" w:rsidRDefault="00E958DD" w:rsidP="00FE5B83">
      <w:pPr>
        <w:spacing w:line="480" w:lineRule="auto"/>
        <w:ind w:left="-540" w:right="-900"/>
        <w:contextualSpacing/>
      </w:pPr>
    </w:p>
    <w:p w:rsidR="00BB17F0" w:rsidRPr="00FE5B83" w:rsidRDefault="00BB17F0" w:rsidP="00FE5B83">
      <w:pPr>
        <w:spacing w:line="480" w:lineRule="auto"/>
        <w:ind w:left="-540" w:right="-900"/>
        <w:contextualSpacing/>
        <w:rPr>
          <w:b/>
        </w:rPr>
      </w:pPr>
      <w:r w:rsidRPr="00FE5B83">
        <w:rPr>
          <w:b/>
        </w:rPr>
        <w:lastRenderedPageBreak/>
        <w:t xml:space="preserve">2.2 </w:t>
      </w:r>
      <w:r w:rsidR="00986B0E" w:rsidRPr="0054769F">
        <w:rPr>
          <w:b/>
        </w:rPr>
        <w:t xml:space="preserve">Characteristics of </w:t>
      </w:r>
      <w:r w:rsidRPr="00FE5B83">
        <w:rPr>
          <w:b/>
        </w:rPr>
        <w:t>Morningstar Sector Index</w:t>
      </w:r>
      <w:r w:rsidR="00FE5B83" w:rsidRPr="00FE5B83">
        <w:rPr>
          <w:b/>
        </w:rPr>
        <w:t>es</w:t>
      </w:r>
    </w:p>
    <w:p w:rsidR="00C568C5" w:rsidRPr="00520990" w:rsidRDefault="00077323" w:rsidP="00B5274A">
      <w:pPr>
        <w:spacing w:line="480" w:lineRule="auto"/>
        <w:ind w:left="-540" w:right="-900"/>
        <w:contextualSpacing/>
      </w:pPr>
      <w:r>
        <w:tab/>
      </w:r>
      <w:r w:rsidR="000F0293">
        <w:t>Morningstar S</w:t>
      </w:r>
      <w:r w:rsidR="007172B9">
        <w:t xml:space="preserve">ector </w:t>
      </w:r>
      <w:r w:rsidR="000F0293">
        <w:t>I</w:t>
      </w:r>
      <w:r w:rsidR="007172B9">
        <w:t xml:space="preserve">ndexes are constructed </w:t>
      </w:r>
      <w:r w:rsidR="005349E3">
        <w:t>in the following</w:t>
      </w:r>
      <w:r w:rsidR="006F1562">
        <w:t xml:space="preserve"> </w:t>
      </w:r>
      <w:r w:rsidR="007172B9">
        <w:t>steps</w:t>
      </w:r>
      <w:r w:rsidR="00707EC1">
        <w:t>.</w:t>
      </w:r>
      <w:r w:rsidR="00974B11">
        <w:t xml:space="preserve"> </w:t>
      </w:r>
      <w:r w:rsidR="007172B9">
        <w:t>F</w:t>
      </w:r>
      <w:r w:rsidR="003B1C77">
        <w:t>irst</w:t>
      </w:r>
      <w:r w:rsidR="005349E3">
        <w:t>,</w:t>
      </w:r>
      <w:r w:rsidR="003B1C77">
        <w:t xml:space="preserve"> </w:t>
      </w:r>
      <w:r w:rsidR="001D1C16">
        <w:t>each stock in th</w:t>
      </w:r>
      <w:r w:rsidR="003B1C77">
        <w:t xml:space="preserve">e </w:t>
      </w:r>
      <w:r w:rsidR="005349E3">
        <w:t>stock</w:t>
      </w:r>
      <w:r w:rsidR="003B1C77">
        <w:t xml:space="preserve"> universe </w:t>
      </w:r>
      <w:r w:rsidR="005349E3">
        <w:t xml:space="preserve">is classified </w:t>
      </w:r>
      <w:r w:rsidR="001D1C16">
        <w:t>into one of 213 industries</w:t>
      </w:r>
      <w:r w:rsidR="003B1C77">
        <w:t xml:space="preserve">. The classification </w:t>
      </w:r>
      <w:r w:rsidR="001D1C16">
        <w:t xml:space="preserve">is </w:t>
      </w:r>
      <w:r w:rsidR="003B1C77">
        <w:t xml:space="preserve">primarily </w:t>
      </w:r>
      <w:r w:rsidR="001D1C16">
        <w:t>bas</w:t>
      </w:r>
      <w:r w:rsidR="003B1C77">
        <w:t xml:space="preserve">ed on a company’s annual report and Form 10-K. </w:t>
      </w:r>
      <w:r w:rsidR="00C92FAF">
        <w:t>The company web sites, sell-side research</w:t>
      </w:r>
      <w:r w:rsidR="005C733E">
        <w:t>,</w:t>
      </w:r>
      <w:r w:rsidR="00C92FAF">
        <w:t xml:space="preserve"> and trade publications are used as </w:t>
      </w:r>
      <w:r w:rsidR="001D1C16">
        <w:t>secondary sources</w:t>
      </w:r>
      <w:r w:rsidR="00C92FAF">
        <w:t>.</w:t>
      </w:r>
      <w:r w:rsidR="001D1C16">
        <w:t xml:space="preserve"> </w:t>
      </w:r>
      <w:r w:rsidR="00C92FAF">
        <w:t>Second, based on companies’ common operational characteristics, they are classified</w:t>
      </w:r>
      <w:r w:rsidR="001D1C16">
        <w:t xml:space="preserve"> into 91 industry groups</w:t>
      </w:r>
      <w:r w:rsidR="00C92FAF">
        <w:t>.</w:t>
      </w:r>
      <w:r w:rsidR="001D1C16">
        <w:t xml:space="preserve"> </w:t>
      </w:r>
      <w:r w:rsidR="00C92FAF">
        <w:t>Finally, 91 i</w:t>
      </w:r>
      <w:r w:rsidR="001D1C16">
        <w:t>ndu</w:t>
      </w:r>
      <w:r w:rsidR="00C92FAF">
        <w:t xml:space="preserve">stry groups are folded into </w:t>
      </w:r>
      <w:r w:rsidR="001D1C16">
        <w:t>12 sectors</w:t>
      </w:r>
      <w:r w:rsidR="00C92FAF">
        <w:t>:</w:t>
      </w:r>
      <w:r w:rsidR="00394446">
        <w:t xml:space="preserve"> Software, Hardware, Media, Telecommunications, Health Care, Consumer Services, Business Services, Financial Services, Consumer Goods, Industrial Materials, Energy, and Utilities</w:t>
      </w:r>
      <w:r w:rsidR="001D1C16">
        <w:t>.</w:t>
      </w:r>
      <w:r w:rsidR="00296AD4">
        <w:t xml:space="preserve"> These 12 sectors are further classified into three major super s</w:t>
      </w:r>
      <w:r w:rsidR="00296AD4" w:rsidRPr="00CC5A69">
        <w:t>ectors: the Information Economy, the Service Economy,</w:t>
      </w:r>
      <w:r w:rsidR="00296AD4">
        <w:t xml:space="preserve"> and the Manufacturing Economy. </w:t>
      </w:r>
      <w:r w:rsidR="00C568C5">
        <w:t xml:space="preserve">The </w:t>
      </w:r>
      <w:r w:rsidR="00A60F73">
        <w:t>inception date of</w:t>
      </w:r>
      <w:r w:rsidR="00974B11">
        <w:t xml:space="preserve"> the</w:t>
      </w:r>
      <w:r w:rsidR="00A60F73">
        <w:t xml:space="preserve"> twelve sector</w:t>
      </w:r>
      <w:r w:rsidR="00C568C5">
        <w:t xml:space="preserve"> indexes is </w:t>
      </w:r>
      <w:r w:rsidR="00A60F73">
        <w:t xml:space="preserve">also </w:t>
      </w:r>
      <w:r w:rsidR="00C568C5">
        <w:t>June 30, 1997. The index</w:t>
      </w:r>
      <w:r w:rsidR="008C59C1">
        <w:t>es’</w:t>
      </w:r>
      <w:r w:rsidR="00C568C5">
        <w:t xml:space="preserve"> base market values at inception are </w:t>
      </w:r>
      <w:r w:rsidR="008C59C1">
        <w:t>$</w:t>
      </w:r>
      <w:r w:rsidR="00C568C5">
        <w:t>1,000.</w:t>
      </w:r>
      <w:r w:rsidR="00CE6A84">
        <w:t xml:space="preserve"> However, </w:t>
      </w:r>
      <w:r w:rsidR="001954E4">
        <w:t xml:space="preserve">different from </w:t>
      </w:r>
      <w:r w:rsidR="00CE6A84">
        <w:t>the Morningstar style indexes, there are n</w:t>
      </w:r>
      <w:r w:rsidR="007172B9">
        <w:t>o corresponding ETF’s f</w:t>
      </w:r>
      <w:r w:rsidR="00CE6A84">
        <w:t>o</w:t>
      </w:r>
      <w:r w:rsidR="007172B9">
        <w:t>r</w:t>
      </w:r>
      <w:r w:rsidR="00CE6A84">
        <w:t xml:space="preserve"> these sector indexes. </w:t>
      </w:r>
    </w:p>
    <w:p w:rsidR="00E52F38" w:rsidRDefault="00077323" w:rsidP="00FE5B83">
      <w:pPr>
        <w:spacing w:line="480" w:lineRule="auto"/>
        <w:ind w:left="-540" w:right="-900"/>
        <w:contextualSpacing/>
      </w:pPr>
      <w:r>
        <w:tab/>
      </w:r>
      <w:r w:rsidR="001C6D59">
        <w:t xml:space="preserve">Table 3 reports summary statistics of monthly returns and </w:t>
      </w:r>
      <w:r w:rsidR="00B5274A">
        <w:t>SUE</w:t>
      </w:r>
      <w:r w:rsidR="000C41EE">
        <w:t xml:space="preserve"> </w:t>
      </w:r>
      <w:r w:rsidR="001C6D59">
        <w:t xml:space="preserve">of Morningstar </w:t>
      </w:r>
      <w:r w:rsidR="005C733E">
        <w:t>S</w:t>
      </w:r>
      <w:r w:rsidR="001C6D59">
        <w:t xml:space="preserve">ector </w:t>
      </w:r>
      <w:r w:rsidR="005C733E">
        <w:t>I</w:t>
      </w:r>
      <w:r w:rsidR="001C6D59">
        <w:t>ndexes.</w:t>
      </w:r>
      <w:r w:rsidR="001C6D59" w:rsidDel="00692FCB">
        <w:t xml:space="preserve"> </w:t>
      </w:r>
      <w:r w:rsidR="004917D1">
        <w:t xml:space="preserve">The results show that </w:t>
      </w:r>
      <w:r w:rsidR="005C733E">
        <w:t xml:space="preserve">the </w:t>
      </w:r>
      <w:r w:rsidR="004917D1">
        <w:t>e</w:t>
      </w:r>
      <w:r w:rsidR="00453A03">
        <w:t>nergy sector has the highest average return</w:t>
      </w:r>
      <w:r w:rsidR="00B1192F">
        <w:t>, whereas</w:t>
      </w:r>
      <w:r w:rsidR="00453A03">
        <w:t xml:space="preserve"> the telecommunication sector has the lowest</w:t>
      </w:r>
      <w:r w:rsidR="004917D1">
        <w:t xml:space="preserve"> return during our sample period</w:t>
      </w:r>
      <w:r w:rsidR="00453A03">
        <w:t xml:space="preserve">. </w:t>
      </w:r>
      <w:r w:rsidR="004917D1">
        <w:t xml:space="preserve">Return standard deviation is highest for the hardware sector and lowest for the consumer goods sector. </w:t>
      </w:r>
      <w:r w:rsidR="00453A03">
        <w:t xml:space="preserve">The returns </w:t>
      </w:r>
      <w:r w:rsidR="004917D1">
        <w:t>for</w:t>
      </w:r>
      <w:r w:rsidR="00453A03">
        <w:t xml:space="preserve"> most of</w:t>
      </w:r>
      <w:r w:rsidR="005C733E">
        <w:t xml:space="preserve"> the</w:t>
      </w:r>
      <w:r w:rsidR="00453A03">
        <w:t xml:space="preserve"> sectors are </w:t>
      </w:r>
      <w:r w:rsidR="00B1192F">
        <w:t>negative</w:t>
      </w:r>
      <w:r w:rsidR="00453A03">
        <w:t>ly skewed</w:t>
      </w:r>
      <w:r w:rsidR="004917D1">
        <w:t xml:space="preserve"> except the energy sector, the software sector, and the telecommunication sector</w:t>
      </w:r>
      <w:r w:rsidR="00453A03">
        <w:t xml:space="preserve">. </w:t>
      </w:r>
      <w:r w:rsidR="004917D1">
        <w:t>This</w:t>
      </w:r>
      <w:r w:rsidR="00453A03">
        <w:t xml:space="preserve"> could be due to the </w:t>
      </w:r>
      <w:r w:rsidR="004917D1">
        <w:t xml:space="preserve">spike of oil price and </w:t>
      </w:r>
      <w:r w:rsidR="00453A03">
        <w:t xml:space="preserve">tech bubble </w:t>
      </w:r>
      <w:r w:rsidR="005C733E">
        <w:t>during</w:t>
      </w:r>
      <w:r w:rsidR="00453A03">
        <w:t xml:space="preserve"> our sample</w:t>
      </w:r>
      <w:r w:rsidR="004917D1">
        <w:t xml:space="preserve"> period</w:t>
      </w:r>
      <w:r w:rsidR="00453A03">
        <w:t>.</w:t>
      </w:r>
      <w:r w:rsidR="00987562">
        <w:t xml:space="preserve"> The consumer </w:t>
      </w:r>
      <w:r w:rsidR="00056752">
        <w:t>good</w:t>
      </w:r>
      <w:r w:rsidR="00987562">
        <w:t>s, financial services, and telecommunication sectors have</w:t>
      </w:r>
      <w:r w:rsidR="00386546">
        <w:t xml:space="preserve"> </w:t>
      </w:r>
      <w:r w:rsidR="00992C3A">
        <w:t xml:space="preserve">higher levels of </w:t>
      </w:r>
      <w:r w:rsidR="00CF7408">
        <w:t xml:space="preserve">kurtosis than other sectors, which </w:t>
      </w:r>
      <w:r w:rsidR="00B1192F">
        <w:t xml:space="preserve">indicate that </w:t>
      </w:r>
      <w:r w:rsidR="00390AF7">
        <w:t>these three</w:t>
      </w:r>
      <w:r w:rsidR="00CF7408">
        <w:t xml:space="preserve"> sectors </w:t>
      </w:r>
      <w:r w:rsidR="00B1192F">
        <w:t xml:space="preserve">tend to </w:t>
      </w:r>
      <w:r w:rsidR="00CF7408">
        <w:t xml:space="preserve">have </w:t>
      </w:r>
      <w:r w:rsidR="00B1192F">
        <w:t>extreme returns.</w:t>
      </w:r>
      <w:r w:rsidR="001C6D59">
        <w:t xml:space="preserve"> </w:t>
      </w:r>
      <w:r w:rsidR="004917D1">
        <w:t>Panel B show</w:t>
      </w:r>
      <w:r w:rsidR="005C733E">
        <w:t>s</w:t>
      </w:r>
      <w:r w:rsidR="004917D1">
        <w:t xml:space="preserve"> that SUE is positive for all sectors with the only exception of consumer goods sector. </w:t>
      </w:r>
      <w:r w:rsidR="00FD3E73" w:rsidRPr="00056752">
        <w:t xml:space="preserve">The </w:t>
      </w:r>
      <w:r w:rsidR="00056752">
        <w:t>industrial materials and consumer services</w:t>
      </w:r>
      <w:r w:rsidR="00FD3E73" w:rsidRPr="00056752">
        <w:t xml:space="preserve"> </w:t>
      </w:r>
      <w:r w:rsidR="004917D1">
        <w:t xml:space="preserve">are the </w:t>
      </w:r>
      <w:r w:rsidR="00FD3E73" w:rsidRPr="00056752">
        <w:t xml:space="preserve">sectors </w:t>
      </w:r>
      <w:r w:rsidR="004917D1">
        <w:t>with</w:t>
      </w:r>
      <w:r w:rsidR="00FD3E73" w:rsidRPr="00056752">
        <w:t xml:space="preserve"> the </w:t>
      </w:r>
      <w:r w:rsidR="00056752">
        <w:t xml:space="preserve">highest </w:t>
      </w:r>
      <w:r w:rsidR="00992C3A">
        <w:t>SUE</w:t>
      </w:r>
      <w:r w:rsidR="00056752">
        <w:t>.</w:t>
      </w:r>
    </w:p>
    <w:p w:rsidR="00FB3B41" w:rsidRDefault="00FB3B41" w:rsidP="00FE5B83">
      <w:pPr>
        <w:spacing w:line="480" w:lineRule="auto"/>
        <w:ind w:left="-540" w:right="-900"/>
        <w:contextualSpacing/>
      </w:pPr>
    </w:p>
    <w:p w:rsidR="00CF0EEE" w:rsidRPr="00C615EA" w:rsidRDefault="006D6CB7" w:rsidP="00FE5B83">
      <w:pPr>
        <w:spacing w:line="480" w:lineRule="auto"/>
        <w:ind w:left="-540" w:right="-900"/>
        <w:contextualSpacing/>
        <w:rPr>
          <w:b/>
        </w:rPr>
      </w:pPr>
      <w:r>
        <w:rPr>
          <w:b/>
        </w:rPr>
        <w:lastRenderedPageBreak/>
        <w:t>3.</w:t>
      </w:r>
      <w:r w:rsidR="00CF0EEE" w:rsidRPr="00C615EA">
        <w:rPr>
          <w:b/>
        </w:rPr>
        <w:t xml:space="preserve"> Momentum </w:t>
      </w:r>
      <w:r w:rsidR="005349E3">
        <w:rPr>
          <w:b/>
        </w:rPr>
        <w:t>E</w:t>
      </w:r>
      <w:r w:rsidR="005349E3" w:rsidRPr="00C615EA">
        <w:rPr>
          <w:b/>
        </w:rPr>
        <w:t>ffect</w:t>
      </w:r>
      <w:r w:rsidR="007C47E0">
        <w:rPr>
          <w:b/>
        </w:rPr>
        <w:t>s</w:t>
      </w:r>
    </w:p>
    <w:p w:rsidR="00442450" w:rsidRDefault="00442450" w:rsidP="00FE5B83">
      <w:pPr>
        <w:spacing w:line="480" w:lineRule="auto"/>
        <w:ind w:left="-540" w:right="-900"/>
        <w:contextualSpacing/>
        <w:rPr>
          <w:b/>
        </w:rPr>
      </w:pPr>
      <w:r w:rsidRPr="00442450">
        <w:rPr>
          <w:b/>
        </w:rPr>
        <w:t xml:space="preserve">3.1 Style Indexes </w:t>
      </w:r>
    </w:p>
    <w:p w:rsidR="006E29EB" w:rsidRDefault="00077323" w:rsidP="00FE5B83">
      <w:pPr>
        <w:spacing w:line="480" w:lineRule="auto"/>
        <w:ind w:left="-540" w:right="-900"/>
        <w:contextualSpacing/>
      </w:pPr>
      <w:r>
        <w:tab/>
      </w:r>
      <w:r w:rsidR="006E29EB">
        <w:t xml:space="preserve">In this section, we investigate whether there </w:t>
      </w:r>
      <w:r w:rsidR="00EB4A04">
        <w:t xml:space="preserve">are price and earnings </w:t>
      </w:r>
      <w:r w:rsidR="006E29EB">
        <w:t>momentum effect</w:t>
      </w:r>
      <w:r w:rsidR="00EB4A04">
        <w:t>s</w:t>
      </w:r>
      <w:r w:rsidR="005C733E">
        <w:t xml:space="preserve"> in Morningstar S</w:t>
      </w:r>
      <w:r w:rsidR="006E29EB">
        <w:t xml:space="preserve">tyle </w:t>
      </w:r>
      <w:r w:rsidR="005C733E">
        <w:t>I</w:t>
      </w:r>
      <w:r w:rsidR="006E29EB">
        <w:t>ndexes. At the beginning of every month</w:t>
      </w:r>
      <w:r w:rsidR="004917D1" w:rsidRPr="004917D1">
        <w:t xml:space="preserve"> </w:t>
      </w:r>
      <w:r w:rsidR="00BB2F00">
        <w:t>during our sample period</w:t>
      </w:r>
      <w:r w:rsidR="006E29EB">
        <w:t xml:space="preserve">, the indexes are ranked by their </w:t>
      </w:r>
      <w:r w:rsidR="00E35328">
        <w:t xml:space="preserve">cumulative </w:t>
      </w:r>
      <w:r w:rsidR="006E29EB">
        <w:t xml:space="preserve">returns </w:t>
      </w:r>
      <w:r w:rsidR="00EB4A04">
        <w:t xml:space="preserve">or their average SUEs </w:t>
      </w:r>
      <w:r w:rsidR="006E29EB">
        <w:t xml:space="preserve">over the past three, six, and twelve months and assigned to one of three portfolios. Portfolio 1 (P1) consists of </w:t>
      </w:r>
      <w:r w:rsidR="005C733E">
        <w:t xml:space="preserve">the </w:t>
      </w:r>
      <w:r w:rsidR="006E29EB">
        <w:t xml:space="preserve">three style indexes with the highest past </w:t>
      </w:r>
      <w:r w:rsidR="00E35328">
        <w:t>cumulative</w:t>
      </w:r>
      <w:r w:rsidR="006E29EB">
        <w:t xml:space="preserve"> returns (or </w:t>
      </w:r>
      <w:r w:rsidR="00E44815">
        <w:t xml:space="preserve">the </w:t>
      </w:r>
      <w:r w:rsidR="00497728">
        <w:t xml:space="preserve">highest </w:t>
      </w:r>
      <w:r w:rsidR="005D7EA4">
        <w:t xml:space="preserve">average </w:t>
      </w:r>
      <w:r w:rsidR="006E29EB">
        <w:t xml:space="preserve">SUEs). Portfolio 3 (P3) consists of </w:t>
      </w:r>
      <w:r w:rsidR="005C733E">
        <w:t xml:space="preserve">the </w:t>
      </w:r>
      <w:r w:rsidR="006E29EB">
        <w:t xml:space="preserve">three style indexes with the worst past </w:t>
      </w:r>
      <w:r w:rsidR="00E35328">
        <w:t>cumulative</w:t>
      </w:r>
      <w:r w:rsidR="006E29EB">
        <w:t xml:space="preserve"> returns (or</w:t>
      </w:r>
      <w:r w:rsidR="005D7EA4">
        <w:t xml:space="preserve"> </w:t>
      </w:r>
      <w:r w:rsidR="00E44815">
        <w:t xml:space="preserve">the </w:t>
      </w:r>
      <w:r w:rsidR="00497728">
        <w:t xml:space="preserve">lowest </w:t>
      </w:r>
      <w:r w:rsidR="005D7EA4">
        <w:t>average</w:t>
      </w:r>
      <w:r w:rsidR="006E29EB">
        <w:t xml:space="preserve"> SUEs). The remaining indexes are in portfolio 2 (P2). Each portfolio is then held over the next one, three, six, </w:t>
      </w:r>
      <w:r w:rsidR="005C733E">
        <w:t>or</w:t>
      </w:r>
      <w:r w:rsidR="006E29EB">
        <w:t xml:space="preserve"> twelve months. The combination of three different ranking periods and four different holding periods results in 12 momentum strategies. All indexes are equally-weighted in the portfolios. The momentum portfolio (P1-P3) is a portfolio that takes a long position in portfolio 1 (buy winners) and a short position in portfolio 3 (sell losers). Thus, the return of a momentum portfolio,</w:t>
      </w:r>
      <w:r w:rsidR="006E29EB" w:rsidRPr="000D2B05">
        <w:t xml:space="preserve"> </w:t>
      </w:r>
      <w:r w:rsidR="006E29EB">
        <w:t>often referred to as the momentum profit, is essentially the spread between the returns of portfolio 1 and portfolio 3.</w:t>
      </w:r>
    </w:p>
    <w:p w:rsidR="006E29EB" w:rsidRDefault="00077323" w:rsidP="00FE5B83">
      <w:pPr>
        <w:spacing w:line="480" w:lineRule="auto"/>
        <w:ind w:left="-540" w:right="-900"/>
        <w:contextualSpacing/>
      </w:pPr>
      <w:r>
        <w:tab/>
      </w:r>
      <w:r w:rsidR="006E29EB">
        <w:t>Table 4 reports the average holding period return (mean), its t-statistics (t-Stat), and the percentage of positive return (</w:t>
      </w:r>
      <w:proofErr w:type="gramStart"/>
      <w:r w:rsidR="006E29EB">
        <w:t>+%</w:t>
      </w:r>
      <w:proofErr w:type="gramEnd"/>
      <w:r w:rsidR="006E29EB">
        <w:t xml:space="preserve">) for each portfolio over our sample period. Panel </w:t>
      </w:r>
      <w:proofErr w:type="gramStart"/>
      <w:r w:rsidR="006E29EB">
        <w:t>A</w:t>
      </w:r>
      <w:proofErr w:type="gramEnd"/>
      <w:r w:rsidR="006E29EB">
        <w:t xml:space="preserve"> reports the results o</w:t>
      </w:r>
      <w:r w:rsidR="001436C8">
        <w:t>f</w:t>
      </w:r>
      <w:r w:rsidR="00A44968">
        <w:t xml:space="preserve"> the price momentum effect </w:t>
      </w:r>
      <w:r w:rsidR="006E29EB">
        <w:t>and Panel B reports the results o</w:t>
      </w:r>
      <w:r w:rsidR="001436C8">
        <w:t>f</w:t>
      </w:r>
      <w:r w:rsidR="00A44968">
        <w:t xml:space="preserve"> the earnings momentum effect </w:t>
      </w:r>
      <w:r w:rsidR="005D7EA4">
        <w:t>in</w:t>
      </w:r>
      <w:r w:rsidR="006E29EB">
        <w:t xml:space="preserve"> Morningstar </w:t>
      </w:r>
      <w:r w:rsidR="005C733E">
        <w:t>S</w:t>
      </w:r>
      <w:r w:rsidR="00A44968">
        <w:t>tyle</w:t>
      </w:r>
      <w:r w:rsidR="006E29EB">
        <w:t xml:space="preserve"> </w:t>
      </w:r>
      <w:r w:rsidR="005C733E">
        <w:t>I</w:t>
      </w:r>
      <w:r w:rsidR="006E29EB">
        <w:t xml:space="preserve">ndexes. </w:t>
      </w:r>
    </w:p>
    <w:p w:rsidR="00A44968" w:rsidRDefault="00A44968" w:rsidP="00FE5B83">
      <w:pPr>
        <w:spacing w:line="480" w:lineRule="auto"/>
        <w:ind w:left="-540" w:right="-900"/>
        <w:contextualSpacing/>
      </w:pPr>
    </w:p>
    <w:p w:rsidR="0031698B" w:rsidRPr="003133FA" w:rsidRDefault="00A44968" w:rsidP="00FE5B83">
      <w:pPr>
        <w:spacing w:line="480" w:lineRule="auto"/>
        <w:ind w:left="-540" w:right="-900"/>
        <w:contextualSpacing/>
        <w:rPr>
          <w:b/>
        </w:rPr>
      </w:pPr>
      <w:r w:rsidRPr="003133FA">
        <w:rPr>
          <w:b/>
        </w:rPr>
        <w:t>3.1.1. Price Momentum</w:t>
      </w:r>
      <w:r w:rsidR="001436C8">
        <w:rPr>
          <w:b/>
        </w:rPr>
        <w:t xml:space="preserve"> </w:t>
      </w:r>
      <w:r w:rsidR="003133FA" w:rsidRPr="003133FA">
        <w:rPr>
          <w:b/>
        </w:rPr>
        <w:t>of Style Indexes</w:t>
      </w:r>
    </w:p>
    <w:p w:rsidR="00C8488D" w:rsidRDefault="00077323" w:rsidP="00FE5B83">
      <w:pPr>
        <w:spacing w:line="480" w:lineRule="auto"/>
        <w:ind w:left="-540" w:right="-900"/>
        <w:contextualSpacing/>
        <w:rPr>
          <w:lang w:eastAsia="en-US"/>
        </w:rPr>
      </w:pPr>
      <w:r>
        <w:tab/>
      </w:r>
      <w:r w:rsidR="006E29EB">
        <w:t xml:space="preserve">The results in Panel </w:t>
      </w:r>
      <w:proofErr w:type="gramStart"/>
      <w:r w:rsidR="006E29EB">
        <w:t>A</w:t>
      </w:r>
      <w:proofErr w:type="gramEnd"/>
      <w:r w:rsidR="006E29EB">
        <w:t xml:space="preserve"> of Table 4 show that the average returns of portfolio P1, P2, and P3 are all positive. For the momentum portfolios (P1-P3), except for the one with </w:t>
      </w:r>
      <w:r w:rsidR="005C733E">
        <w:t xml:space="preserve">a </w:t>
      </w:r>
      <w:r w:rsidR="006E29EB">
        <w:t xml:space="preserve">12-month ranking </w:t>
      </w:r>
      <w:r w:rsidR="005C733E">
        <w:t xml:space="preserve">period </w:t>
      </w:r>
      <w:r w:rsidR="006E29EB">
        <w:t xml:space="preserve">and </w:t>
      </w:r>
      <w:r w:rsidR="005C733E">
        <w:t xml:space="preserve">a </w:t>
      </w:r>
      <w:r w:rsidR="006E29EB">
        <w:t>12-month hol</w:t>
      </w:r>
      <w:r w:rsidR="005C733E">
        <w:t>ding period</w:t>
      </w:r>
      <w:r w:rsidR="006E29EB">
        <w:t xml:space="preserve">, the average returns are all positive. In particular, with the 6-month ranking </w:t>
      </w:r>
      <w:r w:rsidR="006E29EB">
        <w:lastRenderedPageBreak/>
        <w:t xml:space="preserve">period the average returns of the momentum portfolios are all statistically significant at </w:t>
      </w:r>
      <w:r w:rsidR="00F17453">
        <w:t xml:space="preserve">the </w:t>
      </w:r>
      <w:r w:rsidR="006E29EB">
        <w:t xml:space="preserve">5% confidence level for all holding periods. This indicates that past 6-month index returns are the strongest momentum indicator. The annualized momentum profit for the 3-month and 6-month holding periods are as high as </w:t>
      </w:r>
      <w:r w:rsidR="006E29EB" w:rsidRPr="00027276">
        <w:t>1</w:t>
      </w:r>
      <w:r w:rsidR="006E29EB">
        <w:t>6.99</w:t>
      </w:r>
      <w:r w:rsidR="006E29EB" w:rsidRPr="00027276">
        <w:t>% and 13.</w:t>
      </w:r>
      <w:r w:rsidR="006E29EB">
        <w:t>42</w:t>
      </w:r>
      <w:r w:rsidR="006E29EB" w:rsidRPr="00027276">
        <w:t>%, respectively.</w:t>
      </w:r>
      <w:r w:rsidR="006E29EB">
        <w:t xml:space="preserve"> In addition, the percentages of positive returns are, respectively, 63% and 66% for these two holding horizons. This </w:t>
      </w:r>
      <w:r w:rsidR="001436C8">
        <w:t>suggests</w:t>
      </w:r>
      <w:r w:rsidR="006E29EB">
        <w:t xml:space="preserve"> that the momentum profit is not driven by outliers. With </w:t>
      </w:r>
      <w:r w:rsidR="00F17453">
        <w:t>a</w:t>
      </w:r>
      <w:r w:rsidR="006E29EB">
        <w:t xml:space="preserve"> 3-month ranking period, the average returns of the momentum portfolios with a 6-month or 12-month holding period are also statistically significant at </w:t>
      </w:r>
      <w:r w:rsidR="00F6262E">
        <w:t xml:space="preserve">the </w:t>
      </w:r>
      <w:r w:rsidR="006E29EB">
        <w:t xml:space="preserve">5% confidence level. However, the momentum profits are clearly lower than those based on the 6-month ranking period. With </w:t>
      </w:r>
      <w:r w:rsidR="00F17453">
        <w:t>a</w:t>
      </w:r>
      <w:r w:rsidR="006E29EB">
        <w:t xml:space="preserve"> 12-month ranking period, only the momentum profit with </w:t>
      </w:r>
      <w:r w:rsidR="00F17453">
        <w:t xml:space="preserve">a </w:t>
      </w:r>
      <w:r w:rsidR="006E29EB">
        <w:t xml:space="preserve">3-month holding period is weakly significant at </w:t>
      </w:r>
      <w:r w:rsidR="00F17453">
        <w:t xml:space="preserve">the </w:t>
      </w:r>
      <w:r w:rsidR="006E29EB">
        <w:t xml:space="preserve">5% confidence level. </w:t>
      </w:r>
    </w:p>
    <w:p w:rsidR="006E29EB" w:rsidRDefault="00077323" w:rsidP="00FE5B83">
      <w:pPr>
        <w:spacing w:line="480" w:lineRule="auto"/>
        <w:ind w:left="-540" w:right="-900"/>
        <w:contextualSpacing/>
      </w:pPr>
      <w:r>
        <w:tab/>
      </w:r>
      <w:r w:rsidR="001436C8">
        <w:t xml:space="preserve">In comparison, </w:t>
      </w:r>
      <w:r w:rsidR="00D31919">
        <w:t xml:space="preserve">as reported in </w:t>
      </w:r>
      <w:proofErr w:type="spellStart"/>
      <w:r w:rsidR="00D31919" w:rsidRPr="00F5178E">
        <w:rPr>
          <w:lang w:eastAsia="en-US"/>
        </w:rPr>
        <w:t>Jegadeesh</w:t>
      </w:r>
      <w:proofErr w:type="spellEnd"/>
      <w:r w:rsidR="00D31919" w:rsidRPr="00F5178E">
        <w:rPr>
          <w:lang w:eastAsia="en-US"/>
        </w:rPr>
        <w:t xml:space="preserve"> and Titman (1993)</w:t>
      </w:r>
      <w:r w:rsidR="00D31919">
        <w:rPr>
          <w:lang w:eastAsia="en-US"/>
        </w:rPr>
        <w:t xml:space="preserve"> for individual stocks over the sample period of 1965-1989, </w:t>
      </w:r>
      <w:r w:rsidR="00D31919">
        <w:t xml:space="preserve">the annualized momentum profits for the 3-month and 6-month holding periods with the 6-month ranking period </w:t>
      </w:r>
      <w:r w:rsidR="001436C8">
        <w:rPr>
          <w:lang w:eastAsia="en-US"/>
        </w:rPr>
        <w:t xml:space="preserve">are, respectively, </w:t>
      </w:r>
      <w:r w:rsidR="001436C8" w:rsidRPr="000858D7">
        <w:rPr>
          <w:lang w:eastAsia="en-US"/>
        </w:rPr>
        <w:t>14.57% and 14.03%</w:t>
      </w:r>
      <w:r w:rsidR="001436C8">
        <w:rPr>
          <w:lang w:eastAsia="en-US"/>
        </w:rPr>
        <w:t xml:space="preserve">. Based on </w:t>
      </w:r>
      <w:r w:rsidR="000A4AC0">
        <w:rPr>
          <w:lang w:eastAsia="en-US"/>
        </w:rPr>
        <w:t xml:space="preserve">a </w:t>
      </w:r>
      <w:r w:rsidR="001436C8">
        <w:rPr>
          <w:lang w:eastAsia="en-US"/>
        </w:rPr>
        <w:t xml:space="preserve">more recent sample period of 1984-2000, </w:t>
      </w:r>
      <w:proofErr w:type="spellStart"/>
      <w:r w:rsidR="001436C8">
        <w:rPr>
          <w:lang w:eastAsia="en-US"/>
        </w:rPr>
        <w:t>Verardo</w:t>
      </w:r>
      <w:proofErr w:type="spellEnd"/>
      <w:r w:rsidR="001436C8">
        <w:rPr>
          <w:lang w:eastAsia="en-US"/>
        </w:rPr>
        <w:t xml:space="preserve"> (2009) reports an annualized momentum profit of 11.75% for individual stocks where both the ranking period and hold</w:t>
      </w:r>
      <w:r w:rsidR="00F17453">
        <w:rPr>
          <w:lang w:eastAsia="en-US"/>
        </w:rPr>
        <w:t>ing</w:t>
      </w:r>
      <w:r w:rsidR="001436C8">
        <w:rPr>
          <w:lang w:eastAsia="en-US"/>
        </w:rPr>
        <w:t xml:space="preserve"> period are 6 months. This is evidence that the momentum effects of the style indexes are as strong as those in individual stocks.</w:t>
      </w:r>
      <w:r w:rsidR="00D31919">
        <w:rPr>
          <w:lang w:eastAsia="en-US"/>
        </w:rPr>
        <w:t xml:space="preserve"> </w:t>
      </w:r>
      <w:r w:rsidR="00305345">
        <w:t>From Panel A of Table 4, w</w:t>
      </w:r>
      <w:r w:rsidR="006E29EB">
        <w:t>e also note that in contrast to the revers</w:t>
      </w:r>
      <w:r w:rsidR="00C8488D">
        <w:t>al</w:t>
      </w:r>
      <w:r w:rsidR="006E29EB">
        <w:t xml:space="preserve"> </w:t>
      </w:r>
      <w:r w:rsidR="00C8488D">
        <w:t>pattern</w:t>
      </w:r>
      <w:r w:rsidR="006E29EB">
        <w:t xml:space="preserve"> at </w:t>
      </w:r>
      <w:r w:rsidR="00F17453">
        <w:t xml:space="preserve">the </w:t>
      </w:r>
      <w:r w:rsidR="006E29EB">
        <w:t>one month horizon as documented in the literature</w:t>
      </w:r>
      <w:r w:rsidR="00C8488D">
        <w:t xml:space="preserve"> </w:t>
      </w:r>
      <w:r w:rsidR="00305345">
        <w:t xml:space="preserve">for individual stock returns </w:t>
      </w:r>
      <w:r w:rsidR="00C8488D">
        <w:t xml:space="preserve">(see., </w:t>
      </w:r>
      <w:proofErr w:type="spellStart"/>
      <w:r w:rsidR="00C8488D">
        <w:t>e.g</w:t>
      </w:r>
      <w:proofErr w:type="spellEnd"/>
      <w:r w:rsidR="006E29EB">
        <w:t xml:space="preserve">, </w:t>
      </w:r>
      <w:proofErr w:type="spellStart"/>
      <w:r w:rsidR="00C8488D" w:rsidRPr="00F5178E">
        <w:rPr>
          <w:lang w:eastAsia="en-US"/>
        </w:rPr>
        <w:t>Jegadeesh</w:t>
      </w:r>
      <w:proofErr w:type="spellEnd"/>
      <w:r w:rsidR="00C8488D" w:rsidRPr="00F5178E">
        <w:rPr>
          <w:lang w:eastAsia="en-US"/>
        </w:rPr>
        <w:t xml:space="preserve"> and Titman (1993)</w:t>
      </w:r>
      <w:r w:rsidR="00C8488D">
        <w:rPr>
          <w:lang w:eastAsia="en-US"/>
        </w:rPr>
        <w:t xml:space="preserve">), </w:t>
      </w:r>
      <w:r w:rsidR="006E29EB">
        <w:t>we do not find such patterns in style indexes. In fact, the average returns of the moment</w:t>
      </w:r>
      <w:r w:rsidR="00C8488D">
        <w:t>um</w:t>
      </w:r>
      <w:r w:rsidR="006E29EB">
        <w:t xml:space="preserve"> portfolios with a 1-month holding period are all positive, although only significant with a 6-month ranking period.   </w:t>
      </w:r>
    </w:p>
    <w:p w:rsidR="006E29EB" w:rsidRDefault="006E29EB" w:rsidP="00FE5B83">
      <w:pPr>
        <w:spacing w:line="480" w:lineRule="auto"/>
        <w:ind w:left="-540" w:right="-900"/>
        <w:contextualSpacing/>
      </w:pPr>
    </w:p>
    <w:p w:rsidR="00442450" w:rsidRPr="003133FA" w:rsidRDefault="00442450" w:rsidP="00FE5B83">
      <w:pPr>
        <w:spacing w:line="480" w:lineRule="auto"/>
        <w:ind w:left="-540" w:right="-900"/>
        <w:contextualSpacing/>
        <w:rPr>
          <w:b/>
        </w:rPr>
      </w:pPr>
      <w:r w:rsidRPr="003133FA">
        <w:rPr>
          <w:b/>
        </w:rPr>
        <w:t xml:space="preserve">3.1.2. Earnings </w:t>
      </w:r>
      <w:r w:rsidR="00D74694">
        <w:rPr>
          <w:b/>
        </w:rPr>
        <w:t>M</w:t>
      </w:r>
      <w:r w:rsidRPr="003133FA">
        <w:rPr>
          <w:b/>
        </w:rPr>
        <w:t>omentum</w:t>
      </w:r>
      <w:r w:rsidR="003133FA" w:rsidRPr="003133FA">
        <w:rPr>
          <w:b/>
        </w:rPr>
        <w:t xml:space="preserve"> of Style Indexes</w:t>
      </w:r>
    </w:p>
    <w:p w:rsidR="000A4AC0" w:rsidRDefault="00077323" w:rsidP="00FE5B83">
      <w:pPr>
        <w:spacing w:line="480" w:lineRule="auto"/>
        <w:ind w:left="-540" w:right="-900"/>
        <w:contextualSpacing/>
      </w:pPr>
      <w:r>
        <w:lastRenderedPageBreak/>
        <w:tab/>
      </w:r>
      <w:r w:rsidR="00312099">
        <w:t>The results in Panel B of Table 4</w:t>
      </w:r>
      <w:r w:rsidR="00336FE6">
        <w:t xml:space="preserve"> show that</w:t>
      </w:r>
      <w:r w:rsidR="00336FE6" w:rsidRPr="008E16B4">
        <w:t xml:space="preserve"> </w:t>
      </w:r>
      <w:r w:rsidR="00336FE6">
        <w:t>the average returns of portfolio</w:t>
      </w:r>
      <w:r w:rsidR="00F17453">
        <w:t>s</w:t>
      </w:r>
      <w:r w:rsidR="00336FE6">
        <w:t xml:space="preserve"> P1, P2 and P3 are all positive. </w:t>
      </w:r>
      <w:r w:rsidR="000C176D">
        <w:t xml:space="preserve">However, the average returns of the momentum portfolios are statistically insignificant </w:t>
      </w:r>
      <w:r w:rsidR="00F6262E">
        <w:t>at the 5%</w:t>
      </w:r>
      <w:r w:rsidR="000C176D">
        <w:t xml:space="preserve"> confidence level. The only exception is the portfolio with a 12-month ranking period and a 12-month holding period where the average return is statistically significant </w:t>
      </w:r>
      <w:r w:rsidR="00F6262E">
        <w:t>at the 5%</w:t>
      </w:r>
      <w:r w:rsidR="000C176D">
        <w:t xml:space="preserve"> confidence level but is negative. In fact, f</w:t>
      </w:r>
      <w:r w:rsidR="00336FE6">
        <w:t xml:space="preserve">or the 12-month holding period, the average returns of </w:t>
      </w:r>
      <w:r w:rsidR="00F17453">
        <w:t xml:space="preserve">the </w:t>
      </w:r>
      <w:r w:rsidR="00336FE6">
        <w:t xml:space="preserve">momentum portfolio (P1-P3) are negative for all ranking periods. The results show that in contrast to the price momentum, there is little </w:t>
      </w:r>
      <w:r w:rsidR="00F17453">
        <w:t xml:space="preserve">evidence of </w:t>
      </w:r>
      <w:r w:rsidR="00336FE6">
        <w:t>earnings momentum effect</w:t>
      </w:r>
      <w:r w:rsidR="00F17453">
        <w:t>s</w:t>
      </w:r>
      <w:r w:rsidR="00336FE6">
        <w:t xml:space="preserve"> in style indexes. </w:t>
      </w:r>
    </w:p>
    <w:p w:rsidR="00FE5B83" w:rsidRDefault="00FE5B83" w:rsidP="00FE5B83">
      <w:pPr>
        <w:spacing w:line="480" w:lineRule="auto"/>
        <w:ind w:left="-540" w:right="-900"/>
        <w:contextualSpacing/>
        <w:rPr>
          <w:b/>
        </w:rPr>
      </w:pPr>
    </w:p>
    <w:p w:rsidR="00442450" w:rsidRPr="003133FA" w:rsidRDefault="00442450" w:rsidP="00FE5B83">
      <w:pPr>
        <w:spacing w:line="480" w:lineRule="auto"/>
        <w:ind w:left="-540" w:right="-900"/>
        <w:contextualSpacing/>
        <w:rPr>
          <w:b/>
        </w:rPr>
      </w:pPr>
      <w:r w:rsidRPr="003133FA">
        <w:rPr>
          <w:b/>
        </w:rPr>
        <w:t xml:space="preserve">3.1.3. What Contributes to the Price </w:t>
      </w:r>
      <w:r w:rsidR="000C176D">
        <w:rPr>
          <w:b/>
        </w:rPr>
        <w:t xml:space="preserve">Momentum </w:t>
      </w:r>
      <w:r w:rsidR="003133FA" w:rsidRPr="003133FA">
        <w:rPr>
          <w:b/>
        </w:rPr>
        <w:t>of Style Indexes</w:t>
      </w:r>
      <w:r w:rsidRPr="003133FA">
        <w:rPr>
          <w:b/>
        </w:rPr>
        <w:t>?</w:t>
      </w:r>
    </w:p>
    <w:p w:rsidR="00687FC4" w:rsidRDefault="00077323" w:rsidP="00FE5B83">
      <w:pPr>
        <w:spacing w:line="480" w:lineRule="auto"/>
        <w:ind w:left="-540" w:right="-900"/>
        <w:contextualSpacing/>
      </w:pPr>
      <w:r>
        <w:tab/>
      </w:r>
      <w:r w:rsidR="00D74694">
        <w:t>The absence of</w:t>
      </w:r>
      <w:r w:rsidR="00E7216D">
        <w:t xml:space="preserve"> earnings momentum effect</w:t>
      </w:r>
      <w:r w:rsidR="00F17453">
        <w:t>s</w:t>
      </w:r>
      <w:r w:rsidR="00824F2B">
        <w:t xml:space="preserve"> in </w:t>
      </w:r>
      <w:r w:rsidR="00E7216D">
        <w:t>style indexes</w:t>
      </w:r>
      <w:r w:rsidR="00D86CCD">
        <w:t xml:space="preserve"> is evidence that price momentum in style indexes is not driven by earnings momentum</w:t>
      </w:r>
      <w:r w:rsidR="00873AA1">
        <w:t xml:space="preserve">. </w:t>
      </w:r>
      <w:r w:rsidR="00687FC4">
        <w:t xml:space="preserve">In this section, we </w:t>
      </w:r>
      <w:r w:rsidR="009E78AF">
        <w:t xml:space="preserve">explore an alternative explanation, namely, whether price momentum in style indexes is related to price momentum of individual stocks. </w:t>
      </w:r>
      <w:r w:rsidR="00EF260A">
        <w:t>It is possible that winners and losers are clustered by style or firm characteristics</w:t>
      </w:r>
      <w:r w:rsidR="00481400">
        <w:t xml:space="preserve"> such that the stock return momentum carries to the style indexes</w:t>
      </w:r>
      <w:r w:rsidR="00EF260A">
        <w:t xml:space="preserve">. To address the issue, we </w:t>
      </w:r>
      <w:r w:rsidR="00687FC4">
        <w:t xml:space="preserve">employ </w:t>
      </w:r>
      <w:r w:rsidR="00EF260A">
        <w:t>three different asset pricing model</w:t>
      </w:r>
      <w:r w:rsidR="00F17453">
        <w:t>s</w:t>
      </w:r>
      <w:r w:rsidR="00EF260A">
        <w:t xml:space="preserve">, namely, </w:t>
      </w:r>
      <w:r w:rsidR="00687FC4">
        <w:t xml:space="preserve">the </w:t>
      </w:r>
      <w:r w:rsidR="00EF260A">
        <w:t xml:space="preserve">1-factor </w:t>
      </w:r>
      <w:r w:rsidR="00687FC4">
        <w:t xml:space="preserve">CAPM of Sharpe (1964) and </w:t>
      </w:r>
      <w:proofErr w:type="spellStart"/>
      <w:r w:rsidR="00687FC4">
        <w:t>Lintner</w:t>
      </w:r>
      <w:proofErr w:type="spellEnd"/>
      <w:r w:rsidR="00687FC4">
        <w:t xml:space="preserve"> (1965), the 3-factor model of </w:t>
      </w:r>
      <w:proofErr w:type="spellStart"/>
      <w:r w:rsidR="00687FC4">
        <w:t>Fama</w:t>
      </w:r>
      <w:proofErr w:type="spellEnd"/>
      <w:r w:rsidR="00687FC4">
        <w:t xml:space="preserve"> and French (1993), and the 4-factor model of </w:t>
      </w:r>
      <w:proofErr w:type="spellStart"/>
      <w:r w:rsidR="00687FC4">
        <w:t>Carhart</w:t>
      </w:r>
      <w:proofErr w:type="spellEnd"/>
      <w:r w:rsidR="00687FC4">
        <w:t xml:space="preserve"> (1997)</w:t>
      </w:r>
      <w:r w:rsidR="00EF260A">
        <w:t xml:space="preserve">. </w:t>
      </w:r>
      <w:r w:rsidR="00525AB4">
        <w:t>Under</w:t>
      </w:r>
      <w:r w:rsidR="00EF260A">
        <w:t xml:space="preserve"> each model, we </w:t>
      </w:r>
      <w:proofErr w:type="gramStart"/>
      <w:r w:rsidR="00525AB4">
        <w:t>regress</w:t>
      </w:r>
      <w:proofErr w:type="gramEnd"/>
      <w:r w:rsidR="00525AB4">
        <w:t xml:space="preserve"> </w:t>
      </w:r>
      <w:r w:rsidR="00EF260A">
        <w:t>monthly returns of momentum portfolios against various risk factors. Our f</w:t>
      </w:r>
      <w:r w:rsidR="00687FC4">
        <w:t xml:space="preserve">ocus </w:t>
      </w:r>
      <w:r w:rsidR="00EF260A">
        <w:t xml:space="preserve">is whether </w:t>
      </w:r>
      <w:r w:rsidR="00687FC4">
        <w:t xml:space="preserve">alpha estimates </w:t>
      </w:r>
      <w:r w:rsidR="00EF260A">
        <w:t xml:space="preserve">of the momentum portfolios are significant </w:t>
      </w:r>
      <w:r w:rsidR="00687FC4">
        <w:t xml:space="preserve">in the </w:t>
      </w:r>
      <w:r w:rsidR="00EF260A">
        <w:t xml:space="preserve">1-factor </w:t>
      </w:r>
      <w:r w:rsidR="00687FC4">
        <w:t>CAPM, 3-factor, and 4-factor models. The specifications of these models are</w:t>
      </w:r>
      <w:r w:rsidR="00EF260A">
        <w:t xml:space="preserve"> as follows:</w:t>
      </w:r>
    </w:p>
    <w:p w:rsidR="00687FC4" w:rsidRDefault="00687FC4" w:rsidP="008A7CBB">
      <w:pPr>
        <w:spacing w:line="480" w:lineRule="auto"/>
        <w:ind w:left="360" w:right="-900"/>
        <w:contextualSpacing/>
      </w:pPr>
      <w:r w:rsidRPr="00D411EE">
        <w:rPr>
          <w:position w:val="-14"/>
        </w:rPr>
        <w:object w:dxaOrig="2640" w:dyaOrig="380">
          <v:shape id="_x0000_i1026" type="#_x0000_t75" style="width:132pt;height:18.75pt" o:ole="">
            <v:imagedata r:id="rId11" o:title=""/>
          </v:shape>
          <o:OLEObject Type="Embed" ProgID="Equation.3" ShapeID="_x0000_i1026" DrawAspect="Content" ObjectID="_1394389637" r:id="rId12"/>
        </w:object>
      </w:r>
      <w:r>
        <w:tab/>
      </w:r>
      <w:r>
        <w:tab/>
      </w:r>
      <w:r>
        <w:tab/>
      </w:r>
      <w:r>
        <w:tab/>
      </w:r>
      <w:r>
        <w:tab/>
      </w:r>
      <w:r>
        <w:tab/>
        <w:t>(</w:t>
      </w:r>
      <w:r w:rsidR="00DA0DDB">
        <w:t>2</w:t>
      </w:r>
      <w:r>
        <w:t>)</w:t>
      </w:r>
    </w:p>
    <w:p w:rsidR="00687FC4" w:rsidRDefault="00687FC4" w:rsidP="008A7CBB">
      <w:pPr>
        <w:spacing w:line="480" w:lineRule="auto"/>
        <w:ind w:left="360" w:right="-900"/>
        <w:contextualSpacing/>
      </w:pPr>
      <w:r w:rsidRPr="00D411EE">
        <w:rPr>
          <w:position w:val="-14"/>
        </w:rPr>
        <w:object w:dxaOrig="4740" w:dyaOrig="380">
          <v:shape id="_x0000_i1027" type="#_x0000_t75" style="width:237pt;height:18.75pt" o:ole="">
            <v:imagedata r:id="rId13" o:title=""/>
          </v:shape>
          <o:OLEObject Type="Embed" ProgID="Equation.3" ShapeID="_x0000_i1027" DrawAspect="Content" ObjectID="_1394389638" r:id="rId14"/>
        </w:object>
      </w:r>
      <w:r>
        <w:tab/>
      </w:r>
      <w:r>
        <w:tab/>
      </w:r>
      <w:r>
        <w:tab/>
        <w:t>(</w:t>
      </w:r>
      <w:r w:rsidR="00DA0DDB">
        <w:t>3</w:t>
      </w:r>
      <w:r>
        <w:t>)</w:t>
      </w:r>
    </w:p>
    <w:p w:rsidR="00687FC4" w:rsidRDefault="00687FC4" w:rsidP="008A7CBB">
      <w:pPr>
        <w:spacing w:line="480" w:lineRule="auto"/>
        <w:ind w:left="360" w:right="-900"/>
        <w:contextualSpacing/>
      </w:pPr>
      <w:r w:rsidRPr="00D411EE">
        <w:rPr>
          <w:position w:val="-14"/>
        </w:rPr>
        <w:object w:dxaOrig="5740" w:dyaOrig="380">
          <v:shape id="_x0000_i1028" type="#_x0000_t75" style="width:287.25pt;height:18.75pt" o:ole="">
            <v:imagedata r:id="rId15" o:title=""/>
          </v:shape>
          <o:OLEObject Type="Embed" ProgID="Equation.3" ShapeID="_x0000_i1028" DrawAspect="Content" ObjectID="_1394389639" r:id="rId16"/>
        </w:object>
      </w:r>
      <w:r>
        <w:tab/>
      </w:r>
      <w:r>
        <w:tab/>
        <w:t>(</w:t>
      </w:r>
      <w:r w:rsidR="00DA0DDB">
        <w:t>4</w:t>
      </w:r>
      <w:r>
        <w:t>)</w:t>
      </w:r>
    </w:p>
    <w:p w:rsidR="00687FC4" w:rsidRDefault="00DA3532" w:rsidP="00FE5B83">
      <w:pPr>
        <w:spacing w:line="480" w:lineRule="auto"/>
        <w:ind w:left="-540" w:right="-900"/>
        <w:contextualSpacing/>
      </w:pPr>
      <w:r>
        <w:lastRenderedPageBreak/>
        <w:t>w</w:t>
      </w:r>
      <w:r w:rsidR="00687FC4">
        <w:t xml:space="preserve">here </w:t>
      </w:r>
      <w:r w:rsidR="00687FC4" w:rsidRPr="00D411EE">
        <w:rPr>
          <w:position w:val="-14"/>
        </w:rPr>
        <w:object w:dxaOrig="660" w:dyaOrig="380">
          <v:shape id="_x0000_i1029" type="#_x0000_t75" style="width:33pt;height:18.75pt" o:ole="">
            <v:imagedata r:id="rId17" o:title=""/>
          </v:shape>
          <o:OLEObject Type="Embed" ProgID="Equation.3" ShapeID="_x0000_i1029" DrawAspect="Content" ObjectID="_1394389640" r:id="rId18"/>
        </w:object>
      </w:r>
      <w:r w:rsidR="00687FC4">
        <w:t xml:space="preserve"> is the return o</w:t>
      </w:r>
      <w:r w:rsidR="006A4278">
        <w:t>f</w:t>
      </w:r>
      <w:r w:rsidR="00687FC4">
        <w:t xml:space="preserve"> the </w:t>
      </w:r>
      <w:r w:rsidR="006A4278">
        <w:t xml:space="preserve">momentum </w:t>
      </w:r>
      <w:r w:rsidR="00687FC4">
        <w:t xml:space="preserve">portfolio in excess of one-month T-bill </w:t>
      </w:r>
      <w:r w:rsidR="006A4278">
        <w:t>yield</w:t>
      </w:r>
      <w:r w:rsidR="00687FC4">
        <w:t xml:space="preserve">; RMRF </w:t>
      </w:r>
      <w:r w:rsidR="00687FC4" w:rsidRPr="007C6140">
        <w:t xml:space="preserve">is the </w:t>
      </w:r>
      <w:r w:rsidRPr="007C6140">
        <w:t>CRS</w:t>
      </w:r>
      <w:r>
        <w:t>P</w:t>
      </w:r>
      <w:r w:rsidRPr="007C6140">
        <w:t xml:space="preserve"> </w:t>
      </w:r>
      <w:r w:rsidR="00687FC4" w:rsidRPr="007C6140">
        <w:t>value-weight</w:t>
      </w:r>
      <w:r w:rsidR="00E44815">
        <w:t>ed</w:t>
      </w:r>
      <w:r w:rsidR="00687FC4" w:rsidRPr="007C6140">
        <w:t xml:space="preserve"> return </w:t>
      </w:r>
      <w:r w:rsidR="006A4278">
        <w:t>in excess of</w:t>
      </w:r>
      <w:r w:rsidR="00687FC4">
        <w:t xml:space="preserve"> the one-month T-</w:t>
      </w:r>
      <w:r w:rsidR="00687FC4" w:rsidRPr="007C6140">
        <w:t xml:space="preserve">bill </w:t>
      </w:r>
      <w:r w:rsidR="006A4278">
        <w:t>yield</w:t>
      </w:r>
      <w:r w:rsidR="00687FC4">
        <w:t xml:space="preserve">; and SMB, </w:t>
      </w:r>
      <w:r w:rsidR="00687FC4" w:rsidRPr="00481344">
        <w:t>HML</w:t>
      </w:r>
      <w:r w:rsidR="00687FC4">
        <w:t xml:space="preserve">, and UMD are </w:t>
      </w:r>
      <w:r w:rsidR="00525AB4">
        <w:t xml:space="preserve">monthly </w:t>
      </w:r>
      <w:r w:rsidR="00687FC4">
        <w:t xml:space="preserve">size, </w:t>
      </w:r>
      <w:r w:rsidR="00084AD0">
        <w:t>B/M</w:t>
      </w:r>
      <w:r w:rsidR="00687FC4">
        <w:t xml:space="preserve">, and momentum </w:t>
      </w:r>
      <w:r w:rsidR="00525AB4">
        <w:t>factor</w:t>
      </w:r>
      <w:r w:rsidR="00687FC4">
        <w:t xml:space="preserve">s. The factor data </w:t>
      </w:r>
      <w:r w:rsidR="00F17453">
        <w:t>is</w:t>
      </w:r>
      <w:r w:rsidR="00687FC4">
        <w:t xml:space="preserve"> from Kenneth R. French’s</w:t>
      </w:r>
      <w:r w:rsidR="00687FC4" w:rsidRPr="00716612">
        <w:t xml:space="preserve"> Data Library</w:t>
      </w:r>
      <w:r w:rsidR="00687FC4">
        <w:t xml:space="preserve">. </w:t>
      </w:r>
    </w:p>
    <w:p w:rsidR="00687FC4" w:rsidRDefault="00077323" w:rsidP="00FE5B83">
      <w:pPr>
        <w:spacing w:line="480" w:lineRule="auto"/>
        <w:ind w:left="-540" w:right="-900"/>
        <w:contextualSpacing/>
      </w:pPr>
      <w:r>
        <w:tab/>
      </w:r>
      <w:r w:rsidR="00687FC4">
        <w:t xml:space="preserve">Table </w:t>
      </w:r>
      <w:r w:rsidR="008A05AE">
        <w:t>5</w:t>
      </w:r>
      <w:r w:rsidR="00687FC4">
        <w:t xml:space="preserve"> reports </w:t>
      </w:r>
      <w:r w:rsidR="00F9189B">
        <w:t xml:space="preserve">the regression </w:t>
      </w:r>
      <w:r w:rsidR="00687FC4">
        <w:t xml:space="preserve">results of </w:t>
      </w:r>
      <w:r w:rsidR="00F9189B">
        <w:t xml:space="preserve">all </w:t>
      </w:r>
      <w:r w:rsidR="00687FC4">
        <w:t>th</w:t>
      </w:r>
      <w:r w:rsidR="00F9189B">
        <w:t>re</w:t>
      </w:r>
      <w:r w:rsidR="00687FC4">
        <w:t xml:space="preserve">e models. </w:t>
      </w:r>
      <w:r w:rsidR="00F9189B">
        <w:t xml:space="preserve">Under </w:t>
      </w:r>
      <w:bookmarkStart w:id="7" w:name="OLE_LINK11"/>
      <w:bookmarkStart w:id="8" w:name="OLE_LINK12"/>
      <w:r w:rsidR="00F9189B">
        <w:t xml:space="preserve">the CAPM and the 3-factor </w:t>
      </w:r>
      <w:proofErr w:type="spellStart"/>
      <w:r w:rsidR="00F9189B">
        <w:t>Fama</w:t>
      </w:r>
      <w:proofErr w:type="spellEnd"/>
      <w:r w:rsidR="00F9189B">
        <w:t>-French model</w:t>
      </w:r>
      <w:bookmarkEnd w:id="7"/>
      <w:bookmarkEnd w:id="8"/>
      <w:r w:rsidR="00F9189B">
        <w:t>, a</w:t>
      </w:r>
      <w:r w:rsidR="00687FC4">
        <w:t xml:space="preserve">lmost all alphas </w:t>
      </w:r>
      <w:r w:rsidR="00F9189B">
        <w:t xml:space="preserve">are positive. In particular, the alpha estimates </w:t>
      </w:r>
      <w:r w:rsidR="00687FC4">
        <w:t xml:space="preserve">of </w:t>
      </w:r>
      <w:r w:rsidR="00F9189B">
        <w:t xml:space="preserve">style index </w:t>
      </w:r>
      <w:r w:rsidR="00687FC4">
        <w:t xml:space="preserve">momentum portfolios </w:t>
      </w:r>
      <w:r w:rsidR="00F9189B">
        <w:t xml:space="preserve">with the </w:t>
      </w:r>
      <w:r w:rsidR="00687FC4">
        <w:t xml:space="preserve">6-month ranking period are </w:t>
      </w:r>
      <w:r w:rsidR="00F9189B">
        <w:t xml:space="preserve">all </w:t>
      </w:r>
      <w:r w:rsidR="00687FC4">
        <w:t>statistically significant</w:t>
      </w:r>
      <w:r w:rsidR="00F9189B">
        <w:t xml:space="preserve">. </w:t>
      </w:r>
      <w:r w:rsidR="00687FC4">
        <w:t xml:space="preserve"> </w:t>
      </w:r>
      <w:r w:rsidR="00A068D8">
        <w:t xml:space="preserve">The results show that the 1-factor CAPM and the 3-factor </w:t>
      </w:r>
      <w:proofErr w:type="spellStart"/>
      <w:r w:rsidR="00A068D8">
        <w:t>Fama</w:t>
      </w:r>
      <w:proofErr w:type="spellEnd"/>
      <w:r w:rsidR="00A068D8">
        <w:t xml:space="preserve">-French model cannot explain the momentum profits in style indexes. </w:t>
      </w:r>
      <w:r w:rsidR="00687FC4">
        <w:t>However, when the momentum factor (UMD) is added into the model as an additional explanat</w:t>
      </w:r>
      <w:r w:rsidR="00A068D8">
        <w:t>ory</w:t>
      </w:r>
      <w:r w:rsidR="00687FC4">
        <w:t xml:space="preserve"> variable, i.e., under the </w:t>
      </w:r>
      <w:r w:rsidR="00A83710">
        <w:t xml:space="preserve">4-factor </w:t>
      </w:r>
      <w:proofErr w:type="spellStart"/>
      <w:r w:rsidR="00687FC4">
        <w:t>Carhart</w:t>
      </w:r>
      <w:proofErr w:type="spellEnd"/>
      <w:r w:rsidR="00687FC4">
        <w:t xml:space="preserve"> model, these alphas become statistically insignificant</w:t>
      </w:r>
      <w:r w:rsidR="00A83710">
        <w:t xml:space="preserve">. In addition, the loadings on UMD are all positive and highly statistically significant except for the momentum portfolio with the 12-month ranking period and 12-month holding period. It can also be seen that with the addition of the momentum factor, the adjusted R-squares of the 4-factor </w:t>
      </w:r>
      <w:proofErr w:type="spellStart"/>
      <w:r w:rsidR="00A83710">
        <w:t>Carhart</w:t>
      </w:r>
      <w:proofErr w:type="spellEnd"/>
      <w:r w:rsidR="00A83710">
        <w:t xml:space="preserve"> model are substantially improved over the </w:t>
      </w:r>
      <w:proofErr w:type="spellStart"/>
      <w:r w:rsidR="00A83710">
        <w:t>Fama</w:t>
      </w:r>
      <w:proofErr w:type="spellEnd"/>
      <w:r w:rsidR="00A83710">
        <w:t xml:space="preserve">-French 3-factor model. </w:t>
      </w:r>
      <w:r w:rsidR="006A77A3">
        <w:t xml:space="preserve">Overall, the results show </w:t>
      </w:r>
      <w:r w:rsidR="00A83710">
        <w:t>that the price momentum effects in style indexes can be fully explained by the momentum factor of indiv</w:t>
      </w:r>
      <w:r w:rsidR="004E13A8">
        <w:t>idual stock</w:t>
      </w:r>
      <w:r w:rsidR="00A83710">
        <w:t xml:space="preserve">s. </w:t>
      </w:r>
    </w:p>
    <w:p w:rsidR="000A4AC0" w:rsidRDefault="00077323" w:rsidP="00FE5B83">
      <w:pPr>
        <w:spacing w:line="480" w:lineRule="auto"/>
        <w:ind w:left="-540" w:right="-900"/>
        <w:contextualSpacing/>
      </w:pPr>
      <w:r>
        <w:tab/>
      </w:r>
      <w:r w:rsidR="00AA48F8">
        <w:t>To summarize, our results show that the style indexes exhibit significant price momentum</w:t>
      </w:r>
      <w:r w:rsidR="00A368F1">
        <w:t xml:space="preserve"> patterns</w:t>
      </w:r>
      <w:r w:rsidR="00AA48F8">
        <w:t xml:space="preserve"> and the</w:t>
      </w:r>
      <w:r w:rsidR="00AA48F8">
        <w:rPr>
          <w:lang w:eastAsia="en-US"/>
        </w:rPr>
        <w:t xml:space="preserve"> momentum effects are as strong as those in individual stocks.</w:t>
      </w:r>
      <w:r w:rsidR="00AA48F8">
        <w:t xml:space="preserve"> </w:t>
      </w:r>
      <w:r w:rsidR="004E13A8">
        <w:t>That is, a</w:t>
      </w:r>
      <w:r w:rsidR="00AA48F8">
        <w:t xml:space="preserve">ggregating individual stocks according to firm characteristics such as size and B/M, these diversified portfolios continue to exhibit strong price momentum patterns. However, the same cannot be said about the earnings momentum. Our </w:t>
      </w:r>
      <w:r w:rsidR="000A4AC0">
        <w:t>results s</w:t>
      </w:r>
      <w:r w:rsidR="00AA48F8">
        <w:t xml:space="preserve">how that the style indexes exhibit little evidence of earnings momentum. That is, in contrast to the findings based on individual stocks, </w:t>
      </w:r>
      <w:r w:rsidR="000A4AC0">
        <w:t xml:space="preserve">once </w:t>
      </w:r>
      <w:r w:rsidR="00A872B8">
        <w:t xml:space="preserve">stocks are </w:t>
      </w:r>
      <w:r w:rsidR="000A4AC0">
        <w:t>aggregat</w:t>
      </w:r>
      <w:r w:rsidR="00A872B8">
        <w:t>ed</w:t>
      </w:r>
      <w:r w:rsidR="000A4AC0">
        <w:t xml:space="preserve"> according to firm characteristics, namely size and B/M ratio, there is no longer an earnings momentum effect. </w:t>
      </w:r>
      <w:r w:rsidR="00520A35">
        <w:t>One of the implications of the</w:t>
      </w:r>
      <w:r w:rsidR="00A872B8">
        <w:t>se</w:t>
      </w:r>
      <w:r w:rsidR="00520A35">
        <w:t xml:space="preserve"> findings is that i</w:t>
      </w:r>
      <w:r w:rsidR="000A4AC0">
        <w:t xml:space="preserve">f </w:t>
      </w:r>
      <w:r w:rsidR="000A4AC0">
        <w:rPr>
          <w:lang w:eastAsia="en-US"/>
        </w:rPr>
        <w:t>PEAD</w:t>
      </w:r>
      <w:r w:rsidR="000A4AC0">
        <w:t xml:space="preserve"> </w:t>
      </w:r>
      <w:r w:rsidR="000A4AC0">
        <w:rPr>
          <w:lang w:eastAsia="en-US"/>
        </w:rPr>
        <w:t>for individual stock returns</w:t>
      </w:r>
      <w:r w:rsidR="000A4AC0">
        <w:t xml:space="preserve"> is due to </w:t>
      </w:r>
      <w:r w:rsidR="000A4AC0">
        <w:rPr>
          <w:lang w:eastAsia="en-US"/>
        </w:rPr>
        <w:t xml:space="preserve">delayed price </w:t>
      </w:r>
      <w:r w:rsidR="000A4AC0">
        <w:rPr>
          <w:lang w:eastAsia="en-US"/>
        </w:rPr>
        <w:lastRenderedPageBreak/>
        <w:t>response as suggested in Bernard and Thomas (1990), such delayed response to earnings surprises disappear</w:t>
      </w:r>
      <w:r w:rsidR="00084AD0">
        <w:rPr>
          <w:lang w:eastAsia="en-US"/>
        </w:rPr>
        <w:t>s</w:t>
      </w:r>
      <w:r w:rsidR="000A4AC0">
        <w:rPr>
          <w:lang w:eastAsia="en-US"/>
        </w:rPr>
        <w:t xml:space="preserve"> at the style index level. </w:t>
      </w:r>
      <w:r w:rsidR="00E43E89">
        <w:t xml:space="preserve">Finally, the absence of earnings momentum </w:t>
      </w:r>
      <w:r w:rsidR="000872D2">
        <w:t>in the style indexes suggest</w:t>
      </w:r>
      <w:r w:rsidR="009E285C">
        <w:t>s</w:t>
      </w:r>
      <w:r w:rsidR="000872D2">
        <w:t xml:space="preserve"> that earnings momentum is not the source of price momentum in style indexes. </w:t>
      </w:r>
      <w:r w:rsidR="00F41308">
        <w:t>Instea</w:t>
      </w:r>
      <w:r w:rsidR="00084AD0">
        <w:t xml:space="preserve">d, we find that </w:t>
      </w:r>
      <w:r w:rsidR="00F41308">
        <w:t xml:space="preserve">price momentum in style indexes can be explained by the momentum factor of individual stocks. </w:t>
      </w:r>
    </w:p>
    <w:p w:rsidR="00FE5B83" w:rsidRDefault="00FE5B83" w:rsidP="00FE5B83">
      <w:pPr>
        <w:spacing w:line="480" w:lineRule="auto"/>
        <w:ind w:left="-540" w:right="-900"/>
        <w:contextualSpacing/>
        <w:rPr>
          <w:b/>
        </w:rPr>
      </w:pPr>
    </w:p>
    <w:p w:rsidR="00687FC4" w:rsidRDefault="00687FC4" w:rsidP="00FE5B83">
      <w:pPr>
        <w:spacing w:line="480" w:lineRule="auto"/>
        <w:ind w:left="-540" w:right="-900"/>
        <w:contextualSpacing/>
        <w:rPr>
          <w:b/>
        </w:rPr>
      </w:pPr>
      <w:r>
        <w:rPr>
          <w:b/>
        </w:rPr>
        <w:t>3.2. Sector Indexes</w:t>
      </w:r>
    </w:p>
    <w:p w:rsidR="00B71F91" w:rsidRDefault="00077323" w:rsidP="00FE5B83">
      <w:pPr>
        <w:spacing w:line="480" w:lineRule="auto"/>
        <w:ind w:left="-540" w:right="-900"/>
        <w:contextualSpacing/>
      </w:pPr>
      <w:r>
        <w:tab/>
      </w:r>
      <w:r w:rsidR="00B71F91">
        <w:t xml:space="preserve">In this section, we investigate whether there </w:t>
      </w:r>
      <w:r w:rsidR="00BA2131">
        <w:t xml:space="preserve">are price and earnings </w:t>
      </w:r>
      <w:r w:rsidR="00B71F91">
        <w:t>momentum effect</w:t>
      </w:r>
      <w:r w:rsidR="00BA2131">
        <w:t>s</w:t>
      </w:r>
      <w:r w:rsidR="00F6262E">
        <w:t xml:space="preserve"> in Morningstar S</w:t>
      </w:r>
      <w:r w:rsidR="00B71F91">
        <w:t xml:space="preserve">ector </w:t>
      </w:r>
      <w:r w:rsidR="00F6262E">
        <w:t>I</w:t>
      </w:r>
      <w:r w:rsidR="00B71F91">
        <w:t>ndexes. The portfolios P1, P2, and P3 and the momentum portf</w:t>
      </w:r>
      <w:r w:rsidR="00BA2131">
        <w:t xml:space="preserve">olio (P1-P3) are constructed </w:t>
      </w:r>
      <w:r w:rsidR="00B71F91">
        <w:t xml:space="preserve">the same way as they are constructed </w:t>
      </w:r>
      <w:r w:rsidR="00BA2131">
        <w:t xml:space="preserve">for </w:t>
      </w:r>
      <w:r w:rsidR="00B71F91">
        <w:t>the style index</w:t>
      </w:r>
      <w:r w:rsidR="00BA2131">
        <w:t>es</w:t>
      </w:r>
      <w:r w:rsidR="00F6262E">
        <w:t xml:space="preserve">. The only difference is that </w:t>
      </w:r>
      <w:r w:rsidR="00B71F91">
        <w:t xml:space="preserve">portfolios P1, P2, and P3 </w:t>
      </w:r>
      <w:r w:rsidR="0031698B">
        <w:t xml:space="preserve">now </w:t>
      </w:r>
      <w:r w:rsidR="00B71F91">
        <w:t>consist of four sector indexes.</w:t>
      </w:r>
    </w:p>
    <w:p w:rsidR="00B71F91" w:rsidRDefault="00077323" w:rsidP="00FE5B83">
      <w:pPr>
        <w:spacing w:line="480" w:lineRule="auto"/>
        <w:ind w:left="-540" w:right="-900"/>
        <w:contextualSpacing/>
      </w:pPr>
      <w:r>
        <w:tab/>
      </w:r>
      <w:r w:rsidR="00B71F91">
        <w:t>Table 6 reports the average holding period return, its t-statistics, and the percentage of positive returns for all portfolios constructed with 3-month, 6-month, and 12-month ranking periods and over 1-month, 3-month, 6-month</w:t>
      </w:r>
      <w:r w:rsidR="00F6262E">
        <w:t>,</w:t>
      </w:r>
      <w:r w:rsidR="00B71F91">
        <w:t xml:space="preserve"> and 12-month holding periods. Again, Panel </w:t>
      </w:r>
      <w:proofErr w:type="gramStart"/>
      <w:r w:rsidR="00B71F91">
        <w:t>A</w:t>
      </w:r>
      <w:proofErr w:type="gramEnd"/>
      <w:r w:rsidR="00B71F91">
        <w:t xml:space="preserve"> reports the results on price momentum effect</w:t>
      </w:r>
      <w:r w:rsidR="00F6262E">
        <w:t>s</w:t>
      </w:r>
      <w:r w:rsidR="00B71F91">
        <w:t xml:space="preserve"> and Panel B reports the results on earnings momentum </w:t>
      </w:r>
      <w:r w:rsidR="00824F2B">
        <w:t>effect</w:t>
      </w:r>
      <w:r w:rsidR="00F6262E">
        <w:t>s</w:t>
      </w:r>
      <w:r w:rsidR="00824F2B">
        <w:t xml:space="preserve"> in </w:t>
      </w:r>
      <w:r w:rsidR="00B71F91">
        <w:t xml:space="preserve">sector indexes. </w:t>
      </w:r>
    </w:p>
    <w:p w:rsidR="00A7748D" w:rsidRDefault="00A7748D" w:rsidP="00FE5B83">
      <w:pPr>
        <w:spacing w:line="480" w:lineRule="auto"/>
        <w:ind w:left="-540" w:right="-900"/>
        <w:contextualSpacing/>
        <w:rPr>
          <w:b/>
        </w:rPr>
      </w:pPr>
    </w:p>
    <w:p w:rsidR="00DF3FF4" w:rsidRPr="003B5018" w:rsidRDefault="00687FC4" w:rsidP="00FE5B83">
      <w:pPr>
        <w:spacing w:line="480" w:lineRule="auto"/>
        <w:ind w:left="-540" w:right="-900"/>
        <w:contextualSpacing/>
        <w:rPr>
          <w:b/>
        </w:rPr>
      </w:pPr>
      <w:r w:rsidRPr="003B5018">
        <w:rPr>
          <w:b/>
        </w:rPr>
        <w:t>3.2.1. Price Momentum</w:t>
      </w:r>
      <w:r w:rsidR="003B5018" w:rsidRPr="003B5018">
        <w:rPr>
          <w:b/>
        </w:rPr>
        <w:t xml:space="preserve"> of Sector Indexes</w:t>
      </w:r>
    </w:p>
    <w:p w:rsidR="009272FA" w:rsidRDefault="00077323" w:rsidP="00FE5B83">
      <w:pPr>
        <w:spacing w:line="480" w:lineRule="auto"/>
        <w:ind w:left="-540" w:right="-900"/>
        <w:contextualSpacing/>
      </w:pPr>
      <w:r>
        <w:tab/>
      </w:r>
      <w:r w:rsidR="00692014">
        <w:t>Panel</w:t>
      </w:r>
      <w:r w:rsidR="002A0E9A">
        <w:t xml:space="preserve"> </w:t>
      </w:r>
      <w:proofErr w:type="gramStart"/>
      <w:r w:rsidR="00DF3FF4">
        <w:t>A</w:t>
      </w:r>
      <w:proofErr w:type="gramEnd"/>
      <w:r w:rsidR="002A0E9A">
        <w:t xml:space="preserve"> of </w:t>
      </w:r>
      <w:r w:rsidR="00882500">
        <w:t>T</w:t>
      </w:r>
      <w:r w:rsidR="002A0E9A">
        <w:t xml:space="preserve">able </w:t>
      </w:r>
      <w:r w:rsidR="00DF3FF4">
        <w:t>6</w:t>
      </w:r>
      <w:r w:rsidR="002A0E9A">
        <w:t xml:space="preserve"> </w:t>
      </w:r>
      <w:r w:rsidR="00882500">
        <w:t>show</w:t>
      </w:r>
      <w:r w:rsidR="00F6262E">
        <w:t>s</w:t>
      </w:r>
      <w:r w:rsidR="00882500">
        <w:t xml:space="preserve"> that </w:t>
      </w:r>
      <w:r w:rsidR="009A0B7F">
        <w:t>the average returns o</w:t>
      </w:r>
      <w:r w:rsidR="00155320">
        <w:t>f</w:t>
      </w:r>
      <w:r w:rsidR="009A0B7F">
        <w:t xml:space="preserve"> portfolio</w:t>
      </w:r>
      <w:r w:rsidR="00F515B6">
        <w:t>s</w:t>
      </w:r>
      <w:r w:rsidR="009A0B7F">
        <w:t xml:space="preserve"> P1, P2, P3, and</w:t>
      </w:r>
      <w:r w:rsidR="00F577F7">
        <w:t xml:space="preserve"> </w:t>
      </w:r>
      <w:r w:rsidR="008E16B4">
        <w:t xml:space="preserve">the </w:t>
      </w:r>
      <w:r w:rsidR="00A23E19">
        <w:t>momentum portfolio</w:t>
      </w:r>
      <w:r w:rsidR="00785326">
        <w:t>s</w:t>
      </w:r>
      <w:r w:rsidR="00461B0C">
        <w:t xml:space="preserve"> </w:t>
      </w:r>
      <w:r w:rsidR="002824A7">
        <w:t>(</w:t>
      </w:r>
      <w:r w:rsidR="00461B0C">
        <w:t>P1-P3</w:t>
      </w:r>
      <w:r w:rsidR="002824A7">
        <w:t>)</w:t>
      </w:r>
      <w:r w:rsidR="009A0B7F">
        <w:t xml:space="preserve"> </w:t>
      </w:r>
      <w:r w:rsidR="00692014">
        <w:t xml:space="preserve">based on Morningstar </w:t>
      </w:r>
      <w:r w:rsidR="00F6262E">
        <w:t>S</w:t>
      </w:r>
      <w:r w:rsidR="00692014">
        <w:t xml:space="preserve">ector </w:t>
      </w:r>
      <w:r w:rsidR="00F6262E">
        <w:t>I</w:t>
      </w:r>
      <w:r w:rsidR="00692014">
        <w:t xml:space="preserve">ndexes </w:t>
      </w:r>
      <w:r w:rsidR="009A0B7F">
        <w:t xml:space="preserve">are </w:t>
      </w:r>
      <w:r w:rsidR="00882500">
        <w:t xml:space="preserve">all </w:t>
      </w:r>
      <w:r w:rsidR="009A0B7F">
        <w:t>positive</w:t>
      </w:r>
      <w:r w:rsidR="00785326">
        <w:t xml:space="preserve">. </w:t>
      </w:r>
      <w:r w:rsidR="00882500">
        <w:t xml:space="preserve">For </w:t>
      </w:r>
      <w:r w:rsidR="008F3C01">
        <w:t xml:space="preserve">momentum portfolios with </w:t>
      </w:r>
      <w:r w:rsidR="00F515B6">
        <w:t xml:space="preserve">the </w:t>
      </w:r>
      <w:r w:rsidR="00882500">
        <w:t>6-month holding period, t</w:t>
      </w:r>
      <w:r w:rsidR="008E16B4">
        <w:t xml:space="preserve">he average returns </w:t>
      </w:r>
      <w:r w:rsidR="008F3C01">
        <w:t xml:space="preserve">are </w:t>
      </w:r>
      <w:r w:rsidR="008E16B4">
        <w:t>statistically si</w:t>
      </w:r>
      <w:r w:rsidR="00785326">
        <w:t>gnificant at</w:t>
      </w:r>
      <w:r w:rsidR="008F3C01">
        <w:t xml:space="preserve"> </w:t>
      </w:r>
      <w:r w:rsidR="00F6262E">
        <w:t xml:space="preserve">the </w:t>
      </w:r>
      <w:r w:rsidR="00785326">
        <w:t xml:space="preserve">5% confidence </w:t>
      </w:r>
      <w:r w:rsidR="00882500">
        <w:t>level</w:t>
      </w:r>
      <w:r w:rsidR="008F3C01">
        <w:t xml:space="preserve"> for all ranking periods</w:t>
      </w:r>
      <w:r w:rsidR="00882500">
        <w:t xml:space="preserve">. </w:t>
      </w:r>
      <w:r w:rsidR="00BB7DE7" w:rsidRPr="00D507E1">
        <w:t xml:space="preserve">The </w:t>
      </w:r>
      <w:r w:rsidR="00E67006" w:rsidRPr="00D507E1">
        <w:t xml:space="preserve">annualized </w:t>
      </w:r>
      <w:r w:rsidR="00BB7DE7" w:rsidRPr="00D507E1">
        <w:t xml:space="preserve">momentum profits </w:t>
      </w:r>
      <w:r w:rsidR="00C400E2">
        <w:t xml:space="preserve">over </w:t>
      </w:r>
      <w:r w:rsidR="00F6262E">
        <w:t xml:space="preserve">a </w:t>
      </w:r>
      <w:r w:rsidR="00C400E2">
        <w:t xml:space="preserve">6-month holding period </w:t>
      </w:r>
      <w:r w:rsidR="00BB7DE7" w:rsidRPr="00D507E1">
        <w:t>with the 3-month a</w:t>
      </w:r>
      <w:r w:rsidR="001142EC" w:rsidRPr="00D507E1">
        <w:t xml:space="preserve">nd 6-month ranking periods are </w:t>
      </w:r>
      <w:r w:rsidR="00D507E1">
        <w:t>4</w:t>
      </w:r>
      <w:r w:rsidR="001142EC" w:rsidRPr="00D507E1">
        <w:t>.</w:t>
      </w:r>
      <w:r w:rsidR="00E60A08">
        <w:t>86</w:t>
      </w:r>
      <w:r w:rsidR="00217A87" w:rsidRPr="00D507E1">
        <w:t xml:space="preserve">% and </w:t>
      </w:r>
      <w:r w:rsidR="00D507E1">
        <w:t>6</w:t>
      </w:r>
      <w:r w:rsidR="00BB7DE7" w:rsidRPr="00D507E1">
        <w:t>.7</w:t>
      </w:r>
      <w:r w:rsidR="00E60A08">
        <w:t>1</w:t>
      </w:r>
      <w:r w:rsidR="00BB7DE7" w:rsidRPr="00D507E1">
        <w:t>%, respectively.</w:t>
      </w:r>
      <w:r w:rsidR="00BB7DE7">
        <w:t xml:space="preserve"> </w:t>
      </w:r>
      <w:r w:rsidR="00882500">
        <w:t>For</w:t>
      </w:r>
      <w:r w:rsidR="00F515B6">
        <w:t xml:space="preserve"> the</w:t>
      </w:r>
      <w:r w:rsidR="00882500">
        <w:t xml:space="preserve"> 12-month holding period, the average returns of the momentum portfolios are statistically significant with </w:t>
      </w:r>
      <w:r w:rsidR="004050C5">
        <w:t>the</w:t>
      </w:r>
      <w:r w:rsidR="00F515B6">
        <w:t xml:space="preserve"> </w:t>
      </w:r>
      <w:r w:rsidR="00882500">
        <w:t xml:space="preserve">3-month </w:t>
      </w:r>
      <w:r w:rsidR="00F515B6">
        <w:t>or</w:t>
      </w:r>
      <w:r w:rsidR="00882500">
        <w:t xml:space="preserve"> </w:t>
      </w:r>
      <w:r w:rsidR="004050C5">
        <w:t xml:space="preserve">the </w:t>
      </w:r>
      <w:r w:rsidR="00882500">
        <w:t>6-monthly ranking period. The magnitudes of annualized momentum portfolio</w:t>
      </w:r>
      <w:r w:rsidR="00155320">
        <w:t xml:space="preserve"> profit</w:t>
      </w:r>
      <w:r w:rsidR="00882500">
        <w:t xml:space="preserve">s are smaller, </w:t>
      </w:r>
      <w:r w:rsidR="00882500">
        <w:lastRenderedPageBreak/>
        <w:t xml:space="preserve">however, compared to </w:t>
      </w:r>
      <w:r w:rsidR="004050C5">
        <w:t xml:space="preserve">those with </w:t>
      </w:r>
      <w:r w:rsidR="00882500">
        <w:t>the 6-month holding period. For</w:t>
      </w:r>
      <w:r w:rsidR="004050C5">
        <w:t xml:space="preserve"> the</w:t>
      </w:r>
      <w:r w:rsidR="00882500">
        <w:t xml:space="preserve"> 1-month </w:t>
      </w:r>
      <w:r w:rsidR="004050C5">
        <w:t>or the</w:t>
      </w:r>
      <w:r w:rsidR="00882500">
        <w:t xml:space="preserve"> 3-month holding period, none of the momentum portfolios has significant positive returns. </w:t>
      </w:r>
      <w:r w:rsidR="00BB7DE7">
        <w:t xml:space="preserve">The results show that different from the style indexes, </w:t>
      </w:r>
      <w:r w:rsidR="00F6262E">
        <w:t xml:space="preserve">momentum effects for sector indexes are more sensitive to </w:t>
      </w:r>
      <w:r w:rsidR="00BB7DE7">
        <w:t>holding period</w:t>
      </w:r>
      <w:r w:rsidR="00F6262E">
        <w:t>s</w:t>
      </w:r>
      <w:r w:rsidR="00BB7DE7">
        <w:t xml:space="preserve">. </w:t>
      </w:r>
    </w:p>
    <w:p w:rsidR="008F3C01" w:rsidRDefault="00077323" w:rsidP="00FE5B83">
      <w:pPr>
        <w:spacing w:line="480" w:lineRule="auto"/>
        <w:ind w:left="-540" w:right="-900"/>
        <w:contextualSpacing/>
      </w:pPr>
      <w:r>
        <w:tab/>
      </w:r>
      <w:r w:rsidR="008F3C01">
        <w:t xml:space="preserve">These results </w:t>
      </w:r>
      <w:r w:rsidR="00E15E3D">
        <w:t xml:space="preserve">are consistent with </w:t>
      </w:r>
      <w:r w:rsidR="008F3C01">
        <w:t xml:space="preserve">the industry momentum findings in </w:t>
      </w:r>
      <w:proofErr w:type="spellStart"/>
      <w:r w:rsidR="008F3C01">
        <w:rPr>
          <w:lang w:eastAsia="en-US"/>
        </w:rPr>
        <w:t>Moskowitz</w:t>
      </w:r>
      <w:proofErr w:type="spellEnd"/>
      <w:r w:rsidR="008F3C01">
        <w:rPr>
          <w:lang w:eastAsia="en-US"/>
        </w:rPr>
        <w:t xml:space="preserve"> and </w:t>
      </w:r>
      <w:proofErr w:type="spellStart"/>
      <w:r w:rsidR="008F3C01">
        <w:rPr>
          <w:lang w:eastAsia="en-US"/>
        </w:rPr>
        <w:t>Grinblatt</w:t>
      </w:r>
      <w:proofErr w:type="spellEnd"/>
      <w:r w:rsidR="008F3C01">
        <w:rPr>
          <w:lang w:eastAsia="en-US"/>
        </w:rPr>
        <w:t xml:space="preserve"> (1999). </w:t>
      </w:r>
      <w:r w:rsidR="0095209B">
        <w:rPr>
          <w:lang w:eastAsia="en-US"/>
        </w:rPr>
        <w:t xml:space="preserve"> </w:t>
      </w:r>
      <w:proofErr w:type="spellStart"/>
      <w:r w:rsidR="0095209B">
        <w:rPr>
          <w:lang w:eastAsia="en-US"/>
        </w:rPr>
        <w:t>Moskowitz</w:t>
      </w:r>
      <w:proofErr w:type="spellEnd"/>
      <w:r w:rsidR="0095209B">
        <w:rPr>
          <w:lang w:eastAsia="en-US"/>
        </w:rPr>
        <w:t xml:space="preserve"> and </w:t>
      </w:r>
      <w:proofErr w:type="spellStart"/>
      <w:r w:rsidR="0095209B">
        <w:rPr>
          <w:lang w:eastAsia="en-US"/>
        </w:rPr>
        <w:t>Grinblatt</w:t>
      </w:r>
      <w:proofErr w:type="spellEnd"/>
      <w:r w:rsidR="0095209B">
        <w:rPr>
          <w:lang w:eastAsia="en-US"/>
        </w:rPr>
        <w:t xml:space="preserve"> (1999) form </w:t>
      </w:r>
      <w:r w:rsidR="0095209B">
        <w:t xml:space="preserve">20 value-weighted industry portfolios every month from July 1963 to July 1995. Two digit Standard Industrial Classification (SIC) codes are used to form industry portfolios. </w:t>
      </w:r>
      <w:r w:rsidR="00C400E2">
        <w:t>With a 6-month ra</w:t>
      </w:r>
      <w:r w:rsidR="00F6262E">
        <w:t>n</w:t>
      </w:r>
      <w:r w:rsidR="00C400E2">
        <w:t xml:space="preserve">king period and </w:t>
      </w:r>
      <w:r w:rsidR="00E44815">
        <w:t xml:space="preserve">a </w:t>
      </w:r>
      <w:r w:rsidR="00C400E2">
        <w:t xml:space="preserve">6-month holding period, they report an annualized return of 5.28% for momentum portfolio </w:t>
      </w:r>
      <w:r w:rsidR="000C03B5">
        <w:t>with a</w:t>
      </w:r>
      <w:r w:rsidR="00C400E2">
        <w:t xml:space="preserve"> long </w:t>
      </w:r>
      <w:r w:rsidR="000C03B5">
        <w:t xml:space="preserve">position in three industries with </w:t>
      </w:r>
      <w:r w:rsidR="00C400E2">
        <w:t>highest past return</w:t>
      </w:r>
      <w:r w:rsidR="000C03B5">
        <w:t>s</w:t>
      </w:r>
      <w:r w:rsidR="00C400E2">
        <w:t xml:space="preserve"> and </w:t>
      </w:r>
      <w:r w:rsidR="000C03B5">
        <w:t xml:space="preserve">a </w:t>
      </w:r>
      <w:r w:rsidR="00C400E2">
        <w:t xml:space="preserve">short </w:t>
      </w:r>
      <w:r w:rsidR="000C03B5">
        <w:t xml:space="preserve">position in </w:t>
      </w:r>
      <w:r w:rsidR="00C400E2">
        <w:t>three industries</w:t>
      </w:r>
      <w:r w:rsidR="000C03B5" w:rsidRPr="000C03B5">
        <w:t xml:space="preserve"> </w:t>
      </w:r>
      <w:r w:rsidR="000C03B5">
        <w:t>with lowest past returns</w:t>
      </w:r>
      <w:r w:rsidR="00C400E2">
        <w:t xml:space="preserve">. </w:t>
      </w:r>
    </w:p>
    <w:p w:rsidR="008F3C01" w:rsidRDefault="008F3C01" w:rsidP="00FE5B83">
      <w:pPr>
        <w:spacing w:line="480" w:lineRule="auto"/>
        <w:ind w:left="-540" w:right="-900"/>
        <w:contextualSpacing/>
        <w:rPr>
          <w:b/>
        </w:rPr>
      </w:pPr>
    </w:p>
    <w:p w:rsidR="0015541D" w:rsidRPr="003B5018" w:rsidRDefault="00687FC4" w:rsidP="00FE5B83">
      <w:pPr>
        <w:spacing w:line="480" w:lineRule="auto"/>
        <w:ind w:left="-540" w:right="-900"/>
        <w:contextualSpacing/>
        <w:rPr>
          <w:b/>
        </w:rPr>
      </w:pPr>
      <w:r w:rsidRPr="003B5018">
        <w:rPr>
          <w:b/>
        </w:rPr>
        <w:t xml:space="preserve">3.2.2. Earnings </w:t>
      </w:r>
      <w:r w:rsidR="00F6262E">
        <w:rPr>
          <w:b/>
        </w:rPr>
        <w:t>M</w:t>
      </w:r>
      <w:r w:rsidRPr="003B5018">
        <w:rPr>
          <w:b/>
        </w:rPr>
        <w:t>omentum</w:t>
      </w:r>
      <w:r w:rsidR="003B5018" w:rsidRPr="003B5018">
        <w:rPr>
          <w:b/>
        </w:rPr>
        <w:t xml:space="preserve"> of Sector Indexes</w:t>
      </w:r>
    </w:p>
    <w:p w:rsidR="00893E5B" w:rsidRDefault="00077323" w:rsidP="00FE5B83">
      <w:pPr>
        <w:spacing w:line="480" w:lineRule="auto"/>
        <w:ind w:left="-540" w:right="-900"/>
        <w:contextualSpacing/>
      </w:pPr>
      <w:r>
        <w:tab/>
      </w:r>
      <w:r w:rsidR="00C31232">
        <w:t>P</w:t>
      </w:r>
      <w:r w:rsidR="002C1883">
        <w:t xml:space="preserve">anel </w:t>
      </w:r>
      <w:r w:rsidR="007E4329">
        <w:t>B</w:t>
      </w:r>
      <w:r w:rsidR="002C1883">
        <w:t xml:space="preserve"> of Table </w:t>
      </w:r>
      <w:r w:rsidR="0015541D">
        <w:t>6 sh</w:t>
      </w:r>
      <w:r w:rsidR="00824F2B">
        <w:t xml:space="preserve">ows similar results </w:t>
      </w:r>
      <w:r w:rsidR="0099120B">
        <w:t>on earnings momentum effect</w:t>
      </w:r>
      <w:r w:rsidR="00F6262E">
        <w:t>s</w:t>
      </w:r>
      <w:r w:rsidR="0099120B">
        <w:t xml:space="preserve"> in sector indexes </w:t>
      </w:r>
      <w:r w:rsidR="00824F2B">
        <w:t xml:space="preserve">as those </w:t>
      </w:r>
      <w:r w:rsidR="0099120B">
        <w:t xml:space="preserve">on price momentum effect </w:t>
      </w:r>
      <w:r w:rsidR="00824F2B">
        <w:t>in</w:t>
      </w:r>
      <w:r w:rsidR="0015541D">
        <w:t xml:space="preserve"> Panel A.</w:t>
      </w:r>
      <w:r w:rsidR="00CA3A1C">
        <w:t xml:space="preserve"> T</w:t>
      </w:r>
      <w:r w:rsidR="002C1883">
        <w:t>he average returns of portfolio</w:t>
      </w:r>
      <w:r w:rsidR="007D71BB">
        <w:t>s</w:t>
      </w:r>
      <w:r w:rsidR="002C1883">
        <w:t xml:space="preserve"> P1, P2, P3, and </w:t>
      </w:r>
      <w:r w:rsidR="00C31232">
        <w:t>(</w:t>
      </w:r>
      <w:r w:rsidR="002C1883">
        <w:t>P1-P3</w:t>
      </w:r>
      <w:r w:rsidR="00C31232">
        <w:t>)</w:t>
      </w:r>
      <w:r w:rsidR="002C1883">
        <w:t xml:space="preserve"> are all positive. </w:t>
      </w:r>
      <w:r w:rsidR="008852E2">
        <w:t>In particular, t</w:t>
      </w:r>
      <w:r w:rsidR="007C30FB">
        <w:t xml:space="preserve">he </w:t>
      </w:r>
      <w:r w:rsidR="005F2C90">
        <w:t xml:space="preserve">profit patterns of earnings </w:t>
      </w:r>
      <w:r w:rsidR="007C30FB">
        <w:t>mome</w:t>
      </w:r>
      <w:r w:rsidR="004466A2">
        <w:t xml:space="preserve">ntum </w:t>
      </w:r>
      <w:r w:rsidR="007C30FB">
        <w:t xml:space="preserve">portfolios </w:t>
      </w:r>
      <w:r w:rsidR="005F2C90">
        <w:t>are similar to those of</w:t>
      </w:r>
      <w:r w:rsidR="007C30FB">
        <w:t xml:space="preserve"> price momentum </w:t>
      </w:r>
      <w:r w:rsidR="005F2C90">
        <w:t>portfolios</w:t>
      </w:r>
      <w:r w:rsidR="007C30FB">
        <w:t xml:space="preserve">. </w:t>
      </w:r>
      <w:r w:rsidR="00EE03B4">
        <w:t xml:space="preserve">For example, the average returns of the </w:t>
      </w:r>
      <w:r w:rsidR="00403C87">
        <w:t xml:space="preserve">earnings </w:t>
      </w:r>
      <w:r w:rsidR="00EE03B4">
        <w:t xml:space="preserve">momentum portfolios with </w:t>
      </w:r>
      <w:r w:rsidR="007D71BB">
        <w:t xml:space="preserve">a </w:t>
      </w:r>
      <w:r w:rsidR="00EE03B4">
        <w:t xml:space="preserve">6-month holding period are statistically significant </w:t>
      </w:r>
      <w:r w:rsidR="00F6262E">
        <w:t>at the 5%</w:t>
      </w:r>
      <w:r w:rsidR="00EE03B4">
        <w:t xml:space="preserve"> confidence level for all ranking periods. </w:t>
      </w:r>
      <w:r w:rsidR="007C30FB">
        <w:t xml:space="preserve">In </w:t>
      </w:r>
      <w:r w:rsidR="00517217">
        <w:t>addition</w:t>
      </w:r>
      <w:r w:rsidR="007C30FB">
        <w:t>,</w:t>
      </w:r>
      <w:r w:rsidR="007F4C4C">
        <w:t xml:space="preserve"> the </w:t>
      </w:r>
      <w:r w:rsidR="004C666B">
        <w:t xml:space="preserve">average returns of the </w:t>
      </w:r>
      <w:r w:rsidR="007F4C4C">
        <w:t>earnings momentum</w:t>
      </w:r>
      <w:r w:rsidR="007C30FB">
        <w:t xml:space="preserve"> </w:t>
      </w:r>
      <w:r w:rsidR="00073AD6">
        <w:t>p</w:t>
      </w:r>
      <w:r w:rsidR="004C666B">
        <w:t>o</w:t>
      </w:r>
      <w:r w:rsidR="00073AD6">
        <w:t>r</w:t>
      </w:r>
      <w:r w:rsidR="004C666B">
        <w:t>tfolio with</w:t>
      </w:r>
      <w:r w:rsidR="007F4C4C">
        <w:t xml:space="preserve"> </w:t>
      </w:r>
      <w:r w:rsidR="007D71BB">
        <w:t xml:space="preserve">a </w:t>
      </w:r>
      <w:r w:rsidR="00073AD6">
        <w:t xml:space="preserve">12-month ranking period and </w:t>
      </w:r>
      <w:r w:rsidR="007F4C4C">
        <w:t xml:space="preserve">3-month holding period </w:t>
      </w:r>
      <w:r w:rsidR="004C666B">
        <w:t>are</w:t>
      </w:r>
      <w:r w:rsidR="00FB1744">
        <w:t xml:space="preserve"> statistically si</w:t>
      </w:r>
      <w:r w:rsidR="007C30FB">
        <w:t xml:space="preserve">gnificant </w:t>
      </w:r>
      <w:r w:rsidR="00F6262E">
        <w:t>at the 5%</w:t>
      </w:r>
      <w:r w:rsidR="005A3A89">
        <w:t xml:space="preserve"> confidence level</w:t>
      </w:r>
      <w:r w:rsidR="00073AD6">
        <w:t>.</w:t>
      </w:r>
      <w:r w:rsidR="00C31232">
        <w:t xml:space="preserve"> </w:t>
      </w:r>
      <w:r w:rsidR="00073AD6">
        <w:t>T</w:t>
      </w:r>
      <w:r w:rsidR="005A3A89">
        <w:t xml:space="preserve">he </w:t>
      </w:r>
      <w:r w:rsidR="004C666B">
        <w:t>average returns</w:t>
      </w:r>
      <w:r w:rsidR="00517217">
        <w:t xml:space="preserve"> </w:t>
      </w:r>
      <w:r w:rsidR="004C666B">
        <w:t xml:space="preserve">are </w:t>
      </w:r>
      <w:r w:rsidR="005A3A89">
        <w:t xml:space="preserve">weakly significant (t-stat 1.972) for the momentum portfolios </w:t>
      </w:r>
      <w:r w:rsidR="00517217">
        <w:t xml:space="preserve">with </w:t>
      </w:r>
      <w:r w:rsidR="007D71BB">
        <w:t xml:space="preserve">a </w:t>
      </w:r>
      <w:r w:rsidR="00517217">
        <w:t xml:space="preserve">3-month holding period and </w:t>
      </w:r>
      <w:r w:rsidR="007D71BB">
        <w:t xml:space="preserve">a </w:t>
      </w:r>
      <w:r w:rsidR="005A3A89">
        <w:t>3-month or</w:t>
      </w:r>
      <w:r w:rsidR="008152F7">
        <w:t xml:space="preserve"> </w:t>
      </w:r>
      <w:r w:rsidR="005A3A89">
        <w:t>6-month ranking period.</w:t>
      </w:r>
      <w:r w:rsidR="00FB1744">
        <w:t xml:space="preserve"> </w:t>
      </w:r>
      <w:r w:rsidR="00403C87">
        <w:t>With the 12-month ranking period, t</w:t>
      </w:r>
      <w:r w:rsidR="0077274B" w:rsidRPr="00D507E1">
        <w:t xml:space="preserve">he annualized momentum profits with 3-month and 6-month </w:t>
      </w:r>
      <w:r w:rsidR="00C31232">
        <w:t>hold</w:t>
      </w:r>
      <w:r w:rsidR="0077274B" w:rsidRPr="00D507E1">
        <w:t xml:space="preserve">ing periods are </w:t>
      </w:r>
      <w:r w:rsidR="00092B11">
        <w:t>6.97</w:t>
      </w:r>
      <w:r w:rsidR="0077274B" w:rsidRPr="00D507E1">
        <w:t xml:space="preserve">% and </w:t>
      </w:r>
      <w:r w:rsidR="0077274B">
        <w:t>6</w:t>
      </w:r>
      <w:r w:rsidR="00092B11">
        <w:t>.56</w:t>
      </w:r>
      <w:r w:rsidR="0077274B" w:rsidRPr="00D507E1">
        <w:t>%, respectively.</w:t>
      </w:r>
      <w:r w:rsidR="00D56620">
        <w:t xml:space="preserve"> </w:t>
      </w:r>
      <w:r w:rsidR="00B9392F">
        <w:t xml:space="preserve">Furthermore, except </w:t>
      </w:r>
      <w:r w:rsidR="008B5F0C">
        <w:t xml:space="preserve">for </w:t>
      </w:r>
      <w:r w:rsidR="00B9392F">
        <w:t>the momentum portfolios with</w:t>
      </w:r>
      <w:r w:rsidR="008152F7">
        <w:t xml:space="preserve"> </w:t>
      </w:r>
      <w:r w:rsidR="007D71BB">
        <w:t xml:space="preserve">a </w:t>
      </w:r>
      <w:r w:rsidR="008B5F0C">
        <w:t>1</w:t>
      </w:r>
      <w:r w:rsidR="00B9392F">
        <w:t xml:space="preserve">-month holding period </w:t>
      </w:r>
      <w:r w:rsidR="002C1883">
        <w:t xml:space="preserve">the percentages of positive returns are </w:t>
      </w:r>
      <w:r w:rsidR="004C666B">
        <w:t xml:space="preserve">all </w:t>
      </w:r>
      <w:r w:rsidR="00B9392F">
        <w:t>above</w:t>
      </w:r>
      <w:r w:rsidR="002C1883">
        <w:t xml:space="preserve"> </w:t>
      </w:r>
      <w:r w:rsidR="002C1883">
        <w:lastRenderedPageBreak/>
        <w:t>6</w:t>
      </w:r>
      <w:r w:rsidR="00B9392F">
        <w:t>1</w:t>
      </w:r>
      <w:r w:rsidR="002C1883">
        <w:t>%</w:t>
      </w:r>
      <w:r w:rsidR="00B9392F">
        <w:t>.</w:t>
      </w:r>
      <w:r w:rsidR="002C1883">
        <w:t xml:space="preserve"> Overall, the results show that the </w:t>
      </w:r>
      <w:r w:rsidR="004C666B">
        <w:t xml:space="preserve">earnings </w:t>
      </w:r>
      <w:r w:rsidR="002C1883">
        <w:t>momentum portfolios of s</w:t>
      </w:r>
      <w:r w:rsidR="00B9392F">
        <w:t>ector</w:t>
      </w:r>
      <w:r w:rsidR="002C1883">
        <w:t xml:space="preserve"> indexes are profitable when they are implemented with </w:t>
      </w:r>
      <w:r w:rsidR="00B9392F">
        <w:t>3</w:t>
      </w:r>
      <w:r w:rsidR="002C1883">
        <w:t xml:space="preserve"> to 12-month holding periods.</w:t>
      </w:r>
    </w:p>
    <w:p w:rsidR="00DE5FB2" w:rsidRDefault="00077323" w:rsidP="00FE5B83">
      <w:pPr>
        <w:spacing w:line="480" w:lineRule="auto"/>
        <w:ind w:left="-540" w:right="-900"/>
        <w:contextualSpacing/>
      </w:pPr>
      <w:r>
        <w:tab/>
      </w:r>
      <w:r w:rsidR="009724C7">
        <w:t xml:space="preserve">The results show that in contrast to the results for style indexes, there are strong earnings momentum effects in sector indexes. </w:t>
      </w:r>
      <w:r w:rsidR="002D1C5D">
        <w:t>However, t</w:t>
      </w:r>
      <w:r w:rsidR="00632FFF">
        <w:t xml:space="preserve">he magnitude of earnings momentum profit </w:t>
      </w:r>
      <w:r w:rsidR="00411F40">
        <w:t xml:space="preserve">of sector indexes </w:t>
      </w:r>
      <w:r w:rsidR="00632FFF">
        <w:t xml:space="preserve">appears to be smaller than that based on individual stocks. </w:t>
      </w:r>
      <w:r w:rsidR="00632FFF">
        <w:rPr>
          <w:lang w:eastAsia="en-US"/>
        </w:rPr>
        <w:t xml:space="preserve">Bernard and Thomas (1989) </w:t>
      </w:r>
      <w:r w:rsidR="00E15E3D">
        <w:rPr>
          <w:lang w:eastAsia="en-US"/>
        </w:rPr>
        <w:t>construct the</w:t>
      </w:r>
      <w:r w:rsidR="00632FFF">
        <w:rPr>
          <w:lang w:eastAsia="en-US"/>
        </w:rPr>
        <w:t xml:space="preserve"> earnings momentum portfolio with a long position in the </w:t>
      </w:r>
      <w:r w:rsidR="0058588C">
        <w:rPr>
          <w:lang w:eastAsia="en-US"/>
        </w:rPr>
        <w:t>top</w:t>
      </w:r>
      <w:r w:rsidR="00632FFF">
        <w:rPr>
          <w:lang w:eastAsia="en-US"/>
        </w:rPr>
        <w:t xml:space="preserve"> </w:t>
      </w:r>
      <w:r w:rsidR="0058588C">
        <w:rPr>
          <w:lang w:eastAsia="en-US"/>
        </w:rPr>
        <w:t>SUE</w:t>
      </w:r>
      <w:r w:rsidR="00632FFF">
        <w:rPr>
          <w:lang w:eastAsia="en-US"/>
        </w:rPr>
        <w:t xml:space="preserve"> </w:t>
      </w:r>
      <w:proofErr w:type="spellStart"/>
      <w:r w:rsidR="00632FFF">
        <w:rPr>
          <w:lang w:eastAsia="en-US"/>
        </w:rPr>
        <w:t>decile</w:t>
      </w:r>
      <w:proofErr w:type="spellEnd"/>
      <w:r w:rsidR="00632FFF">
        <w:rPr>
          <w:lang w:eastAsia="en-US"/>
        </w:rPr>
        <w:t xml:space="preserve"> and a short position in the </w:t>
      </w:r>
      <w:r w:rsidR="0058588C">
        <w:rPr>
          <w:lang w:eastAsia="en-US"/>
        </w:rPr>
        <w:t>bottom SUE</w:t>
      </w:r>
      <w:r w:rsidR="00632FFF">
        <w:rPr>
          <w:lang w:eastAsia="en-US"/>
        </w:rPr>
        <w:t xml:space="preserve"> </w:t>
      </w:r>
      <w:proofErr w:type="spellStart"/>
      <w:r w:rsidR="00632FFF">
        <w:rPr>
          <w:lang w:eastAsia="en-US"/>
        </w:rPr>
        <w:t>decile</w:t>
      </w:r>
      <w:proofErr w:type="spellEnd"/>
      <w:r w:rsidR="00E15E3D" w:rsidRPr="00E15E3D">
        <w:rPr>
          <w:lang w:eastAsia="en-US"/>
        </w:rPr>
        <w:t xml:space="preserve"> </w:t>
      </w:r>
      <w:r w:rsidR="00E15E3D">
        <w:rPr>
          <w:lang w:eastAsia="en-US"/>
        </w:rPr>
        <w:t>over the sample period of 1974-86</w:t>
      </w:r>
      <w:r w:rsidR="00632FFF">
        <w:rPr>
          <w:lang w:eastAsia="en-US"/>
        </w:rPr>
        <w:t xml:space="preserve">. </w:t>
      </w:r>
      <w:r w:rsidR="00E15E3D">
        <w:rPr>
          <w:lang w:eastAsia="en-US"/>
        </w:rPr>
        <w:t>They</w:t>
      </w:r>
      <w:r w:rsidR="00632FFF">
        <w:rPr>
          <w:lang w:eastAsia="en-US"/>
        </w:rPr>
        <w:t xml:space="preserve"> </w:t>
      </w:r>
      <w:r w:rsidR="00E15E3D">
        <w:rPr>
          <w:lang w:eastAsia="en-US"/>
        </w:rPr>
        <w:t>report a 4.2% abnormal return over the 60 days subsequent to earnings announcement</w:t>
      </w:r>
      <w:r w:rsidR="007D71BB">
        <w:rPr>
          <w:lang w:eastAsia="en-US"/>
        </w:rPr>
        <w:t>s</w:t>
      </w:r>
      <w:r w:rsidR="00E15E3D">
        <w:rPr>
          <w:lang w:eastAsia="en-US"/>
        </w:rPr>
        <w:t xml:space="preserve">, or about 18% on an annualized basis. </w:t>
      </w:r>
    </w:p>
    <w:p w:rsidR="00DE5FB2" w:rsidRDefault="00DE5FB2" w:rsidP="00FE5B83">
      <w:pPr>
        <w:spacing w:line="480" w:lineRule="auto"/>
        <w:ind w:left="-540" w:right="-900"/>
        <w:contextualSpacing/>
      </w:pPr>
    </w:p>
    <w:p w:rsidR="00687FC4" w:rsidRPr="003B5018" w:rsidRDefault="00687FC4" w:rsidP="00FE5B83">
      <w:pPr>
        <w:spacing w:line="480" w:lineRule="auto"/>
        <w:ind w:left="-540" w:right="-900"/>
        <w:contextualSpacing/>
        <w:rPr>
          <w:b/>
        </w:rPr>
      </w:pPr>
      <w:r w:rsidRPr="003B5018">
        <w:rPr>
          <w:b/>
        </w:rPr>
        <w:t>3.2.3. Does Earnings Momentum Explain Price Momentum</w:t>
      </w:r>
      <w:r w:rsidR="003B5018">
        <w:rPr>
          <w:b/>
        </w:rPr>
        <w:t xml:space="preserve"> in Sector Indexes</w:t>
      </w:r>
      <w:r w:rsidRPr="003B5018">
        <w:rPr>
          <w:b/>
        </w:rPr>
        <w:t>?</w:t>
      </w:r>
    </w:p>
    <w:p w:rsidR="00BA58BD" w:rsidRDefault="00077323" w:rsidP="00EB06CF">
      <w:pPr>
        <w:spacing w:line="480" w:lineRule="auto"/>
        <w:ind w:left="-540" w:right="-900"/>
        <w:contextualSpacing/>
      </w:pPr>
      <w:r>
        <w:tab/>
      </w:r>
      <w:r w:rsidR="005367B4">
        <w:t>The</w:t>
      </w:r>
      <w:r w:rsidR="008776ED">
        <w:t xml:space="preserve"> previous </w:t>
      </w:r>
      <w:r w:rsidR="00BB610F">
        <w:t>sub</w:t>
      </w:r>
      <w:r w:rsidR="008776ED">
        <w:t>sections</w:t>
      </w:r>
      <w:r w:rsidR="005367B4">
        <w:t xml:space="preserve"> </w:t>
      </w:r>
      <w:r w:rsidR="008776ED">
        <w:t>show</w:t>
      </w:r>
      <w:r w:rsidR="007D71BB">
        <w:t xml:space="preserve"> that </w:t>
      </w:r>
      <w:r w:rsidR="008776ED" w:rsidRPr="008776ED">
        <w:t>sector indexes exhibit both price momentum effect</w:t>
      </w:r>
      <w:r w:rsidR="007D71BB">
        <w:t>s</w:t>
      </w:r>
      <w:r w:rsidR="008776ED" w:rsidRPr="008776ED">
        <w:t xml:space="preserve"> and earning</w:t>
      </w:r>
      <w:r w:rsidR="00BB610F">
        <w:t>s</w:t>
      </w:r>
      <w:r w:rsidR="008776ED" w:rsidRPr="008776ED">
        <w:t xml:space="preserve"> momentum effect</w:t>
      </w:r>
      <w:r w:rsidR="007D71BB">
        <w:t>s</w:t>
      </w:r>
      <w:r w:rsidR="008776ED" w:rsidRPr="008776ED">
        <w:t xml:space="preserve">. </w:t>
      </w:r>
      <w:r w:rsidR="00AA42EF">
        <w:t xml:space="preserve">The question is: </w:t>
      </w:r>
      <w:r w:rsidR="000B6E79">
        <w:t xml:space="preserve">to what extent the price momentum </w:t>
      </w:r>
      <w:r w:rsidR="004448A2">
        <w:t xml:space="preserve">of the sector indexes </w:t>
      </w:r>
      <w:r w:rsidR="00EB06CF">
        <w:t xml:space="preserve">is </w:t>
      </w:r>
      <w:r w:rsidR="000B6E79">
        <w:t xml:space="preserve">driven by </w:t>
      </w:r>
      <w:r w:rsidR="00211115">
        <w:t xml:space="preserve">earnings momentum? </w:t>
      </w:r>
      <w:proofErr w:type="spellStart"/>
      <w:r w:rsidR="008776ED" w:rsidRPr="008776ED">
        <w:rPr>
          <w:lang w:eastAsia="en-US"/>
        </w:rPr>
        <w:t>Chordia</w:t>
      </w:r>
      <w:proofErr w:type="spellEnd"/>
      <w:r w:rsidR="008776ED" w:rsidRPr="008776ED">
        <w:rPr>
          <w:lang w:eastAsia="en-US"/>
        </w:rPr>
        <w:t xml:space="preserve"> and </w:t>
      </w:r>
      <w:proofErr w:type="spellStart"/>
      <w:r w:rsidR="008776ED" w:rsidRPr="008776ED">
        <w:rPr>
          <w:lang w:eastAsia="en-US"/>
        </w:rPr>
        <w:t>Shivakumar</w:t>
      </w:r>
      <w:proofErr w:type="spellEnd"/>
      <w:r w:rsidR="008776ED" w:rsidRPr="008776ED">
        <w:rPr>
          <w:lang w:eastAsia="en-US"/>
        </w:rPr>
        <w:t xml:space="preserve"> (2006) </w:t>
      </w:r>
      <w:r w:rsidR="00D62D8A">
        <w:rPr>
          <w:lang w:eastAsia="en-US"/>
        </w:rPr>
        <w:t xml:space="preserve">examine the relation between price momentum and earnings momentum for individual stock returns. They </w:t>
      </w:r>
      <w:r w:rsidR="00525095">
        <w:rPr>
          <w:lang w:eastAsia="en-US"/>
        </w:rPr>
        <w:t xml:space="preserve">provide evidence </w:t>
      </w:r>
      <w:r w:rsidR="008776ED" w:rsidRPr="008776ED">
        <w:rPr>
          <w:lang w:eastAsia="en-US"/>
        </w:rPr>
        <w:t>that price momentum is captured by the systematic</w:t>
      </w:r>
      <w:r w:rsidR="008776ED">
        <w:rPr>
          <w:lang w:eastAsia="en-US"/>
        </w:rPr>
        <w:t xml:space="preserve"> component of earnings momentum</w:t>
      </w:r>
      <w:r w:rsidR="008776ED">
        <w:t>.</w:t>
      </w:r>
      <w:r w:rsidR="00754C55">
        <w:t xml:space="preserve"> </w:t>
      </w:r>
      <w:r w:rsidR="00EB06CF">
        <w:t xml:space="preserve">One </w:t>
      </w:r>
      <w:r w:rsidR="00391C74">
        <w:t>c</w:t>
      </w:r>
      <w:r w:rsidR="007764F0">
        <w:t>as</w:t>
      </w:r>
      <w:r w:rsidR="00391C74">
        <w:t>u</w:t>
      </w:r>
      <w:r w:rsidR="007764F0">
        <w:t>al observation</w:t>
      </w:r>
      <w:r w:rsidR="00EB06CF">
        <w:t xml:space="preserve"> </w:t>
      </w:r>
      <w:r w:rsidR="00391C74">
        <w:t>s</w:t>
      </w:r>
      <w:r w:rsidR="00EB06CF">
        <w:t xml:space="preserve">eems to suggest that </w:t>
      </w:r>
      <w:r w:rsidR="00391C74">
        <w:t xml:space="preserve">the price momentum of the sector indexes is driven by earnings momentum. </w:t>
      </w:r>
      <w:r w:rsidR="00EB06CF">
        <w:t>That is</w:t>
      </w:r>
      <w:r w:rsidR="007764F0">
        <w:t xml:space="preserve">, </w:t>
      </w:r>
      <w:r w:rsidR="007D71BB">
        <w:t xml:space="preserve">the </w:t>
      </w:r>
      <w:r w:rsidR="007764F0">
        <w:t xml:space="preserve">price momentum effect is significant only in the case where </w:t>
      </w:r>
      <w:r w:rsidR="007D71BB">
        <w:t xml:space="preserve">the </w:t>
      </w:r>
      <w:r w:rsidR="007764F0">
        <w:t>earnings momentum effect is significant.</w:t>
      </w:r>
      <w:r w:rsidR="00EB06CF">
        <w:t xml:space="preserve"> </w:t>
      </w:r>
      <w:r w:rsidR="00CC0DF8" w:rsidRPr="008776ED">
        <w:t>To addres</w:t>
      </w:r>
      <w:r w:rsidR="00754C55">
        <w:t>s</w:t>
      </w:r>
      <w:r w:rsidR="005A72F9">
        <w:t xml:space="preserve"> this question</w:t>
      </w:r>
      <w:r w:rsidR="007764F0">
        <w:t xml:space="preserve"> formally</w:t>
      </w:r>
      <w:r w:rsidR="005A72F9">
        <w:t xml:space="preserve">, </w:t>
      </w:r>
      <w:r w:rsidR="00EB06CF">
        <w:t>we resort to a double sorting approach. A</w:t>
      </w:r>
      <w:r w:rsidR="005A72F9">
        <w:t>t</w:t>
      </w:r>
      <w:r w:rsidR="00754C55">
        <w:t xml:space="preserve"> </w:t>
      </w:r>
      <w:r w:rsidR="005A72F9" w:rsidRPr="005A72F9">
        <w:t>the end of each month</w:t>
      </w:r>
      <w:r w:rsidR="005A72F9">
        <w:t xml:space="preserve"> </w:t>
      </w:r>
      <w:r w:rsidR="00754C55">
        <w:t>we first sort sector indexe</w:t>
      </w:r>
      <w:r w:rsidR="00CC0DF8" w:rsidRPr="008776ED">
        <w:t xml:space="preserve">s </w:t>
      </w:r>
      <w:r w:rsidR="00BB610F">
        <w:t>in</w:t>
      </w:r>
      <w:r w:rsidR="00CC0DF8" w:rsidRPr="008776ED">
        <w:t xml:space="preserve">to </w:t>
      </w:r>
      <w:r w:rsidR="00754C55">
        <w:t>three groups</w:t>
      </w:r>
      <w:r w:rsidR="00CC0DF8" w:rsidRPr="008776ED">
        <w:t xml:space="preserve"> based on</w:t>
      </w:r>
      <w:r w:rsidR="00754C55">
        <w:t xml:space="preserve"> their </w:t>
      </w:r>
      <w:r w:rsidR="005367B4">
        <w:t xml:space="preserve">past average </w:t>
      </w:r>
      <w:r w:rsidR="00754C55">
        <w:t>SUE rank</w:t>
      </w:r>
      <w:r w:rsidR="007D71BB">
        <w:t>ing</w:t>
      </w:r>
      <w:r w:rsidR="00754C55">
        <w:t>s</w:t>
      </w:r>
      <w:r w:rsidR="00CC0DF8" w:rsidRPr="008776ED">
        <w:t xml:space="preserve">. </w:t>
      </w:r>
      <w:r w:rsidR="005A72F9" w:rsidRPr="005A72F9">
        <w:t xml:space="preserve">Group 1 consists of 4 indexes </w:t>
      </w:r>
      <w:r w:rsidR="005367B4">
        <w:t>with</w:t>
      </w:r>
      <w:r w:rsidR="005A72F9" w:rsidRPr="005A72F9">
        <w:t xml:space="preserve"> the highest SUE</w:t>
      </w:r>
      <w:r w:rsidR="005367B4">
        <w:t xml:space="preserve"> rank</w:t>
      </w:r>
      <w:r w:rsidR="007D71BB">
        <w:t>ing</w:t>
      </w:r>
      <w:r w:rsidR="005367B4">
        <w:t>s</w:t>
      </w:r>
      <w:r w:rsidR="005A72F9" w:rsidRPr="005A72F9">
        <w:t xml:space="preserve"> and group 3 consists of 4 indexes </w:t>
      </w:r>
      <w:r w:rsidR="005367B4">
        <w:t>with</w:t>
      </w:r>
      <w:r w:rsidR="005A72F9" w:rsidRPr="005A72F9">
        <w:t xml:space="preserve"> the lowest SUE</w:t>
      </w:r>
      <w:r w:rsidR="005367B4">
        <w:t xml:space="preserve"> rank</w:t>
      </w:r>
      <w:r w:rsidR="007D71BB">
        <w:t>ing</w:t>
      </w:r>
      <w:r w:rsidR="005367B4">
        <w:t>s</w:t>
      </w:r>
      <w:r w:rsidR="005A72F9" w:rsidRPr="005A72F9">
        <w:t xml:space="preserve">. The </w:t>
      </w:r>
      <w:r w:rsidR="00117886">
        <w:t>remaining 4</w:t>
      </w:r>
      <w:r w:rsidR="005A72F9" w:rsidRPr="005A72F9">
        <w:t xml:space="preserve"> indexes are in group 2. Within each SUE group, indexes are further </w:t>
      </w:r>
      <w:r w:rsidR="00391C74">
        <w:t xml:space="preserve">sorted into </w:t>
      </w:r>
      <w:r w:rsidR="005A72F9" w:rsidRPr="005A72F9">
        <w:t xml:space="preserve">4 </w:t>
      </w:r>
      <w:r w:rsidR="00391C74">
        <w:t>sub-</w:t>
      </w:r>
      <w:r w:rsidR="005A72F9" w:rsidRPr="005A72F9">
        <w:t xml:space="preserve">portfolios based on their past cumulative returns. </w:t>
      </w:r>
      <w:r w:rsidR="00117886">
        <w:t>T</w:t>
      </w:r>
      <w:r w:rsidR="00593CF1">
        <w:t>he index with</w:t>
      </w:r>
      <w:r w:rsidR="005A72F9" w:rsidRPr="005A72F9">
        <w:t xml:space="preserve"> the highest return</w:t>
      </w:r>
      <w:r w:rsidR="00117886">
        <w:t xml:space="preserve"> is portfolio 1</w:t>
      </w:r>
      <w:r w:rsidR="005A72F9" w:rsidRPr="005A72F9">
        <w:t xml:space="preserve"> and </w:t>
      </w:r>
      <w:r w:rsidR="00117886">
        <w:t>t</w:t>
      </w:r>
      <w:r w:rsidR="00593CF1">
        <w:t>he</w:t>
      </w:r>
      <w:r w:rsidR="00117886">
        <w:t xml:space="preserve"> index</w:t>
      </w:r>
      <w:r w:rsidR="00593CF1">
        <w:t xml:space="preserve"> with</w:t>
      </w:r>
      <w:r w:rsidR="005A72F9" w:rsidRPr="005A72F9">
        <w:t xml:space="preserve"> the lowest</w:t>
      </w:r>
      <w:r w:rsidR="00593CF1">
        <w:t xml:space="preserve"> return</w:t>
      </w:r>
      <w:r w:rsidR="00117886">
        <w:t xml:space="preserve"> is portfolio 4</w:t>
      </w:r>
      <w:r w:rsidR="005A72F9" w:rsidRPr="005A72F9">
        <w:t xml:space="preserve">. </w:t>
      </w:r>
      <w:r w:rsidR="00391C74">
        <w:t xml:space="preserve">The </w:t>
      </w:r>
      <w:r w:rsidR="00CF60A3">
        <w:t>momentum portfolio (P1-P4)</w:t>
      </w:r>
      <w:r w:rsidR="00117886">
        <w:t xml:space="preserve"> is a </w:t>
      </w:r>
      <w:r w:rsidR="00117886">
        <w:lastRenderedPageBreak/>
        <w:t>portfolio that</w:t>
      </w:r>
      <w:r w:rsidR="00391C74">
        <w:t xml:space="preserve"> is </w:t>
      </w:r>
      <w:r w:rsidR="001509CF">
        <w:t xml:space="preserve">long </w:t>
      </w:r>
      <w:r w:rsidR="008007C0">
        <w:t>i</w:t>
      </w:r>
      <w:r w:rsidR="00CF60A3">
        <w:t>n portfolio 1 and</w:t>
      </w:r>
      <w:r w:rsidR="001509CF">
        <w:t xml:space="preserve"> short </w:t>
      </w:r>
      <w:r w:rsidR="008007C0">
        <w:t>i</w:t>
      </w:r>
      <w:r w:rsidR="00CF60A3">
        <w:t xml:space="preserve">n portfolio 4. </w:t>
      </w:r>
      <w:r w:rsidR="008007C0">
        <w:t>T</w:t>
      </w:r>
      <w:r w:rsidR="00525095">
        <w:t>his double sorting procedure</w:t>
      </w:r>
      <w:r w:rsidR="008007C0">
        <w:t xml:space="preserve"> </w:t>
      </w:r>
      <w:r w:rsidR="00BB610F">
        <w:t xml:space="preserve">allows us </w:t>
      </w:r>
      <w:r w:rsidR="008007C0">
        <w:t xml:space="preserve">to examine whether price momentum </w:t>
      </w:r>
      <w:r w:rsidR="006224DA">
        <w:t xml:space="preserve">in sector indexes </w:t>
      </w:r>
      <w:r w:rsidR="008007C0">
        <w:t>can be explained by earnings momentum when</w:t>
      </w:r>
      <w:r w:rsidR="00BA58BD">
        <w:t xml:space="preserve"> </w:t>
      </w:r>
      <w:r w:rsidR="00391C74">
        <w:t xml:space="preserve">we </w:t>
      </w:r>
      <w:r w:rsidR="00BA58BD">
        <w:t>control</w:t>
      </w:r>
      <w:r w:rsidR="00CF60A3">
        <w:t xml:space="preserve"> for</w:t>
      </w:r>
      <w:r w:rsidR="00BA58BD">
        <w:t xml:space="preserve"> </w:t>
      </w:r>
      <w:r w:rsidR="00391C74">
        <w:t xml:space="preserve">the effect of </w:t>
      </w:r>
      <w:r w:rsidR="00BA58BD">
        <w:t>SUEs.</w:t>
      </w:r>
    </w:p>
    <w:p w:rsidR="00CC0DF8" w:rsidRPr="00525095" w:rsidRDefault="00077323" w:rsidP="00FE5B83">
      <w:pPr>
        <w:spacing w:line="480" w:lineRule="auto"/>
        <w:ind w:left="-540" w:right="-900"/>
        <w:contextualSpacing/>
      </w:pPr>
      <w:r>
        <w:tab/>
      </w:r>
      <w:r w:rsidR="00BA58BD">
        <w:t>T</w:t>
      </w:r>
      <w:r w:rsidR="005A72F9" w:rsidRPr="005A72F9">
        <w:t>able</w:t>
      </w:r>
      <w:r w:rsidR="00BA58BD">
        <w:t xml:space="preserve"> 7</w:t>
      </w:r>
      <w:r w:rsidR="005A72F9" w:rsidRPr="005A72F9">
        <w:t xml:space="preserve"> reports the time series means of the monthly returns of </w:t>
      </w:r>
      <w:r w:rsidR="00391C74">
        <w:t>each sub-</w:t>
      </w:r>
      <w:r w:rsidR="005A72F9" w:rsidRPr="005A72F9">
        <w:t>portfolio</w:t>
      </w:r>
      <w:r w:rsidR="00325D73">
        <w:t xml:space="preserve"> as well as the </w:t>
      </w:r>
      <w:r w:rsidR="005A72F9" w:rsidRPr="005A72F9">
        <w:t>momentum portfol</w:t>
      </w:r>
      <w:r w:rsidR="001509CF">
        <w:t>ios (P1-P4)</w:t>
      </w:r>
      <w:r w:rsidR="00391C74">
        <w:t xml:space="preserve">. </w:t>
      </w:r>
      <w:r w:rsidR="005A72F9" w:rsidRPr="005A72F9">
        <w:t xml:space="preserve">The holding period for these portfolios is all set </w:t>
      </w:r>
      <w:r w:rsidR="00391C74">
        <w:t xml:space="preserve">equal </w:t>
      </w:r>
      <w:r w:rsidR="005A72F9" w:rsidRPr="005A72F9">
        <w:t>to 6 months</w:t>
      </w:r>
      <w:r w:rsidR="002D7C83">
        <w:t xml:space="preserve"> since </w:t>
      </w:r>
      <w:r w:rsidR="00313DE1">
        <w:t xml:space="preserve">the sector indexes </w:t>
      </w:r>
      <w:r w:rsidR="00391C74">
        <w:t>have the strongest momentum effect at the</w:t>
      </w:r>
      <w:r w:rsidR="002D7C83">
        <w:t xml:space="preserve"> 6-month holding period</w:t>
      </w:r>
      <w:r w:rsidR="005A72F9" w:rsidRPr="005A72F9">
        <w:t>. The ranking peri</w:t>
      </w:r>
      <w:r w:rsidR="00BA58BD">
        <w:t xml:space="preserve">ods are set to be </w:t>
      </w:r>
      <w:r w:rsidR="00BB610F">
        <w:t xml:space="preserve">the </w:t>
      </w:r>
      <w:r w:rsidR="00BA58BD">
        <w:t>same for</w:t>
      </w:r>
      <w:r w:rsidR="00376C44">
        <w:t xml:space="preserve"> past</w:t>
      </w:r>
      <w:r w:rsidR="00BA58BD">
        <w:t xml:space="preserve"> </w:t>
      </w:r>
      <w:r w:rsidR="005A72F9" w:rsidRPr="005A72F9">
        <w:t>SUE and returns</w:t>
      </w:r>
      <w:r w:rsidR="00BB610F">
        <w:t>, ranging from 3-month to 12-month</w:t>
      </w:r>
      <w:r w:rsidR="005A72F9" w:rsidRPr="005A72F9">
        <w:t>. The results in Panel A, B, and C are based on 3-month, 6-month, and 12-month ranking periods, respectively.</w:t>
      </w:r>
      <w:r w:rsidR="004D1942">
        <w:t xml:space="preserve"> </w:t>
      </w:r>
      <w:r w:rsidR="00391C74">
        <w:t xml:space="preserve">The last row of each panel reports the average returns of the sub-portfolios across SUE groups </w:t>
      </w:r>
      <w:r w:rsidR="009A7EDD">
        <w:t xml:space="preserve">with </w:t>
      </w:r>
      <w:r w:rsidR="00391C74">
        <w:t xml:space="preserve">the same past return </w:t>
      </w:r>
      <w:r w:rsidR="009A7EDD">
        <w:t>rank</w:t>
      </w:r>
      <w:r w:rsidR="00391C74">
        <w:t xml:space="preserve">. </w:t>
      </w:r>
      <w:r w:rsidR="009A7EDD">
        <w:t xml:space="preserve">Averaging across different SUE groups essentially </w:t>
      </w:r>
      <w:r w:rsidR="00325D73">
        <w:t xml:space="preserve">controls </w:t>
      </w:r>
      <w:r w:rsidR="009A7EDD">
        <w:t>the effect of past SUEs.</w:t>
      </w:r>
      <w:r w:rsidR="00391C74">
        <w:t xml:space="preserve"> </w:t>
      </w:r>
      <w:r w:rsidR="00A84C16">
        <w:t>Overall, stocks in the high SUE group have higher returns. This is consistent with the earnings momentum effect. However, i</w:t>
      </w:r>
      <w:r w:rsidR="00525095">
        <w:t xml:space="preserve">t can be seen that </w:t>
      </w:r>
      <w:r w:rsidR="00976F5A">
        <w:t xml:space="preserve">conditional on SUE, only the group with the highest SUE exhibits </w:t>
      </w:r>
      <w:r w:rsidR="002578A6">
        <w:t xml:space="preserve">a </w:t>
      </w:r>
      <w:r w:rsidR="00976F5A">
        <w:t xml:space="preserve">significant price momentum effect. </w:t>
      </w:r>
      <w:r w:rsidR="00A84C16">
        <w:t xml:space="preserve">That is, the price momentum effect in sector indexes is mainly driven by stocks with high SUEs. </w:t>
      </w:r>
      <w:r w:rsidR="00EF3688">
        <w:t xml:space="preserve">In </w:t>
      </w:r>
      <w:r w:rsidR="002578A6">
        <w:t xml:space="preserve">the </w:t>
      </w:r>
      <w:r w:rsidR="00EF3688">
        <w:t xml:space="preserve">other two SUE groups, there is no significant price momentum effect. </w:t>
      </w:r>
      <w:r w:rsidR="00A84C16">
        <w:t>More importantly</w:t>
      </w:r>
      <w:r w:rsidR="00213D28">
        <w:t>, after controlling for SUE, none of the momentum portfolio</w:t>
      </w:r>
      <w:r w:rsidR="00376C44">
        <w:t>s</w:t>
      </w:r>
      <w:r w:rsidR="00213D28">
        <w:t xml:space="preserve"> </w:t>
      </w:r>
      <w:r w:rsidR="00EF3688">
        <w:t>ha</w:t>
      </w:r>
      <w:r w:rsidR="002578A6">
        <w:t>ve</w:t>
      </w:r>
      <w:r w:rsidR="00213D28">
        <w:t xml:space="preserve"> statistically significant</w:t>
      </w:r>
      <w:r w:rsidR="004746D1">
        <w:t xml:space="preserve"> </w:t>
      </w:r>
      <w:r w:rsidR="00EF3688">
        <w:t xml:space="preserve">returns </w:t>
      </w:r>
      <w:r w:rsidR="00F6262E">
        <w:t>at the 5%</w:t>
      </w:r>
      <w:r w:rsidR="004746D1">
        <w:t xml:space="preserve"> confidence level</w:t>
      </w:r>
      <w:r w:rsidR="00213D28">
        <w:t xml:space="preserve">. </w:t>
      </w:r>
      <w:r w:rsidR="00CF2B48">
        <w:t xml:space="preserve">For example, in Panel A, after controlling for SUE, the average return of the momentum portfolio is 3% with </w:t>
      </w:r>
      <w:r w:rsidR="00A84C16">
        <w:t xml:space="preserve">a </w:t>
      </w:r>
      <w:r w:rsidR="00CF2B48">
        <w:t>t-statistic</w:t>
      </w:r>
      <w:r w:rsidR="00A84C16">
        <w:t xml:space="preserve"> of</w:t>
      </w:r>
      <w:r w:rsidR="00CF2B48">
        <w:t xml:space="preserve"> 1.89</w:t>
      </w:r>
      <w:r w:rsidR="00A84C16">
        <w:t>0</w:t>
      </w:r>
      <w:r w:rsidR="00CF2B48">
        <w:t xml:space="preserve">. </w:t>
      </w:r>
      <w:r w:rsidR="004746D1">
        <w:t>The results suggest</w:t>
      </w:r>
      <w:r w:rsidR="00213D28">
        <w:t xml:space="preserve"> that the pri</w:t>
      </w:r>
      <w:r w:rsidR="004746D1">
        <w:t>ce momentum effect</w:t>
      </w:r>
      <w:r w:rsidR="00213D28">
        <w:t xml:space="preserve"> </w:t>
      </w:r>
      <w:r w:rsidR="002578A6">
        <w:t xml:space="preserve">in sector indexes </w:t>
      </w:r>
      <w:r w:rsidR="00213D28">
        <w:t xml:space="preserve">is </w:t>
      </w:r>
      <w:r w:rsidR="00EF3688">
        <w:t xml:space="preserve">largely </w:t>
      </w:r>
      <w:r w:rsidR="00213D28">
        <w:t>driven b</w:t>
      </w:r>
      <w:r w:rsidR="004746D1">
        <w:t>y the earning momentum effect</w:t>
      </w:r>
      <w:r w:rsidR="00213D28">
        <w:t xml:space="preserve">. </w:t>
      </w:r>
    </w:p>
    <w:p w:rsidR="00E15E3D" w:rsidRDefault="00077323" w:rsidP="00FE5B83">
      <w:pPr>
        <w:spacing w:line="480" w:lineRule="auto"/>
        <w:ind w:left="-540" w:right="-900"/>
        <w:contextualSpacing/>
      </w:pPr>
      <w:r>
        <w:tab/>
      </w:r>
      <w:r w:rsidR="00E15E3D">
        <w:t xml:space="preserve">To summarize, </w:t>
      </w:r>
      <w:r w:rsidR="00974142">
        <w:rPr>
          <w:lang w:eastAsia="en-US"/>
        </w:rPr>
        <w:t>our results show that similar to the style indexes, the sector indexes also exhibit sig</w:t>
      </w:r>
      <w:r w:rsidR="00FA4E84">
        <w:rPr>
          <w:lang w:eastAsia="en-US"/>
        </w:rPr>
        <w:t>nificant price momentum</w:t>
      </w:r>
      <w:r w:rsidR="00974142">
        <w:rPr>
          <w:lang w:eastAsia="en-US"/>
        </w:rPr>
        <w:t xml:space="preserve">. </w:t>
      </w:r>
      <w:r w:rsidR="0001579B">
        <w:t xml:space="preserve">Aggregating individual stocks within each sector, these diversified portfolios continue to exhibit strong price momentum. </w:t>
      </w:r>
      <w:r w:rsidR="00974142">
        <w:rPr>
          <w:lang w:eastAsia="en-US"/>
        </w:rPr>
        <w:t xml:space="preserve">However, the </w:t>
      </w:r>
      <w:r w:rsidR="00974142">
        <w:t>profits</w:t>
      </w:r>
      <w:r w:rsidR="00974142">
        <w:rPr>
          <w:lang w:eastAsia="en-US"/>
        </w:rPr>
        <w:t xml:space="preserve"> of price </w:t>
      </w:r>
      <w:r w:rsidR="00974142">
        <w:t xml:space="preserve">momentum for sector indexes are generally lower than for style indexes, although in both cases they are substantial and are of economic significance. In addition, </w:t>
      </w:r>
      <w:r w:rsidR="009432E7">
        <w:t xml:space="preserve">our results show </w:t>
      </w:r>
      <w:r w:rsidR="0001579B">
        <w:t xml:space="preserve">different patterns of price momentum </w:t>
      </w:r>
      <w:r w:rsidR="0001579B">
        <w:lastRenderedPageBreak/>
        <w:t>between style indexes and sector indexes. T</w:t>
      </w:r>
      <w:r w:rsidR="00974142">
        <w:t>he price momentum effect seems to be the strongest with the 6-month ranking period for the style indexes, whereas it is the strongest over the 6-month holding period for the sector indexes.</w:t>
      </w:r>
      <w:r w:rsidR="00270D71">
        <w:t xml:space="preserve"> In contrast to style indexes which exhibit little evidence of earnings momentum, we f</w:t>
      </w:r>
      <w:r w:rsidR="002578A6">
        <w:t>ind that sector indexes exhibit</w:t>
      </w:r>
      <w:r w:rsidR="00270D71">
        <w:t xml:space="preserve"> significant earnings momentum. </w:t>
      </w:r>
      <w:r w:rsidR="008008EF">
        <w:t xml:space="preserve">Our results show that earnings momentum effects are prevalent for sector indexes over 3-month to 12-month holding periods and are robust to the ranking periods of </w:t>
      </w:r>
      <w:r w:rsidR="002578A6">
        <w:t xml:space="preserve">past </w:t>
      </w:r>
      <w:r w:rsidR="008008EF">
        <w:t xml:space="preserve">SUE. </w:t>
      </w:r>
      <w:r w:rsidR="001423B5">
        <w:t>That is, e</w:t>
      </w:r>
      <w:r w:rsidR="0097516D">
        <w:t xml:space="preserve">arnings surprises aggregated at the sector level continue to have predictive power of future sector returns, albeit the predictive power is much lower than at the individual stock level. </w:t>
      </w:r>
      <w:r w:rsidR="00E15E3D">
        <w:t>Th</w:t>
      </w:r>
      <w:r w:rsidR="002578A6">
        <w:t>is</w:t>
      </w:r>
      <w:r w:rsidR="0097516D">
        <w:t xml:space="preserve"> finding </w:t>
      </w:r>
      <w:r w:rsidR="00E15E3D">
        <w:t>suggests that if PEAD at the individual stock level is due to delayed stock price response, then such delayed price response remains significant at the sector level.</w:t>
      </w:r>
      <w:r w:rsidR="0097516D">
        <w:t xml:space="preserve"> </w:t>
      </w:r>
      <w:r w:rsidR="00982580">
        <w:t>Final</w:t>
      </w:r>
      <w:r w:rsidR="00C65649">
        <w:t xml:space="preserve">ly, we provide evidence that price momentum in sector indexes is largely driven by </w:t>
      </w:r>
      <w:r w:rsidR="00493884">
        <w:t xml:space="preserve">earnings momentum. Once controlling for unexpected earnings surprises, there is no </w:t>
      </w:r>
      <w:r w:rsidR="002578A6">
        <w:t xml:space="preserve">longer a </w:t>
      </w:r>
      <w:r w:rsidR="00493884">
        <w:t>significant price momentum</w:t>
      </w:r>
      <w:r w:rsidR="00B85690">
        <w:t xml:space="preserve"> </w:t>
      </w:r>
      <w:r w:rsidR="002578A6">
        <w:t xml:space="preserve">effect </w:t>
      </w:r>
      <w:r w:rsidR="00B85690">
        <w:t>in sector indexes</w:t>
      </w:r>
      <w:r w:rsidR="00493884">
        <w:t xml:space="preserve">. </w:t>
      </w:r>
    </w:p>
    <w:p w:rsidR="00E15E3D" w:rsidRPr="00C26A3C" w:rsidRDefault="00E15E3D" w:rsidP="00FE5B83">
      <w:pPr>
        <w:spacing w:line="480" w:lineRule="auto"/>
        <w:ind w:left="-540" w:right="-900"/>
        <w:contextualSpacing/>
      </w:pPr>
    </w:p>
    <w:p w:rsidR="00C26A3C" w:rsidRDefault="006F00CC" w:rsidP="00FE5B83">
      <w:pPr>
        <w:spacing w:line="480" w:lineRule="auto"/>
        <w:ind w:left="-540" w:right="-900"/>
        <w:contextualSpacing/>
        <w:rPr>
          <w:b/>
        </w:rPr>
      </w:pPr>
      <w:r>
        <w:rPr>
          <w:b/>
        </w:rPr>
        <w:t>4.</w:t>
      </w:r>
      <w:r w:rsidR="00C26A3C">
        <w:rPr>
          <w:b/>
        </w:rPr>
        <w:t xml:space="preserve"> </w:t>
      </w:r>
      <w:r w:rsidR="0057201E">
        <w:rPr>
          <w:b/>
        </w:rPr>
        <w:t xml:space="preserve">Dynamic </w:t>
      </w:r>
      <w:r w:rsidR="001223FE">
        <w:rPr>
          <w:b/>
        </w:rPr>
        <w:t xml:space="preserve">Style </w:t>
      </w:r>
      <w:r w:rsidR="00FE6146">
        <w:rPr>
          <w:b/>
        </w:rPr>
        <w:t>Portfolio</w:t>
      </w:r>
      <w:r w:rsidR="001223FE">
        <w:rPr>
          <w:b/>
        </w:rPr>
        <w:t>s</w:t>
      </w:r>
      <w:r w:rsidR="00FE6146">
        <w:rPr>
          <w:b/>
        </w:rPr>
        <w:t xml:space="preserve"> </w:t>
      </w:r>
      <w:r w:rsidR="001223FE">
        <w:rPr>
          <w:b/>
        </w:rPr>
        <w:t xml:space="preserve">Enhanced by </w:t>
      </w:r>
      <w:r w:rsidR="00687FC4">
        <w:rPr>
          <w:b/>
        </w:rPr>
        <w:t xml:space="preserve">the </w:t>
      </w:r>
      <w:r w:rsidR="00A819AB">
        <w:rPr>
          <w:b/>
        </w:rPr>
        <w:t>Momentum Effect</w:t>
      </w:r>
    </w:p>
    <w:p w:rsidR="007C24E2" w:rsidRDefault="00077323" w:rsidP="00FE5B83">
      <w:pPr>
        <w:spacing w:line="480" w:lineRule="auto"/>
        <w:ind w:left="-540" w:right="-900"/>
        <w:contextualSpacing/>
      </w:pPr>
      <w:r>
        <w:tab/>
      </w:r>
      <w:r w:rsidR="00343302">
        <w:t>The evidence documented in previous section</w:t>
      </w:r>
      <w:r w:rsidR="00F00895">
        <w:t>s</w:t>
      </w:r>
      <w:r w:rsidR="00343302">
        <w:t xml:space="preserve"> suggests that investment portfolios consisting </w:t>
      </w:r>
      <w:r w:rsidR="00F00895">
        <w:t xml:space="preserve">of </w:t>
      </w:r>
      <w:r w:rsidR="00343302">
        <w:t>style and sector indexes could potentially be enhanced by exploiting the momentum effect. However, such dynamic momentum strategies incur transaction costs as a result of portfolio rebalancing.</w:t>
      </w:r>
      <w:r w:rsidR="00392CCA">
        <w:t xml:space="preserve"> </w:t>
      </w:r>
      <w:r w:rsidR="00EA1D6B">
        <w:t xml:space="preserve">In this section, we </w:t>
      </w:r>
      <w:r w:rsidR="00343302">
        <w:t xml:space="preserve">use style indexes </w:t>
      </w:r>
      <w:r w:rsidR="00392CCA">
        <w:t xml:space="preserve">to </w:t>
      </w:r>
      <w:r w:rsidR="00343302">
        <w:t>illustrat</w:t>
      </w:r>
      <w:r w:rsidR="00392CCA">
        <w:t xml:space="preserve">e the </w:t>
      </w:r>
      <w:r w:rsidR="000241C0" w:rsidRPr="00C33779">
        <w:t xml:space="preserve">dynamic </w:t>
      </w:r>
      <w:r w:rsidR="00FB7718">
        <w:t>momentum</w:t>
      </w:r>
      <w:r w:rsidR="00FB7718" w:rsidRPr="00C33779">
        <w:t xml:space="preserve"> </w:t>
      </w:r>
      <w:r w:rsidR="00392CCA">
        <w:t>strategy and examine the effect of transaction costs on its performance</w:t>
      </w:r>
      <w:r w:rsidR="000241C0">
        <w:t xml:space="preserve">. </w:t>
      </w:r>
      <w:r w:rsidR="00392CCA">
        <w:t xml:space="preserve">Dynamic portfolios are constructed following </w:t>
      </w:r>
      <w:r w:rsidR="008A74CB">
        <w:t xml:space="preserve">the approach in </w:t>
      </w:r>
      <w:proofErr w:type="spellStart"/>
      <w:r w:rsidR="00392CCA">
        <w:t>Jegadeesh</w:t>
      </w:r>
      <w:proofErr w:type="spellEnd"/>
      <w:r w:rsidR="00392CCA">
        <w:t xml:space="preserve"> and Titman (1993). </w:t>
      </w:r>
      <w:r w:rsidR="000241C0">
        <w:t xml:space="preserve">Specifically, the dynamic </w:t>
      </w:r>
      <w:r w:rsidR="00075799">
        <w:t>portfolio</w:t>
      </w:r>
      <w:r w:rsidR="00EA1D6B">
        <w:t xml:space="preserve"> </w:t>
      </w:r>
      <w:r w:rsidR="00075799">
        <w:t xml:space="preserve">over-weighs </w:t>
      </w:r>
      <w:r w:rsidR="00865C5D">
        <w:t xml:space="preserve">style </w:t>
      </w:r>
      <w:r w:rsidR="00075799">
        <w:t xml:space="preserve">indexes in portfolio 1 </w:t>
      </w:r>
      <w:r w:rsidR="000241C0">
        <w:t xml:space="preserve">(P1) </w:t>
      </w:r>
      <w:r w:rsidR="00075799">
        <w:t>by a fixed percentage</w:t>
      </w:r>
      <w:r w:rsidR="00C542D9">
        <w:t xml:space="preserve"> (Delta)</w:t>
      </w:r>
      <w:r w:rsidR="000241C0">
        <w:t xml:space="preserve"> and under-weighs </w:t>
      </w:r>
      <w:r w:rsidR="00865C5D">
        <w:t xml:space="preserve">style </w:t>
      </w:r>
      <w:r w:rsidR="00075799">
        <w:t xml:space="preserve">indexes in portfolio 3 </w:t>
      </w:r>
      <w:r w:rsidR="000241C0">
        <w:t xml:space="preserve">(P3) </w:t>
      </w:r>
      <w:r w:rsidR="00075799">
        <w:t>by the same percentage</w:t>
      </w:r>
      <w:r w:rsidR="00865C5D">
        <w:t xml:space="preserve"> whenever the portfolio is rebalanced</w:t>
      </w:r>
      <w:r w:rsidR="00075799">
        <w:t xml:space="preserve">. We compare the </w:t>
      </w:r>
      <w:r w:rsidR="000241C0">
        <w:t>performance</w:t>
      </w:r>
      <w:r w:rsidR="006B620D">
        <w:t xml:space="preserve"> of</w:t>
      </w:r>
      <w:r w:rsidR="000241C0">
        <w:t xml:space="preserve"> </w:t>
      </w:r>
      <w:r w:rsidR="00075799">
        <w:t xml:space="preserve">this portfolio </w:t>
      </w:r>
      <w:r w:rsidR="000241C0">
        <w:t xml:space="preserve">with that </w:t>
      </w:r>
      <w:r w:rsidR="000241C0">
        <w:lastRenderedPageBreak/>
        <w:t xml:space="preserve">of a buy-and-hold passive benchmark portfolio which </w:t>
      </w:r>
      <w:r w:rsidR="00075799">
        <w:t>equal</w:t>
      </w:r>
      <w:r w:rsidR="006B620D">
        <w:t>ly</w:t>
      </w:r>
      <w:r w:rsidR="000241C0">
        <w:t xml:space="preserve"> </w:t>
      </w:r>
      <w:r w:rsidR="00075799">
        <w:t xml:space="preserve">weighs all indexes. </w:t>
      </w:r>
      <w:r w:rsidR="00A65018">
        <w:t>The</w:t>
      </w:r>
      <w:r w:rsidR="007C53DB">
        <w:t xml:space="preserve"> value of</w:t>
      </w:r>
      <w:r w:rsidR="00A65018">
        <w:t xml:space="preserve"> delta for dynamic portfolios is set to 10 percent</w:t>
      </w:r>
      <w:r w:rsidR="00865C5D">
        <w:t xml:space="preserve"> in our illustration</w:t>
      </w:r>
      <w:r w:rsidR="00A65018">
        <w:t>.</w:t>
      </w:r>
    </w:p>
    <w:p w:rsidR="004F64BD" w:rsidRDefault="00077323" w:rsidP="00FE5B83">
      <w:pPr>
        <w:spacing w:line="480" w:lineRule="auto"/>
        <w:ind w:left="-540" w:right="-900"/>
        <w:contextualSpacing/>
      </w:pPr>
      <w:r>
        <w:tab/>
      </w:r>
      <w:r w:rsidR="00E03629">
        <w:t xml:space="preserve">As noted earlier, due to the fact that holding period may be longer than the monthly rebalancing frequency, </w:t>
      </w:r>
      <w:r w:rsidR="00392CCA">
        <w:t>a</w:t>
      </w:r>
      <w:r w:rsidR="00E72DCD">
        <w:t xml:space="preserve">t </w:t>
      </w:r>
      <w:r w:rsidR="00A65018">
        <w:t xml:space="preserve">the </w:t>
      </w:r>
      <w:r w:rsidR="00A15C2F">
        <w:t>beginning</w:t>
      </w:r>
      <w:r w:rsidR="00392CCA">
        <w:t xml:space="preserve"> of each month</w:t>
      </w:r>
      <w:r w:rsidR="00A15C2F">
        <w:t xml:space="preserve"> </w:t>
      </w:r>
      <w:r w:rsidR="00E03629">
        <w:t xml:space="preserve">only </w:t>
      </w:r>
      <w:r w:rsidR="00A15C2F">
        <w:t xml:space="preserve">a </w:t>
      </w:r>
      <w:r w:rsidR="00392CCA">
        <w:t>sub-portfolio is rebalanced based on past index returns</w:t>
      </w:r>
      <w:r w:rsidR="006F4DDE">
        <w:t xml:space="preserve">. </w:t>
      </w:r>
      <w:r w:rsidR="00A15C2F">
        <w:t>For example, a</w:t>
      </w:r>
      <w:r w:rsidR="003B6115">
        <w:t xml:space="preserve"> portfolio</w:t>
      </w:r>
      <w:r w:rsidR="00A15C2F">
        <w:t xml:space="preserve"> with 6-month holding period</w:t>
      </w:r>
      <w:r w:rsidR="00535018">
        <w:t xml:space="preserve"> </w:t>
      </w:r>
      <w:r w:rsidR="00392CCA">
        <w:t>consist</w:t>
      </w:r>
      <w:r w:rsidR="00963E4E">
        <w:t>s</w:t>
      </w:r>
      <w:r w:rsidR="00392CCA">
        <w:t xml:space="preserve"> of </w:t>
      </w:r>
      <w:r w:rsidR="003B6115">
        <w:t>6 sub-portfolios</w:t>
      </w:r>
      <w:r w:rsidR="00E03629">
        <w:t xml:space="preserve"> with overlapping holding periods</w:t>
      </w:r>
      <w:r w:rsidR="003B6115">
        <w:t xml:space="preserve">. </w:t>
      </w:r>
      <w:r w:rsidR="00963E4E">
        <w:t>At</w:t>
      </w:r>
      <w:r w:rsidR="008B57FF">
        <w:t xml:space="preserve"> </w:t>
      </w:r>
      <w:r w:rsidR="00E03629">
        <w:t xml:space="preserve">the beginning of each </w:t>
      </w:r>
      <w:r w:rsidR="00A202BD">
        <w:t xml:space="preserve">month </w:t>
      </w:r>
      <w:r w:rsidR="007913D4">
        <w:t>o</w:t>
      </w:r>
      <w:r w:rsidR="00A202BD">
        <w:t xml:space="preserve">ne of </w:t>
      </w:r>
      <w:r w:rsidR="00E03629">
        <w:t xml:space="preserve">the 6 </w:t>
      </w:r>
      <w:r w:rsidR="00A202BD">
        <w:t>sub-portfolios is</w:t>
      </w:r>
      <w:r w:rsidR="008B57FF">
        <w:t xml:space="preserve"> rebalanc</w:t>
      </w:r>
      <w:r w:rsidR="007913D4">
        <w:t xml:space="preserve">ed </w:t>
      </w:r>
      <w:r w:rsidR="00E03629">
        <w:t xml:space="preserve">such that the </w:t>
      </w:r>
      <w:r w:rsidR="0057591D">
        <w:t>weight on</w:t>
      </w:r>
      <w:r w:rsidR="00963E4E">
        <w:t xml:space="preserve"> the</w:t>
      </w:r>
      <w:r w:rsidR="0057591D">
        <w:t xml:space="preserve"> </w:t>
      </w:r>
      <w:r w:rsidR="00D26142">
        <w:t>indexes in P1</w:t>
      </w:r>
      <w:r w:rsidR="0057591D">
        <w:t xml:space="preserve"> </w:t>
      </w:r>
      <w:r w:rsidR="00E03629">
        <w:t xml:space="preserve">is </w:t>
      </w:r>
      <w:r w:rsidR="0057591D">
        <w:t xml:space="preserve">10 percent </w:t>
      </w:r>
      <w:r w:rsidR="00E03629">
        <w:t>higher and the weight on</w:t>
      </w:r>
      <w:r w:rsidR="00963E4E">
        <w:t xml:space="preserve"> the</w:t>
      </w:r>
      <w:r w:rsidR="00E03629">
        <w:t xml:space="preserve"> </w:t>
      </w:r>
      <w:r w:rsidR="00D26142">
        <w:t>indexes in P3</w:t>
      </w:r>
      <w:r w:rsidR="0057591D">
        <w:t xml:space="preserve"> </w:t>
      </w:r>
      <w:r w:rsidR="00E03629">
        <w:t xml:space="preserve">is 10% lower </w:t>
      </w:r>
      <w:r w:rsidR="0057591D">
        <w:t>relative to the equally-weighted benchmark portfolio</w:t>
      </w:r>
      <w:r w:rsidR="003D365D">
        <w:t>.</w:t>
      </w:r>
      <w:r w:rsidR="007913D4">
        <w:t xml:space="preserve"> </w:t>
      </w:r>
      <w:r w:rsidR="00A65018">
        <w:t>For each dynamic portfolio, we consider two cases: (</w:t>
      </w:r>
      <w:proofErr w:type="spellStart"/>
      <w:r w:rsidR="00A65018">
        <w:t>i</w:t>
      </w:r>
      <w:proofErr w:type="spellEnd"/>
      <w:r w:rsidR="00A65018">
        <w:t xml:space="preserve">) there </w:t>
      </w:r>
      <w:r w:rsidR="00865C5D">
        <w:t>are</w:t>
      </w:r>
      <w:r w:rsidR="00A65018">
        <w:t xml:space="preserve"> no transaction cost</w:t>
      </w:r>
      <w:r w:rsidR="00865C5D">
        <w:t>s</w:t>
      </w:r>
      <w:r w:rsidR="00A65018">
        <w:t xml:space="preserve">, and (ii) there are transaction costs. </w:t>
      </w:r>
      <w:r w:rsidR="002313F5">
        <w:t xml:space="preserve">According to </w:t>
      </w:r>
      <w:proofErr w:type="spellStart"/>
      <w:r w:rsidR="002313F5" w:rsidRPr="0040588F">
        <w:t>Bhardwaj</w:t>
      </w:r>
      <w:proofErr w:type="spellEnd"/>
      <w:r w:rsidR="002313F5" w:rsidRPr="0040588F">
        <w:t xml:space="preserve"> and Brooks (1992)</w:t>
      </w:r>
      <w:r w:rsidR="002313F5">
        <w:t>, w</w:t>
      </w:r>
      <w:r w:rsidR="00A65018">
        <w:t>e assume a 20 bps transaction cost for a round trade.</w:t>
      </w:r>
      <w:r w:rsidR="00E03629" w:rsidRPr="00E03629">
        <w:rPr>
          <w:rStyle w:val="FootnoteReference"/>
        </w:rPr>
        <w:t xml:space="preserve"> </w:t>
      </w:r>
      <w:r w:rsidR="00E03629">
        <w:rPr>
          <w:rStyle w:val="FootnoteReference"/>
        </w:rPr>
        <w:footnoteReference w:id="4"/>
      </w:r>
      <w:r w:rsidR="00A65018">
        <w:t xml:space="preserve"> </w:t>
      </w:r>
      <w:r w:rsidR="007C24E2">
        <w:t xml:space="preserve">For simplicity, when a sub-portfolio in a </w:t>
      </w:r>
      <w:r w:rsidR="00ED7FD1">
        <w:t>dynamic</w:t>
      </w:r>
      <w:r w:rsidR="007C24E2">
        <w:t xml:space="preserve"> portfolio </w:t>
      </w:r>
      <w:r w:rsidR="008024B8">
        <w:t>is</w:t>
      </w:r>
      <w:r w:rsidR="006F7845">
        <w:t xml:space="preserve"> rebalanced</w:t>
      </w:r>
      <w:r w:rsidR="007C24E2">
        <w:t>, we assume that th</w:t>
      </w:r>
      <w:r w:rsidR="00D26142">
        <w:t>e indexes in this</w:t>
      </w:r>
      <w:r w:rsidR="007C24E2">
        <w:t xml:space="preserve"> sub-portfolio </w:t>
      </w:r>
      <w:r w:rsidR="00D26142">
        <w:t>are</w:t>
      </w:r>
      <w:r w:rsidR="007C24E2">
        <w:t xml:space="preserve"> </w:t>
      </w:r>
      <w:r w:rsidR="00535018">
        <w:t>entirely replaced</w:t>
      </w:r>
      <w:r w:rsidR="009158B1">
        <w:t xml:space="preserve">. </w:t>
      </w:r>
      <w:r w:rsidR="00D1190A">
        <w:t>Note that i</w:t>
      </w:r>
      <w:r w:rsidR="009158B1">
        <w:t>n this way we somehow inflate the transaction cost</w:t>
      </w:r>
      <w:r w:rsidR="00535018">
        <w:t>s</w:t>
      </w:r>
      <w:r w:rsidR="009158B1">
        <w:t xml:space="preserve"> since it </w:t>
      </w:r>
      <w:r w:rsidR="00535018">
        <w:t>may</w:t>
      </w:r>
      <w:r w:rsidR="009158B1">
        <w:t xml:space="preserve"> not be necessary to</w:t>
      </w:r>
      <w:r w:rsidR="007C24E2">
        <w:t xml:space="preserve"> </w:t>
      </w:r>
      <w:r w:rsidR="00A65018">
        <w:t>rebalance 100% of a</w:t>
      </w:r>
      <w:r w:rsidR="009158B1">
        <w:t xml:space="preserve"> sub-portfolio.</w:t>
      </w:r>
      <w:r w:rsidR="004F64BD">
        <w:t xml:space="preserve"> </w:t>
      </w:r>
      <w:r w:rsidR="00865C5D">
        <w:t>Thus, the results presented here are more conservative than in practical situations.</w:t>
      </w:r>
    </w:p>
    <w:p w:rsidR="0069662A" w:rsidRDefault="00077323" w:rsidP="00FE5B83">
      <w:pPr>
        <w:spacing w:line="480" w:lineRule="auto"/>
        <w:ind w:left="-540" w:right="-900"/>
        <w:contextualSpacing/>
      </w:pPr>
      <w:r>
        <w:tab/>
      </w:r>
      <w:r w:rsidR="00A65018">
        <w:t>Figure 1 plot</w:t>
      </w:r>
      <w:r w:rsidR="00A55CCE">
        <w:t>s</w:t>
      </w:r>
      <w:r w:rsidR="00A65018">
        <w:t xml:space="preserve"> the </w:t>
      </w:r>
      <w:r w:rsidR="00A55CCE">
        <w:t xml:space="preserve">performance </w:t>
      </w:r>
      <w:r w:rsidR="00A65018">
        <w:t xml:space="preserve">of dynamic </w:t>
      </w:r>
      <w:r w:rsidR="00A55CCE">
        <w:t xml:space="preserve">price momentum </w:t>
      </w:r>
      <w:r w:rsidR="00A65018">
        <w:t xml:space="preserve">portfolios of style indexes over the sample period. All portfolios are assumed to be one dollar </w:t>
      </w:r>
      <w:r w:rsidR="007C53DB">
        <w:t>in the begin</w:t>
      </w:r>
      <w:r w:rsidR="00182F48">
        <w:t>n</w:t>
      </w:r>
      <w:r w:rsidR="007C53DB">
        <w:t>ing</w:t>
      </w:r>
      <w:r w:rsidR="00A65018">
        <w:t xml:space="preserve">. The portfolios in </w:t>
      </w:r>
      <w:r w:rsidR="00A55CCE">
        <w:t xml:space="preserve">Panel </w:t>
      </w:r>
      <w:r w:rsidR="00A65018">
        <w:t xml:space="preserve">1A are assumed </w:t>
      </w:r>
      <w:r w:rsidR="00963E4E">
        <w:t>without</w:t>
      </w:r>
      <w:r w:rsidR="00A65018">
        <w:t xml:space="preserve"> transaction cost</w:t>
      </w:r>
      <w:r w:rsidR="0085669A">
        <w:t>s</w:t>
      </w:r>
      <w:r w:rsidR="00A65018">
        <w:t xml:space="preserve"> and those in </w:t>
      </w:r>
      <w:r w:rsidR="00A55CCE">
        <w:t xml:space="preserve">Panel </w:t>
      </w:r>
      <w:r w:rsidR="0085669A">
        <w:t xml:space="preserve">1B </w:t>
      </w:r>
      <w:r w:rsidR="00963E4E">
        <w:t>with</w:t>
      </w:r>
      <w:r w:rsidR="00A65018">
        <w:t xml:space="preserve"> transaction cost</w:t>
      </w:r>
      <w:r w:rsidR="0085669A">
        <w:t>s</w:t>
      </w:r>
      <w:r w:rsidR="00A65018">
        <w:t xml:space="preserve">. For comparison, the equally-weighted benchmark portfolio is also plotted in each figure. </w:t>
      </w:r>
      <w:r w:rsidR="0069662A">
        <w:t>For simplicity of presentation, we use RP and HP to denote Ranking Period and Holding Period, respectively</w:t>
      </w:r>
      <w:r w:rsidR="00A55CCE">
        <w:t xml:space="preserve">, </w:t>
      </w:r>
      <w:proofErr w:type="gramStart"/>
      <w:r w:rsidR="00A55CCE">
        <w:t xml:space="preserve">and </w:t>
      </w:r>
      <w:r w:rsidR="0069662A">
        <w:t xml:space="preserve"> </w:t>
      </w:r>
      <w:r w:rsidR="0069662A" w:rsidRPr="000241C0">
        <w:rPr>
          <w:i/>
        </w:rPr>
        <w:t>X</w:t>
      </w:r>
      <w:proofErr w:type="gramEnd"/>
      <w:r w:rsidR="0069662A">
        <w:t xml:space="preserve"> and </w:t>
      </w:r>
      <w:r w:rsidR="0069662A" w:rsidRPr="000241C0">
        <w:rPr>
          <w:i/>
        </w:rPr>
        <w:t>Y</w:t>
      </w:r>
      <w:r w:rsidR="0069662A">
        <w:t xml:space="preserve"> </w:t>
      </w:r>
      <w:r w:rsidR="0019052B">
        <w:t xml:space="preserve">to </w:t>
      </w:r>
      <w:r w:rsidR="0069662A">
        <w:t>indicate the number of months</w:t>
      </w:r>
      <w:r w:rsidR="0019052B">
        <w:t xml:space="preserve"> </w:t>
      </w:r>
      <w:r w:rsidR="00A55CCE">
        <w:t xml:space="preserve">for the </w:t>
      </w:r>
      <w:r w:rsidR="0069662A">
        <w:t xml:space="preserve">ranking period and the number of months </w:t>
      </w:r>
      <w:r w:rsidR="00A55CCE">
        <w:t xml:space="preserve">for the </w:t>
      </w:r>
      <w:r w:rsidR="0069662A">
        <w:t>holding period</w:t>
      </w:r>
      <w:r w:rsidR="00535018">
        <w:t>,</w:t>
      </w:r>
      <w:r w:rsidR="00F83A4E">
        <w:t xml:space="preserve"> respectively</w:t>
      </w:r>
      <w:r w:rsidR="0069662A">
        <w:t>. Thus, the notation RP</w:t>
      </w:r>
      <w:r w:rsidR="0069662A">
        <w:rPr>
          <w:i/>
        </w:rPr>
        <w:t>X</w:t>
      </w:r>
      <w:r w:rsidR="0069662A">
        <w:t>HP</w:t>
      </w:r>
      <w:r w:rsidR="0069662A">
        <w:rPr>
          <w:i/>
        </w:rPr>
        <w:t>Y</w:t>
      </w:r>
      <w:r w:rsidR="0069662A">
        <w:t xml:space="preserve"> represents a momentum strategy based on </w:t>
      </w:r>
      <w:r w:rsidR="0069662A" w:rsidRPr="000241C0">
        <w:rPr>
          <w:i/>
        </w:rPr>
        <w:t>X</w:t>
      </w:r>
      <w:r w:rsidR="0069662A">
        <w:t xml:space="preserve">-month ranking period </w:t>
      </w:r>
      <w:r w:rsidR="00535018">
        <w:t>and</w:t>
      </w:r>
      <w:r w:rsidR="0069662A">
        <w:t xml:space="preserve"> </w:t>
      </w:r>
      <w:r w:rsidR="0069662A" w:rsidRPr="000241C0">
        <w:rPr>
          <w:i/>
        </w:rPr>
        <w:t>Y</w:t>
      </w:r>
      <w:r w:rsidR="0069662A">
        <w:t>-month holding period.</w:t>
      </w:r>
    </w:p>
    <w:p w:rsidR="00181479" w:rsidRDefault="00077323" w:rsidP="00EB502C">
      <w:pPr>
        <w:spacing w:line="480" w:lineRule="auto"/>
        <w:ind w:left="-540" w:right="-900"/>
        <w:contextualSpacing/>
      </w:pPr>
      <w:r>
        <w:lastRenderedPageBreak/>
        <w:tab/>
      </w:r>
      <w:r w:rsidR="00A55CCE">
        <w:t>Overall, the plots show that dynamic portfolios generate excess returns over the equally-weighted benchmark portfolio</w:t>
      </w:r>
      <w:r w:rsidR="002E3355">
        <w:t>, even after adjusting for transaction costs. As expected, t</w:t>
      </w:r>
      <w:r w:rsidR="00A55CCE">
        <w:t xml:space="preserve">ransaction cost has </w:t>
      </w:r>
      <w:r w:rsidR="002E3355">
        <w:t xml:space="preserve">a </w:t>
      </w:r>
      <w:r w:rsidR="00A55CCE">
        <w:t>s</w:t>
      </w:r>
      <w:r w:rsidR="002E3355">
        <w:t xml:space="preserve">tronger </w:t>
      </w:r>
      <w:r w:rsidR="00A55CCE">
        <w:t xml:space="preserve">negative impact on the </w:t>
      </w:r>
      <w:r w:rsidR="002E3355">
        <w:t>performance</w:t>
      </w:r>
      <w:r w:rsidR="00A55CCE">
        <w:t xml:space="preserve"> of dynamic portfolios </w:t>
      </w:r>
      <w:r w:rsidR="002E3355">
        <w:t xml:space="preserve">with </w:t>
      </w:r>
      <w:r w:rsidR="00A55CCE">
        <w:t>short</w:t>
      </w:r>
      <w:r w:rsidR="002E3355">
        <w:t>er</w:t>
      </w:r>
      <w:r w:rsidR="00A55CCE">
        <w:t xml:space="preserve"> holding periods. Panel 1</w:t>
      </w:r>
      <w:r w:rsidR="00F00895">
        <w:t xml:space="preserve">A shows that before </w:t>
      </w:r>
      <w:r w:rsidR="00A71064">
        <w:t>transaction cost</w:t>
      </w:r>
      <w:r w:rsidR="00F00895">
        <w:t>s</w:t>
      </w:r>
      <w:r w:rsidR="00A71064">
        <w:t xml:space="preserve">, </w:t>
      </w:r>
      <w:r w:rsidR="009E59FD">
        <w:t xml:space="preserve">the </w:t>
      </w:r>
      <w:r w:rsidR="00142D08">
        <w:t>dynamic</w:t>
      </w:r>
      <w:r w:rsidR="009E59FD">
        <w:t xml:space="preserve"> portfolio with</w:t>
      </w:r>
      <w:r w:rsidR="00BC511A">
        <w:t xml:space="preserve"> a</w:t>
      </w:r>
      <w:r w:rsidR="009E59FD">
        <w:t xml:space="preserve"> 1</w:t>
      </w:r>
      <w:r w:rsidR="00BC511A">
        <w:t>-month</w:t>
      </w:r>
      <w:r w:rsidR="009E59FD">
        <w:t xml:space="preserve"> </w:t>
      </w:r>
      <w:r w:rsidR="00A71064">
        <w:t>holding period ha</w:t>
      </w:r>
      <w:r w:rsidR="00BC511A">
        <w:t>s</w:t>
      </w:r>
      <w:r w:rsidR="00A71064">
        <w:t xml:space="preserve"> the best performance</w:t>
      </w:r>
      <w:r w:rsidR="009E59FD">
        <w:t xml:space="preserve">. </w:t>
      </w:r>
      <w:r w:rsidR="002E3355">
        <w:t>However, as shown in Panel B, a</w:t>
      </w:r>
      <w:r w:rsidR="009E59FD">
        <w:t xml:space="preserve">fter </w:t>
      </w:r>
      <w:r w:rsidR="002E3355">
        <w:t>ac</w:t>
      </w:r>
      <w:r w:rsidR="009E59FD">
        <w:t>counting for transaction cost</w:t>
      </w:r>
      <w:r w:rsidR="00F00895">
        <w:t>s</w:t>
      </w:r>
      <w:r w:rsidR="009E59FD">
        <w:t xml:space="preserve">, the </w:t>
      </w:r>
      <w:r w:rsidR="002E3355">
        <w:t xml:space="preserve">terminal </w:t>
      </w:r>
      <w:r w:rsidR="009E59FD">
        <w:t>value</w:t>
      </w:r>
      <w:r w:rsidR="00543623">
        <w:t xml:space="preserve"> of</w:t>
      </w:r>
      <w:r w:rsidR="009E59FD">
        <w:t xml:space="preserve"> th</w:t>
      </w:r>
      <w:r w:rsidR="00AB54C3">
        <w:t>is portfolio</w:t>
      </w:r>
      <w:r w:rsidR="009E59FD">
        <w:t xml:space="preserve"> drop</w:t>
      </w:r>
      <w:r w:rsidR="00543623">
        <w:t>s</w:t>
      </w:r>
      <w:r w:rsidR="009E59FD">
        <w:t xml:space="preserve"> f</w:t>
      </w:r>
      <w:r w:rsidR="004E09E0">
        <w:t>ro</w:t>
      </w:r>
      <w:r w:rsidR="009E59FD">
        <w:t>m a</w:t>
      </w:r>
      <w:r w:rsidR="002E3355">
        <w:t xml:space="preserve">bout </w:t>
      </w:r>
      <w:r w:rsidR="009E59FD">
        <w:t>3.75 to below 3</w:t>
      </w:r>
      <w:r w:rsidR="00142D08">
        <w:t>.</w:t>
      </w:r>
      <w:r w:rsidR="00EB502C">
        <w:t xml:space="preserve"> </w:t>
      </w:r>
      <w:r w:rsidR="006B45AA">
        <w:t>In</w:t>
      </w:r>
      <w:r w:rsidR="00EB502C">
        <w:t>stead</w:t>
      </w:r>
      <w:r w:rsidR="006B45AA">
        <w:t>,</w:t>
      </w:r>
      <w:r w:rsidR="00532D75">
        <w:t xml:space="preserve"> </w:t>
      </w:r>
      <w:r w:rsidR="00D8191F">
        <w:t>dynamic</w:t>
      </w:r>
      <w:r w:rsidR="00532D75">
        <w:t xml:space="preserve"> portfolios with 3</w:t>
      </w:r>
      <w:r w:rsidR="009F32DE">
        <w:t>-month</w:t>
      </w:r>
      <w:r w:rsidR="00532D75">
        <w:t xml:space="preserve"> </w:t>
      </w:r>
      <w:r w:rsidR="006B45AA">
        <w:t xml:space="preserve">and </w:t>
      </w:r>
      <w:r w:rsidR="00532D75">
        <w:t>6-month holding period</w:t>
      </w:r>
      <w:r w:rsidR="006B45AA">
        <w:t xml:space="preserve">s have better performance </w:t>
      </w:r>
      <w:r w:rsidR="005A7532">
        <w:t>than those with 1</w:t>
      </w:r>
      <w:r w:rsidR="009F32DE">
        <w:t>-month</w:t>
      </w:r>
      <w:r w:rsidR="005A7532">
        <w:t xml:space="preserve"> or 12-month holding period.</w:t>
      </w:r>
      <w:r w:rsidR="00532D75">
        <w:t xml:space="preserve">    </w:t>
      </w:r>
    </w:p>
    <w:p w:rsidR="00B3165B" w:rsidRDefault="00B3165B" w:rsidP="00FE5B83">
      <w:pPr>
        <w:spacing w:line="480" w:lineRule="auto"/>
        <w:ind w:left="-540" w:right="-900"/>
        <w:contextualSpacing/>
      </w:pPr>
    </w:p>
    <w:p w:rsidR="00564F53" w:rsidRPr="00564F53" w:rsidRDefault="006F00CC" w:rsidP="00FE5B83">
      <w:pPr>
        <w:spacing w:line="480" w:lineRule="auto"/>
        <w:ind w:left="-540" w:right="-900"/>
        <w:contextualSpacing/>
        <w:rPr>
          <w:b/>
        </w:rPr>
      </w:pPr>
      <w:r>
        <w:rPr>
          <w:b/>
        </w:rPr>
        <w:t>5</w:t>
      </w:r>
      <w:r w:rsidR="00564F53" w:rsidRPr="00564F53">
        <w:rPr>
          <w:b/>
        </w:rPr>
        <w:t>. Conclusion</w:t>
      </w:r>
    </w:p>
    <w:p w:rsidR="001E5C48" w:rsidRDefault="00077323" w:rsidP="00257569">
      <w:pPr>
        <w:spacing w:line="480" w:lineRule="auto"/>
        <w:ind w:left="-540" w:right="-900"/>
        <w:contextualSpacing/>
        <w:rPr>
          <w:b/>
        </w:rPr>
      </w:pPr>
      <w:r>
        <w:rPr>
          <w:lang w:eastAsia="en-US"/>
        </w:rPr>
        <w:tab/>
      </w:r>
      <w:r w:rsidR="0010006F">
        <w:rPr>
          <w:lang w:eastAsia="en-US"/>
        </w:rPr>
        <w:t xml:space="preserve">In this paper, we </w:t>
      </w:r>
      <w:r w:rsidR="00257569">
        <w:rPr>
          <w:lang w:eastAsia="en-US"/>
        </w:rPr>
        <w:t>show that there are significant price effects for both</w:t>
      </w:r>
      <w:r w:rsidR="0010006F">
        <w:rPr>
          <w:lang w:eastAsia="en-US"/>
        </w:rPr>
        <w:t xml:space="preserve"> Morningstar </w:t>
      </w:r>
      <w:r w:rsidR="00F00895">
        <w:rPr>
          <w:lang w:eastAsia="en-US"/>
        </w:rPr>
        <w:t>S</w:t>
      </w:r>
      <w:r w:rsidR="0010006F">
        <w:rPr>
          <w:lang w:eastAsia="en-US"/>
        </w:rPr>
        <w:t xml:space="preserve">tyle </w:t>
      </w:r>
      <w:r w:rsidR="00F00895">
        <w:rPr>
          <w:lang w:eastAsia="en-US"/>
        </w:rPr>
        <w:t>I</w:t>
      </w:r>
      <w:r w:rsidR="0010006F">
        <w:rPr>
          <w:lang w:eastAsia="en-US"/>
        </w:rPr>
        <w:t xml:space="preserve">ndexes and </w:t>
      </w:r>
      <w:r w:rsidR="00F00895">
        <w:rPr>
          <w:lang w:eastAsia="en-US"/>
        </w:rPr>
        <w:t>Morningstar S</w:t>
      </w:r>
      <w:r w:rsidR="0010006F">
        <w:rPr>
          <w:lang w:eastAsia="en-US"/>
        </w:rPr>
        <w:t xml:space="preserve">ector </w:t>
      </w:r>
      <w:r w:rsidR="00F00895">
        <w:rPr>
          <w:lang w:eastAsia="en-US"/>
        </w:rPr>
        <w:t>I</w:t>
      </w:r>
      <w:r w:rsidR="0010006F">
        <w:rPr>
          <w:lang w:eastAsia="en-US"/>
        </w:rPr>
        <w:t xml:space="preserve">ndexes </w:t>
      </w:r>
      <w:r w:rsidR="00257569">
        <w:rPr>
          <w:lang w:eastAsia="en-US"/>
        </w:rPr>
        <w:t xml:space="preserve">and </w:t>
      </w:r>
      <w:r w:rsidR="00257569">
        <w:t xml:space="preserve">significant earnings momentum effects for </w:t>
      </w:r>
      <w:r w:rsidR="00257569">
        <w:rPr>
          <w:lang w:eastAsia="en-US"/>
        </w:rPr>
        <w:t>Morningstar Sector Indexes</w:t>
      </w:r>
      <w:r w:rsidR="0010006F">
        <w:t xml:space="preserve">. </w:t>
      </w:r>
      <w:r w:rsidR="001E5C48">
        <w:t xml:space="preserve">We provide evidence that the price momentum effect in style indexes can be explained by the factor of individual stock return momentum, and the price momentum effect in sector indexes is largely driven by the earnings momentum. </w:t>
      </w:r>
      <w:r w:rsidR="00F837FC">
        <w:rPr>
          <w:lang w:eastAsia="en-US"/>
        </w:rPr>
        <w:t>Since t</w:t>
      </w:r>
      <w:r w:rsidR="000E2A18">
        <w:rPr>
          <w:lang w:eastAsia="en-US"/>
        </w:rPr>
        <w:t>he returns on</w:t>
      </w:r>
      <w:r w:rsidR="0010006F">
        <w:rPr>
          <w:lang w:eastAsia="en-US"/>
        </w:rPr>
        <w:t xml:space="preserve"> most indexes are tracked directly by exchange-traded funds (ETFs)</w:t>
      </w:r>
      <w:r w:rsidR="00F837FC">
        <w:rPr>
          <w:lang w:eastAsia="en-US"/>
        </w:rPr>
        <w:t xml:space="preserve">, such momentum strategies are implementable with </w:t>
      </w:r>
      <w:r w:rsidR="00E87C8F">
        <w:rPr>
          <w:lang w:eastAsia="en-US"/>
        </w:rPr>
        <w:t xml:space="preserve">reasonable </w:t>
      </w:r>
      <w:r w:rsidR="0010006F">
        <w:rPr>
          <w:lang w:eastAsia="en-US"/>
        </w:rPr>
        <w:t>trans</w:t>
      </w:r>
      <w:r w:rsidR="00420595">
        <w:rPr>
          <w:lang w:eastAsia="en-US"/>
        </w:rPr>
        <w:t>action costs. We show that t</w:t>
      </w:r>
      <w:r w:rsidR="0010006F">
        <w:rPr>
          <w:lang w:eastAsia="en-US"/>
        </w:rPr>
        <w:t xml:space="preserve">he momentum </w:t>
      </w:r>
      <w:r w:rsidR="00420595">
        <w:rPr>
          <w:lang w:eastAsia="en-US"/>
        </w:rPr>
        <w:t>strategy can further enhance the performance of style investing even after adjusting for transaction costs</w:t>
      </w:r>
      <w:r w:rsidR="0010006F">
        <w:rPr>
          <w:lang w:eastAsia="en-US"/>
        </w:rPr>
        <w:t>.</w:t>
      </w:r>
      <w:r w:rsidR="001E5C48">
        <w:rPr>
          <w:b/>
        </w:rPr>
        <w:br w:type="page"/>
      </w:r>
    </w:p>
    <w:p w:rsidR="00331EC1" w:rsidRDefault="003C6DE6" w:rsidP="00CF62CA">
      <w:pPr>
        <w:ind w:right="-720" w:hanging="547"/>
        <w:contextualSpacing/>
        <w:rPr>
          <w:b/>
        </w:rPr>
      </w:pPr>
      <w:r w:rsidRPr="00FA6BA8">
        <w:rPr>
          <w:b/>
        </w:rPr>
        <w:lastRenderedPageBreak/>
        <w:t>Reference</w:t>
      </w:r>
      <w:r w:rsidR="00270B19">
        <w:rPr>
          <w:b/>
        </w:rPr>
        <w:t>s</w:t>
      </w:r>
      <w:r w:rsidR="00331EC1">
        <w:rPr>
          <w:b/>
        </w:rPr>
        <w:t xml:space="preserve"> </w:t>
      </w:r>
    </w:p>
    <w:p w:rsidR="00D41CAE" w:rsidRDefault="00D41CAE" w:rsidP="00CF62CA">
      <w:pPr>
        <w:ind w:right="-720" w:hanging="547"/>
        <w:contextualSpacing/>
      </w:pPr>
    </w:p>
    <w:p w:rsidR="00711CD4" w:rsidRDefault="00711CD4" w:rsidP="00CF62CA">
      <w:pPr>
        <w:ind w:right="-720" w:hanging="547"/>
        <w:contextualSpacing/>
      </w:pPr>
    </w:p>
    <w:p w:rsidR="00BC149C" w:rsidRDefault="003C6DE6" w:rsidP="00CF62CA">
      <w:pPr>
        <w:ind w:right="-720" w:hanging="547"/>
        <w:contextualSpacing/>
      </w:pPr>
      <w:r w:rsidRPr="00267455">
        <w:t xml:space="preserve">Ball, R. and P. Brown, 1968, </w:t>
      </w:r>
      <w:proofErr w:type="gramStart"/>
      <w:r w:rsidRPr="00267455">
        <w:t>An</w:t>
      </w:r>
      <w:proofErr w:type="gramEnd"/>
      <w:r w:rsidRPr="00267455">
        <w:t xml:space="preserve"> empirical evaluation of accounting numbers, </w:t>
      </w:r>
      <w:r w:rsidRPr="00C21037">
        <w:rPr>
          <w:i/>
        </w:rPr>
        <w:t>Journal of Accounting Research</w:t>
      </w:r>
      <w:r w:rsidRPr="00267455">
        <w:t xml:space="preserve"> 6, 159-178.</w:t>
      </w:r>
    </w:p>
    <w:p w:rsidR="002658E3" w:rsidRDefault="002658E3" w:rsidP="00CF62CA">
      <w:pPr>
        <w:ind w:right="-720" w:hanging="547"/>
        <w:contextualSpacing/>
      </w:pPr>
    </w:p>
    <w:p w:rsidR="00013BA2" w:rsidRPr="00267455" w:rsidRDefault="00013BA2" w:rsidP="00CF62CA">
      <w:pPr>
        <w:ind w:right="-720" w:hanging="547"/>
        <w:contextualSpacing/>
      </w:pPr>
      <w:r w:rsidRPr="00267455">
        <w:t>Bernard, Victor L., and Jacob K. Thomas, 1989, Post-earnings-</w:t>
      </w:r>
      <w:r w:rsidR="00372AB3" w:rsidRPr="00267455">
        <w:t>a</w:t>
      </w:r>
      <w:r w:rsidR="00372AB3">
        <w:t>nnoun</w:t>
      </w:r>
      <w:r w:rsidR="00372AB3" w:rsidRPr="00267455">
        <w:t>cement</w:t>
      </w:r>
      <w:r w:rsidRPr="00267455">
        <w:t xml:space="preserve"> drift: Delayed price response or risk premium? </w:t>
      </w:r>
      <w:r w:rsidRPr="00267455">
        <w:rPr>
          <w:i/>
        </w:rPr>
        <w:t>Journal of Accounting Research</w:t>
      </w:r>
      <w:r w:rsidRPr="00267455">
        <w:t xml:space="preserve"> 27, 1-36.</w:t>
      </w:r>
    </w:p>
    <w:p w:rsidR="00916492" w:rsidRDefault="00916492" w:rsidP="00CF62CA">
      <w:pPr>
        <w:ind w:right="-720" w:hanging="547"/>
        <w:contextualSpacing/>
        <w:rPr>
          <w:lang w:eastAsia="en-US"/>
        </w:rPr>
      </w:pPr>
    </w:p>
    <w:p w:rsidR="002658E3" w:rsidRDefault="00BC149C" w:rsidP="00CF62CA">
      <w:pPr>
        <w:ind w:right="-720" w:hanging="547"/>
        <w:contextualSpacing/>
      </w:pPr>
      <w:proofErr w:type="spellStart"/>
      <w:r w:rsidRPr="00267455">
        <w:t>Bhardwaj</w:t>
      </w:r>
      <w:proofErr w:type="spellEnd"/>
      <w:r w:rsidRPr="00267455">
        <w:t xml:space="preserve">, </w:t>
      </w:r>
      <w:proofErr w:type="spellStart"/>
      <w:r w:rsidRPr="00267455">
        <w:t>Ravinder</w:t>
      </w:r>
      <w:proofErr w:type="spellEnd"/>
      <w:r w:rsidRPr="00267455">
        <w:t xml:space="preserve"> K.</w:t>
      </w:r>
      <w:r w:rsidR="00A32B50">
        <w:t>,</w:t>
      </w:r>
      <w:r w:rsidRPr="00267455">
        <w:t xml:space="preserve"> and Leroy D. Brooks</w:t>
      </w:r>
      <w:r w:rsidR="00BB7A7B" w:rsidRPr="00267455">
        <w:t>, 1992,</w:t>
      </w:r>
      <w:r w:rsidRPr="00267455">
        <w:t xml:space="preserve"> </w:t>
      </w:r>
      <w:proofErr w:type="gramStart"/>
      <w:r w:rsidRPr="00267455">
        <w:t>The</w:t>
      </w:r>
      <w:proofErr w:type="gramEnd"/>
      <w:r w:rsidRPr="00267455">
        <w:t xml:space="preserve"> January Anomaly: Effects of Low Share Price, </w:t>
      </w:r>
      <w:r w:rsidR="00E45C9D">
        <w:t>T</w:t>
      </w:r>
      <w:r w:rsidRPr="00267455">
        <w:t xml:space="preserve">ransaction Costs, and Bid-Ask Bias, </w:t>
      </w:r>
      <w:r w:rsidRPr="00A32B50">
        <w:rPr>
          <w:i/>
        </w:rPr>
        <w:t>Journal of Finance</w:t>
      </w:r>
      <w:r w:rsidRPr="00267455">
        <w:t xml:space="preserve"> 47, 553-575. </w:t>
      </w:r>
    </w:p>
    <w:p w:rsidR="002658E3" w:rsidRDefault="002658E3" w:rsidP="00CF62CA">
      <w:pPr>
        <w:ind w:right="-720" w:hanging="547"/>
        <w:contextualSpacing/>
      </w:pPr>
    </w:p>
    <w:p w:rsidR="002658E3" w:rsidRDefault="002658E3" w:rsidP="00CF62CA">
      <w:pPr>
        <w:ind w:right="-720" w:hanging="547"/>
        <w:contextualSpacing/>
      </w:pPr>
      <w:r>
        <w:t xml:space="preserve">Brown, S., and W. </w:t>
      </w:r>
      <w:proofErr w:type="spellStart"/>
      <w:r>
        <w:t>Goetzmann</w:t>
      </w:r>
      <w:proofErr w:type="spellEnd"/>
      <w:r>
        <w:t xml:space="preserve">, 1997, Mutual fund styles, </w:t>
      </w:r>
      <w:r w:rsidRPr="00353B38">
        <w:rPr>
          <w:i/>
        </w:rPr>
        <w:t>Journal of Financial Economics</w:t>
      </w:r>
      <w:r>
        <w:t xml:space="preserve"> 43, 373–399.</w:t>
      </w:r>
    </w:p>
    <w:p w:rsidR="002658E3" w:rsidRDefault="002658E3" w:rsidP="00CF62CA">
      <w:pPr>
        <w:ind w:right="-720" w:hanging="547"/>
        <w:contextualSpacing/>
      </w:pPr>
    </w:p>
    <w:p w:rsidR="002658E3" w:rsidRDefault="002658E3" w:rsidP="00CF62CA">
      <w:pPr>
        <w:ind w:right="-720" w:hanging="547"/>
        <w:contextualSpacing/>
      </w:pPr>
      <w:r>
        <w:t xml:space="preserve">Brown, S., and W. </w:t>
      </w:r>
      <w:proofErr w:type="spellStart"/>
      <w:r>
        <w:t>Goetzmann</w:t>
      </w:r>
      <w:proofErr w:type="spellEnd"/>
      <w:r>
        <w:t xml:space="preserve">, 2001, Hedge funds with styles, </w:t>
      </w:r>
      <w:proofErr w:type="gramStart"/>
      <w:r w:rsidRPr="00353B38">
        <w:rPr>
          <w:i/>
        </w:rPr>
        <w:t>Unpublished</w:t>
      </w:r>
      <w:proofErr w:type="gramEnd"/>
      <w:r w:rsidRPr="00353B38">
        <w:rPr>
          <w:i/>
        </w:rPr>
        <w:t xml:space="preserve"> working paper</w:t>
      </w:r>
      <w:r>
        <w:t>, Yale University.</w:t>
      </w:r>
    </w:p>
    <w:p w:rsidR="002658E3" w:rsidRPr="00267455" w:rsidRDefault="002658E3" w:rsidP="00CF62CA">
      <w:pPr>
        <w:ind w:right="-720" w:hanging="547"/>
        <w:contextualSpacing/>
      </w:pPr>
    </w:p>
    <w:p w:rsidR="00DB0FF6" w:rsidRDefault="00DB0FF6" w:rsidP="00CF62CA">
      <w:pPr>
        <w:ind w:right="-720" w:hanging="547"/>
        <w:contextualSpacing/>
      </w:pPr>
      <w:proofErr w:type="spellStart"/>
      <w:r w:rsidRPr="00DB0FF6">
        <w:t>Carhart</w:t>
      </w:r>
      <w:proofErr w:type="spellEnd"/>
      <w:r w:rsidRPr="00DB0FF6">
        <w:t>, Mark M.</w:t>
      </w:r>
      <w:r w:rsidR="007C666C">
        <w:t xml:space="preserve">, 1997, </w:t>
      </w:r>
      <w:r w:rsidRPr="00DB0FF6">
        <w:t>On Persiste</w:t>
      </w:r>
      <w:r w:rsidR="007C666C">
        <w:t>nce in Mutual Fund Performance</w:t>
      </w:r>
      <w:r w:rsidR="00A32B50">
        <w:t>,</w:t>
      </w:r>
      <w:r w:rsidR="007C666C">
        <w:t xml:space="preserve"> </w:t>
      </w:r>
      <w:r w:rsidR="007C666C" w:rsidRPr="00A32B50">
        <w:rPr>
          <w:i/>
        </w:rPr>
        <w:t>Journal of Finance</w:t>
      </w:r>
      <w:r w:rsidR="007C666C">
        <w:t xml:space="preserve"> 52</w:t>
      </w:r>
      <w:r w:rsidRPr="00DB0FF6">
        <w:t>, 57-82.</w:t>
      </w:r>
    </w:p>
    <w:p w:rsidR="00DB0FF6" w:rsidRPr="00DB0FF6" w:rsidRDefault="00DB0FF6" w:rsidP="00CF62CA">
      <w:pPr>
        <w:ind w:right="-720" w:hanging="547"/>
        <w:contextualSpacing/>
      </w:pPr>
    </w:p>
    <w:p w:rsidR="002658E3" w:rsidRDefault="002658E3" w:rsidP="00CF62CA">
      <w:pPr>
        <w:ind w:right="-720" w:hanging="547"/>
        <w:contextualSpacing/>
      </w:pPr>
      <w:r>
        <w:t xml:space="preserve">Chan, L., H. Chen, and L. </w:t>
      </w:r>
      <w:proofErr w:type="spellStart"/>
      <w:r>
        <w:t>Lakonishok</w:t>
      </w:r>
      <w:proofErr w:type="spellEnd"/>
      <w:r>
        <w:t xml:space="preserve">, 2002, </w:t>
      </w:r>
      <w:proofErr w:type="gramStart"/>
      <w:r>
        <w:t>On</w:t>
      </w:r>
      <w:proofErr w:type="gramEnd"/>
      <w:r>
        <w:t xml:space="preserve"> mutual fund investment styles, </w:t>
      </w:r>
      <w:r w:rsidRPr="00353B38">
        <w:rPr>
          <w:i/>
        </w:rPr>
        <w:t>Review of Financial Studies</w:t>
      </w:r>
      <w:r>
        <w:t xml:space="preserve"> 15, 1407–1437.</w:t>
      </w:r>
    </w:p>
    <w:p w:rsidR="002658E3" w:rsidRDefault="002658E3" w:rsidP="00CF62CA">
      <w:pPr>
        <w:ind w:right="-720" w:hanging="547"/>
        <w:contextualSpacing/>
      </w:pPr>
    </w:p>
    <w:p w:rsidR="002658E3" w:rsidRDefault="003C6DE6" w:rsidP="00CF62CA">
      <w:pPr>
        <w:ind w:right="-720" w:hanging="547"/>
        <w:contextualSpacing/>
      </w:pPr>
      <w:proofErr w:type="spellStart"/>
      <w:r>
        <w:t>Chordia</w:t>
      </w:r>
      <w:proofErr w:type="spellEnd"/>
      <w:r>
        <w:t xml:space="preserve">, </w:t>
      </w:r>
      <w:proofErr w:type="spellStart"/>
      <w:r>
        <w:t>Tarun</w:t>
      </w:r>
      <w:proofErr w:type="spellEnd"/>
      <w:r>
        <w:t xml:space="preserve">, and </w:t>
      </w:r>
      <w:proofErr w:type="spellStart"/>
      <w:r>
        <w:t>Lakshmanan</w:t>
      </w:r>
      <w:proofErr w:type="spellEnd"/>
      <w:r>
        <w:t xml:space="preserve"> </w:t>
      </w:r>
      <w:proofErr w:type="spellStart"/>
      <w:r>
        <w:t>Shivakumar</w:t>
      </w:r>
      <w:proofErr w:type="spellEnd"/>
      <w:r>
        <w:t>, 2006</w:t>
      </w:r>
      <w:r w:rsidR="006225FE">
        <w:t>,</w:t>
      </w:r>
      <w:r>
        <w:t xml:space="preserve"> Earnings and </w:t>
      </w:r>
      <w:r w:rsidR="00B6022E">
        <w:t>P</w:t>
      </w:r>
      <w:r>
        <w:t xml:space="preserve">rice </w:t>
      </w:r>
      <w:r w:rsidR="00B6022E">
        <w:t>M</w:t>
      </w:r>
      <w:r>
        <w:t>omentum</w:t>
      </w:r>
      <w:r w:rsidR="00A32B50">
        <w:t>,</w:t>
      </w:r>
      <w:r w:rsidR="00E45C9D">
        <w:t xml:space="preserve"> </w:t>
      </w:r>
      <w:r w:rsidRPr="00A32B50">
        <w:rPr>
          <w:i/>
        </w:rPr>
        <w:t>Journal of Financial Economics</w:t>
      </w:r>
      <w:r>
        <w:t xml:space="preserve"> 80, 627–656.</w:t>
      </w:r>
      <w:r w:rsidR="002658E3" w:rsidRPr="002658E3">
        <w:t xml:space="preserve"> </w:t>
      </w:r>
    </w:p>
    <w:p w:rsidR="002658E3" w:rsidRDefault="002658E3" w:rsidP="00CF62CA">
      <w:pPr>
        <w:ind w:right="-720" w:hanging="547"/>
        <w:contextualSpacing/>
      </w:pPr>
    </w:p>
    <w:p w:rsidR="00D35E59" w:rsidRDefault="006225FE" w:rsidP="00CF62CA">
      <w:pPr>
        <w:ind w:right="-720" w:hanging="547"/>
        <w:contextualSpacing/>
      </w:pPr>
      <w:proofErr w:type="spellStart"/>
      <w:r>
        <w:t>Fama</w:t>
      </w:r>
      <w:proofErr w:type="spellEnd"/>
      <w:r>
        <w:t xml:space="preserve">, E. F., and K. R. French, 1993, </w:t>
      </w:r>
      <w:r w:rsidR="00D35E59">
        <w:t>Common Risk Factors in t</w:t>
      </w:r>
      <w:r>
        <w:t>he Returns on Stocks and Bonds,</w:t>
      </w:r>
      <w:r w:rsidR="00D35E59">
        <w:t xml:space="preserve"> </w:t>
      </w:r>
      <w:r w:rsidR="00D35E59" w:rsidRPr="00A32B50">
        <w:rPr>
          <w:i/>
        </w:rPr>
        <w:t>Journal o</w:t>
      </w:r>
      <w:r w:rsidRPr="00A32B50">
        <w:rPr>
          <w:i/>
        </w:rPr>
        <w:t>f Financial Economics</w:t>
      </w:r>
      <w:r>
        <w:t xml:space="preserve"> 33</w:t>
      </w:r>
      <w:r w:rsidR="00D35E59">
        <w:t>, 3-56.</w:t>
      </w:r>
    </w:p>
    <w:p w:rsidR="00D35E59" w:rsidRDefault="00D35E59" w:rsidP="00CF62CA">
      <w:pPr>
        <w:ind w:right="-720" w:hanging="547"/>
        <w:contextualSpacing/>
      </w:pPr>
    </w:p>
    <w:p w:rsidR="007A298C" w:rsidRPr="002658E3" w:rsidRDefault="0086199E" w:rsidP="00CF62CA">
      <w:pPr>
        <w:ind w:right="-720" w:hanging="547"/>
        <w:contextualSpacing/>
      </w:pPr>
      <w:r w:rsidRPr="002658E3">
        <w:rPr>
          <w:bCs/>
        </w:rPr>
        <w:t>Fo</w:t>
      </w:r>
      <w:r w:rsidRPr="002658E3">
        <w:t xml:space="preserve">ster, George, Chris Olsen, and Terry </w:t>
      </w:r>
      <w:proofErr w:type="spellStart"/>
      <w:r w:rsidRPr="002658E3">
        <w:t>Shevlin</w:t>
      </w:r>
      <w:proofErr w:type="spellEnd"/>
      <w:r w:rsidR="00BC149C" w:rsidRPr="002658E3">
        <w:t>, 1984</w:t>
      </w:r>
      <w:r w:rsidR="006225FE" w:rsidRPr="002658E3">
        <w:t>,</w:t>
      </w:r>
      <w:r w:rsidR="00BC149C" w:rsidRPr="002658E3">
        <w:t xml:space="preserve"> Earnings releases, anomalies and the behavior of security returns</w:t>
      </w:r>
      <w:r w:rsidR="006225FE" w:rsidRPr="002658E3">
        <w:t>,</w:t>
      </w:r>
      <w:r w:rsidR="00BC149C" w:rsidRPr="002658E3">
        <w:t xml:space="preserve"> </w:t>
      </w:r>
      <w:r w:rsidR="00BC149C" w:rsidRPr="002658E3">
        <w:rPr>
          <w:i/>
        </w:rPr>
        <w:t>The Accounting Review</w:t>
      </w:r>
      <w:r w:rsidRPr="002658E3">
        <w:t xml:space="preserve"> 59</w:t>
      </w:r>
      <w:r w:rsidR="00BC149C" w:rsidRPr="002658E3">
        <w:t xml:space="preserve">, 574–603.  </w:t>
      </w:r>
    </w:p>
    <w:p w:rsidR="00BC149C" w:rsidRPr="002658E3" w:rsidRDefault="00BC149C" w:rsidP="00CF62CA">
      <w:pPr>
        <w:ind w:right="-720" w:hanging="547"/>
        <w:contextualSpacing/>
      </w:pPr>
    </w:p>
    <w:p w:rsidR="003C6DE6" w:rsidRDefault="003C6DE6" w:rsidP="00CF62CA">
      <w:pPr>
        <w:ind w:right="-720" w:hanging="547"/>
        <w:contextualSpacing/>
      </w:pPr>
      <w:proofErr w:type="spellStart"/>
      <w:r>
        <w:t>Jegadeesh</w:t>
      </w:r>
      <w:proofErr w:type="spellEnd"/>
      <w:r>
        <w:t>, N.,</w:t>
      </w:r>
      <w:r w:rsidR="000F3BBB">
        <w:t xml:space="preserve"> and S. </w:t>
      </w:r>
      <w:r>
        <w:t>Titman, 1993</w:t>
      </w:r>
      <w:r w:rsidR="006225FE">
        <w:t>,</w:t>
      </w:r>
      <w:r>
        <w:t xml:space="preserve"> Returns to buying winners and selling losers: implications for stock market efficiency</w:t>
      </w:r>
      <w:r w:rsidR="006225FE">
        <w:t>,</w:t>
      </w:r>
      <w:r>
        <w:t xml:space="preserve"> </w:t>
      </w:r>
      <w:r w:rsidRPr="000F3BBB">
        <w:rPr>
          <w:i/>
        </w:rPr>
        <w:t>Journal of Finance</w:t>
      </w:r>
      <w:r>
        <w:t xml:space="preserve"> 48, 65–91.</w:t>
      </w:r>
    </w:p>
    <w:p w:rsidR="00BC149C" w:rsidRDefault="00BC149C" w:rsidP="00CF62CA">
      <w:pPr>
        <w:ind w:right="-720" w:hanging="547"/>
        <w:contextualSpacing/>
      </w:pPr>
    </w:p>
    <w:p w:rsidR="003C6DE6" w:rsidRDefault="003C6DE6" w:rsidP="00CF62CA">
      <w:pPr>
        <w:ind w:right="-720" w:hanging="547"/>
        <w:contextualSpacing/>
      </w:pPr>
      <w:proofErr w:type="spellStart"/>
      <w:r w:rsidRPr="00CE2F82">
        <w:t>Korajczyk</w:t>
      </w:r>
      <w:proofErr w:type="spellEnd"/>
      <w:r w:rsidRPr="00CE2F82">
        <w:t xml:space="preserve">, R., </w:t>
      </w:r>
      <w:r w:rsidR="000F3BBB" w:rsidRPr="00CE2F82">
        <w:t xml:space="preserve">and R. </w:t>
      </w:r>
      <w:proofErr w:type="spellStart"/>
      <w:r w:rsidRPr="00CE2F82">
        <w:t>Sadka</w:t>
      </w:r>
      <w:proofErr w:type="spellEnd"/>
      <w:r w:rsidRPr="00CE2F82">
        <w:t>, 2004</w:t>
      </w:r>
      <w:r w:rsidR="006225FE" w:rsidRPr="00CE2F82">
        <w:t>,</w:t>
      </w:r>
      <w:r w:rsidRPr="00CE2F82">
        <w:t xml:space="preserve"> Are momentum profits robust to trading costs? </w:t>
      </w:r>
      <w:r w:rsidRPr="000F3BBB">
        <w:rPr>
          <w:i/>
        </w:rPr>
        <w:t>Journal of Finance</w:t>
      </w:r>
      <w:r>
        <w:t xml:space="preserve"> 59, 1039–1082.</w:t>
      </w:r>
    </w:p>
    <w:p w:rsidR="00586307" w:rsidRDefault="00586307" w:rsidP="00CF62CA">
      <w:pPr>
        <w:ind w:right="-720" w:hanging="547"/>
        <w:contextualSpacing/>
      </w:pPr>
    </w:p>
    <w:p w:rsidR="00AA1699" w:rsidRDefault="00AA1699" w:rsidP="00CF62CA">
      <w:pPr>
        <w:ind w:right="-720" w:hanging="547"/>
        <w:contextualSpacing/>
      </w:pPr>
      <w:proofErr w:type="spellStart"/>
      <w:r>
        <w:t>Lesmond</w:t>
      </w:r>
      <w:proofErr w:type="spellEnd"/>
      <w:r>
        <w:t xml:space="preserve">, David A., Michael J.  </w:t>
      </w:r>
      <w:proofErr w:type="spellStart"/>
      <w:r>
        <w:t>Schill</w:t>
      </w:r>
      <w:proofErr w:type="spellEnd"/>
      <w:r>
        <w:t xml:space="preserve">, </w:t>
      </w:r>
      <w:r w:rsidR="009B0DDC">
        <w:t xml:space="preserve">and </w:t>
      </w:r>
      <w:proofErr w:type="spellStart"/>
      <w:r>
        <w:t>Chunsheng</w:t>
      </w:r>
      <w:proofErr w:type="spellEnd"/>
      <w:r>
        <w:t xml:space="preserve"> Zhou, 2004, </w:t>
      </w:r>
      <w:proofErr w:type="gramStart"/>
      <w:r>
        <w:t>The</w:t>
      </w:r>
      <w:proofErr w:type="gramEnd"/>
      <w:r>
        <w:t xml:space="preserve"> illusory nature of momentum profits, </w:t>
      </w:r>
      <w:r w:rsidRPr="008231DD">
        <w:rPr>
          <w:i/>
        </w:rPr>
        <w:t>Journal of Financial Economics</w:t>
      </w:r>
      <w:r>
        <w:t xml:space="preserve"> 71, 349–380</w:t>
      </w:r>
    </w:p>
    <w:p w:rsidR="009440A3" w:rsidRDefault="009440A3" w:rsidP="00CF62CA">
      <w:pPr>
        <w:ind w:right="-720" w:hanging="547"/>
        <w:contextualSpacing/>
      </w:pPr>
    </w:p>
    <w:p w:rsidR="008369B6" w:rsidRDefault="008369B6" w:rsidP="00CF62CA">
      <w:pPr>
        <w:ind w:right="-720" w:hanging="547"/>
        <w:contextualSpacing/>
      </w:pPr>
      <w:r>
        <w:t xml:space="preserve">Levis, M., and M. </w:t>
      </w:r>
      <w:proofErr w:type="spellStart"/>
      <w:r>
        <w:t>Liodakis</w:t>
      </w:r>
      <w:proofErr w:type="spellEnd"/>
      <w:r>
        <w:t xml:space="preserve">, 1999, </w:t>
      </w:r>
      <w:proofErr w:type="gramStart"/>
      <w:r>
        <w:t>The</w:t>
      </w:r>
      <w:proofErr w:type="gramEnd"/>
      <w:r>
        <w:t xml:space="preserve"> </w:t>
      </w:r>
      <w:r w:rsidR="00B6022E">
        <w:t>P</w:t>
      </w:r>
      <w:r>
        <w:t xml:space="preserve">rofitability of </w:t>
      </w:r>
      <w:r w:rsidR="00B6022E">
        <w:t>S</w:t>
      </w:r>
      <w:r>
        <w:t xml:space="preserve">tyle </w:t>
      </w:r>
      <w:r w:rsidR="00B6022E">
        <w:t>R</w:t>
      </w:r>
      <w:r>
        <w:t xml:space="preserve">otation </w:t>
      </w:r>
      <w:r w:rsidR="00B6022E">
        <w:t>S</w:t>
      </w:r>
      <w:r>
        <w:t xml:space="preserve">trategies in the United Kingdom, </w:t>
      </w:r>
      <w:r w:rsidRPr="00194F76">
        <w:rPr>
          <w:i/>
        </w:rPr>
        <w:t>Journal of Portfolio Management</w:t>
      </w:r>
      <w:r>
        <w:t xml:space="preserve"> (Fall), 73</w:t>
      </w:r>
      <w:r w:rsidRPr="008231DD">
        <w:t>-</w:t>
      </w:r>
      <w:r>
        <w:t>86.</w:t>
      </w:r>
    </w:p>
    <w:p w:rsidR="008369B6" w:rsidRDefault="008369B6" w:rsidP="00CF62CA">
      <w:pPr>
        <w:ind w:right="-720" w:hanging="547"/>
        <w:contextualSpacing/>
      </w:pPr>
    </w:p>
    <w:p w:rsidR="0024197F" w:rsidRDefault="0024197F" w:rsidP="00CF62CA">
      <w:pPr>
        <w:ind w:right="-720" w:hanging="547"/>
        <w:contextualSpacing/>
      </w:pPr>
      <w:proofErr w:type="spellStart"/>
      <w:r>
        <w:t>Lintner</w:t>
      </w:r>
      <w:proofErr w:type="spellEnd"/>
      <w:r>
        <w:t xml:space="preserve">, John, 1965, </w:t>
      </w:r>
      <w:proofErr w:type="gramStart"/>
      <w:r>
        <w:t>The</w:t>
      </w:r>
      <w:proofErr w:type="gramEnd"/>
      <w:r>
        <w:t xml:space="preserve"> </w:t>
      </w:r>
      <w:r w:rsidR="00B6022E">
        <w:t>V</w:t>
      </w:r>
      <w:r>
        <w:t xml:space="preserve">aluation of </w:t>
      </w:r>
      <w:r w:rsidR="00B6022E">
        <w:t>R</w:t>
      </w:r>
      <w:r>
        <w:t>isk</w:t>
      </w:r>
      <w:r w:rsidR="00B6022E">
        <w:t>y</w:t>
      </w:r>
      <w:r>
        <w:t xml:space="preserve"> </w:t>
      </w:r>
      <w:r w:rsidR="00B6022E">
        <w:t>A</w:t>
      </w:r>
      <w:r>
        <w:t xml:space="preserve">ssets and the </w:t>
      </w:r>
      <w:r w:rsidR="00B6022E">
        <w:t>S</w:t>
      </w:r>
      <w:r>
        <w:t xml:space="preserve">election of </w:t>
      </w:r>
      <w:r w:rsidR="00B6022E">
        <w:t>R</w:t>
      </w:r>
      <w:r>
        <w:t xml:space="preserve">isky </w:t>
      </w:r>
      <w:r w:rsidR="00B6022E">
        <w:t>I</w:t>
      </w:r>
      <w:r>
        <w:t xml:space="preserve">nvestments in </w:t>
      </w:r>
      <w:r w:rsidR="00B6022E">
        <w:t>S</w:t>
      </w:r>
      <w:r>
        <w:t xml:space="preserve">tock </w:t>
      </w:r>
      <w:r w:rsidR="00B6022E">
        <w:t>P</w:t>
      </w:r>
      <w:r>
        <w:t xml:space="preserve">ortfolios and </w:t>
      </w:r>
      <w:r w:rsidR="00B6022E">
        <w:t>C</w:t>
      </w:r>
      <w:r>
        <w:t xml:space="preserve">apital </w:t>
      </w:r>
      <w:r w:rsidR="00B6022E">
        <w:t>B</w:t>
      </w:r>
      <w:r>
        <w:t xml:space="preserve">udgets, </w:t>
      </w:r>
      <w:r w:rsidRPr="008231DD">
        <w:rPr>
          <w:i/>
        </w:rPr>
        <w:t>Re</w:t>
      </w:r>
      <w:r w:rsidR="008231DD" w:rsidRPr="008231DD">
        <w:rPr>
          <w:i/>
        </w:rPr>
        <w:t>v</w:t>
      </w:r>
      <w:r w:rsidRPr="008231DD">
        <w:rPr>
          <w:i/>
        </w:rPr>
        <w:t>iew of Economics and Statistics</w:t>
      </w:r>
      <w:r>
        <w:t xml:space="preserve"> 47, 13-37.</w:t>
      </w:r>
    </w:p>
    <w:p w:rsidR="0024197F" w:rsidRDefault="0024197F" w:rsidP="00CF62CA">
      <w:pPr>
        <w:ind w:right="-720" w:hanging="547"/>
        <w:contextualSpacing/>
      </w:pPr>
    </w:p>
    <w:p w:rsidR="002658E3" w:rsidRDefault="002658E3" w:rsidP="00CF62CA">
      <w:pPr>
        <w:ind w:right="-720" w:hanging="547"/>
        <w:contextualSpacing/>
      </w:pPr>
      <w:r>
        <w:t>Lucas, A., R.</w:t>
      </w:r>
      <w:r w:rsidR="00B6022E">
        <w:t>,</w:t>
      </w:r>
      <w:r>
        <w:t xml:space="preserve"> van </w:t>
      </w:r>
      <w:proofErr w:type="spellStart"/>
      <w:r>
        <w:t>Dijk</w:t>
      </w:r>
      <w:proofErr w:type="spellEnd"/>
      <w:r>
        <w:t>, and T.</w:t>
      </w:r>
      <w:r w:rsidR="00B6022E">
        <w:t xml:space="preserve"> </w:t>
      </w:r>
      <w:proofErr w:type="spellStart"/>
      <w:r w:rsidR="00B6022E">
        <w:t>Kloek</w:t>
      </w:r>
      <w:proofErr w:type="spellEnd"/>
      <w:r w:rsidR="00B6022E">
        <w:t>, 2002, Stock selection, S</w:t>
      </w:r>
      <w:r>
        <w:t xml:space="preserve">tyle </w:t>
      </w:r>
      <w:r w:rsidR="00B6022E">
        <w:t>R</w:t>
      </w:r>
      <w:r>
        <w:t xml:space="preserve">otation, and </w:t>
      </w:r>
      <w:r w:rsidR="00B6022E">
        <w:t>R</w:t>
      </w:r>
      <w:r>
        <w:t xml:space="preserve">isk, </w:t>
      </w:r>
      <w:r w:rsidRPr="008B6151">
        <w:rPr>
          <w:i/>
        </w:rPr>
        <w:t>Journal of Empirical Finance</w:t>
      </w:r>
      <w:r>
        <w:t xml:space="preserve"> 9, 1</w:t>
      </w:r>
      <w:r w:rsidRPr="008231DD">
        <w:t>-</w:t>
      </w:r>
      <w:r>
        <w:t>34.</w:t>
      </w:r>
    </w:p>
    <w:p w:rsidR="002658E3" w:rsidRDefault="002658E3" w:rsidP="00CF62CA">
      <w:pPr>
        <w:ind w:right="-720" w:hanging="547"/>
        <w:contextualSpacing/>
      </w:pPr>
    </w:p>
    <w:p w:rsidR="008231DD" w:rsidRDefault="008231DD" w:rsidP="00CF62CA">
      <w:pPr>
        <w:ind w:right="-720" w:hanging="547"/>
        <w:contextualSpacing/>
      </w:pPr>
      <w:proofErr w:type="spellStart"/>
      <w:r>
        <w:t>Moskowitz</w:t>
      </w:r>
      <w:proofErr w:type="spellEnd"/>
      <w:r>
        <w:t xml:space="preserve">, Tobias J., and Mark </w:t>
      </w:r>
      <w:proofErr w:type="spellStart"/>
      <w:r>
        <w:t>Grinblatt</w:t>
      </w:r>
      <w:proofErr w:type="spellEnd"/>
      <w:r>
        <w:t>, 1999, Do Industries Explain Momentum?</w:t>
      </w:r>
    </w:p>
    <w:p w:rsidR="000C0C03" w:rsidRDefault="008231DD" w:rsidP="00CF62CA">
      <w:pPr>
        <w:ind w:right="-720" w:hanging="547"/>
        <w:contextualSpacing/>
      </w:pPr>
      <w:r w:rsidRPr="00180E3E">
        <w:rPr>
          <w:i/>
        </w:rPr>
        <w:t>The Jou</w:t>
      </w:r>
      <w:r w:rsidR="00F639B1" w:rsidRPr="00180E3E">
        <w:rPr>
          <w:i/>
        </w:rPr>
        <w:t xml:space="preserve">rnal of Finance </w:t>
      </w:r>
      <w:r w:rsidR="00F639B1">
        <w:t xml:space="preserve">54, </w:t>
      </w:r>
      <w:r>
        <w:t>1249-1290.</w:t>
      </w:r>
    </w:p>
    <w:p w:rsidR="008231DD" w:rsidRDefault="008231DD" w:rsidP="00CF62CA">
      <w:pPr>
        <w:ind w:right="-720" w:hanging="547"/>
        <w:contextualSpacing/>
      </w:pPr>
    </w:p>
    <w:p w:rsidR="002658E3" w:rsidRDefault="002658E3" w:rsidP="00CF62CA">
      <w:pPr>
        <w:ind w:right="-720" w:hanging="547"/>
        <w:contextualSpacing/>
      </w:pPr>
      <w:proofErr w:type="spellStart"/>
      <w:r>
        <w:t>Sadka</w:t>
      </w:r>
      <w:proofErr w:type="spellEnd"/>
      <w:r>
        <w:t xml:space="preserve">, Ronnie, 2006, Momentum and post-earnings-announcement drift anomalies: The role of liquidity risk, </w:t>
      </w:r>
      <w:r w:rsidRPr="00A94DF9">
        <w:rPr>
          <w:i/>
        </w:rPr>
        <w:t>Journal of Financial Economics</w:t>
      </w:r>
      <w:r>
        <w:t xml:space="preserve">, </w:t>
      </w:r>
      <w:r w:rsidRPr="004030F4">
        <w:t>Volume 80, Issue 2</w:t>
      </w:r>
      <w:r>
        <w:t>, 309-349.</w:t>
      </w:r>
    </w:p>
    <w:p w:rsidR="002658E3" w:rsidRDefault="002658E3" w:rsidP="00CF62CA">
      <w:pPr>
        <w:ind w:right="-720" w:hanging="547"/>
        <w:contextualSpacing/>
      </w:pPr>
    </w:p>
    <w:p w:rsidR="0024197F" w:rsidRDefault="0024197F" w:rsidP="00CF62CA">
      <w:pPr>
        <w:ind w:right="-720" w:hanging="547"/>
        <w:contextualSpacing/>
      </w:pPr>
      <w:r>
        <w:t xml:space="preserve">Sharpe, William F., 1964, Capital Asset Prices: A theory of market equilibrium under conditions of risk, </w:t>
      </w:r>
      <w:r w:rsidRPr="00AB6DDC">
        <w:rPr>
          <w:i/>
        </w:rPr>
        <w:t>Journal of Finance</w:t>
      </w:r>
      <w:r>
        <w:t xml:space="preserve"> 19, 425-4</w:t>
      </w:r>
      <w:r w:rsidR="00AB6DDC">
        <w:t>4</w:t>
      </w:r>
      <w:r>
        <w:t>2.</w:t>
      </w:r>
    </w:p>
    <w:p w:rsidR="00BA7DA6" w:rsidRDefault="00BA7DA6" w:rsidP="00CF62CA">
      <w:pPr>
        <w:ind w:right="-720" w:hanging="547"/>
        <w:contextualSpacing/>
        <w:rPr>
          <w:lang w:eastAsia="en-US"/>
        </w:rPr>
      </w:pPr>
    </w:p>
    <w:p w:rsidR="00F639B1" w:rsidRDefault="00F639B1" w:rsidP="00CF62CA">
      <w:pPr>
        <w:ind w:right="-720" w:hanging="547"/>
        <w:contextualSpacing/>
      </w:pPr>
      <w:proofErr w:type="spellStart"/>
      <w:r w:rsidRPr="00F639B1">
        <w:t>Verardo</w:t>
      </w:r>
      <w:proofErr w:type="spellEnd"/>
      <w:r w:rsidRPr="00F639B1">
        <w:t xml:space="preserve">, </w:t>
      </w:r>
      <w:proofErr w:type="spellStart"/>
      <w:r w:rsidRPr="00F639B1">
        <w:t>Michela</w:t>
      </w:r>
      <w:proofErr w:type="spellEnd"/>
      <w:r w:rsidRPr="00F639B1">
        <w:t xml:space="preserve">, 2009, Heterogeneous Beliefs and Momentum Profits, </w:t>
      </w:r>
      <w:r w:rsidRPr="00F639B1">
        <w:rPr>
          <w:i/>
        </w:rPr>
        <w:t>Journal of Financial and Quantitative Analysis</w:t>
      </w:r>
      <w:r>
        <w:t xml:space="preserve"> 44,</w:t>
      </w:r>
      <w:r w:rsidRPr="00F639B1">
        <w:t xml:space="preserve"> 795-822.</w:t>
      </w:r>
    </w:p>
    <w:p w:rsidR="00BA7DA6" w:rsidRDefault="00BA7DA6" w:rsidP="00CF62CA">
      <w:pPr>
        <w:ind w:right="-720" w:hanging="547"/>
        <w:contextualSpacing/>
      </w:pPr>
    </w:p>
    <w:p w:rsidR="00C0595D" w:rsidRDefault="00F639B1" w:rsidP="00CF62CA">
      <w:pPr>
        <w:ind w:right="-720" w:hanging="547"/>
        <w:contextualSpacing/>
      </w:pPr>
      <w:proofErr w:type="spellStart"/>
      <w:r>
        <w:t>Wermers</w:t>
      </w:r>
      <w:proofErr w:type="spellEnd"/>
      <w:r>
        <w:t xml:space="preserve">, R., 2000, Mutual </w:t>
      </w:r>
      <w:r w:rsidR="00B6022E">
        <w:t>F</w:t>
      </w:r>
      <w:r>
        <w:t xml:space="preserve">und </w:t>
      </w:r>
      <w:r w:rsidR="00B6022E">
        <w:t>P</w:t>
      </w:r>
      <w:r>
        <w:t xml:space="preserve">erformance: </w:t>
      </w:r>
      <w:r w:rsidR="00B6022E">
        <w:t>A</w:t>
      </w:r>
      <w:r>
        <w:t>n empirical decomposition into stock-picking talent, style,</w:t>
      </w:r>
      <w:r w:rsidR="00B844DA">
        <w:t xml:space="preserve"> transaction costs, and expenses,</w:t>
      </w:r>
      <w:r>
        <w:t xml:space="preserve"> </w:t>
      </w:r>
      <w:r w:rsidRPr="00AB6DDC">
        <w:rPr>
          <w:i/>
        </w:rPr>
        <w:t>Journal of Finance</w:t>
      </w:r>
      <w:r>
        <w:t xml:space="preserve"> 55, 1655–1703.</w:t>
      </w:r>
      <w:r w:rsidR="00472E06" w:rsidRPr="007D34C9">
        <w:br w:type="page"/>
      </w:r>
      <w:r w:rsidR="00C0595D">
        <w:lastRenderedPageBreak/>
        <w:t xml:space="preserve">Table 1: </w:t>
      </w:r>
      <w:r w:rsidR="003A7F73">
        <w:t xml:space="preserve">Summary </w:t>
      </w:r>
      <w:r w:rsidR="00C0595D">
        <w:t xml:space="preserve">Statistics of Returns and </w:t>
      </w:r>
      <w:r w:rsidR="005D46A4">
        <w:t xml:space="preserve">SUE </w:t>
      </w:r>
      <w:r w:rsidR="00C0595D">
        <w:t>of Morningstar Style Indexes</w:t>
      </w:r>
    </w:p>
    <w:p w:rsidR="003A7F73" w:rsidRDefault="003A7F73" w:rsidP="00C0595D"/>
    <w:p w:rsidR="00C0595D" w:rsidRPr="003A7F73" w:rsidRDefault="00C0595D" w:rsidP="00C0595D">
      <w:pPr>
        <w:rPr>
          <w:sz w:val="22"/>
          <w:szCs w:val="22"/>
        </w:rPr>
      </w:pPr>
      <w:r w:rsidRPr="003A7F73">
        <w:rPr>
          <w:sz w:val="22"/>
          <w:szCs w:val="22"/>
        </w:rPr>
        <w:t xml:space="preserve">The table reports summary statistics of monthly returns and </w:t>
      </w:r>
      <w:r w:rsidR="005D46A4" w:rsidRPr="003A7F73">
        <w:rPr>
          <w:sz w:val="22"/>
          <w:szCs w:val="22"/>
        </w:rPr>
        <w:t xml:space="preserve">SUE </w:t>
      </w:r>
      <w:r w:rsidR="003A7F73">
        <w:rPr>
          <w:sz w:val="22"/>
          <w:szCs w:val="22"/>
        </w:rPr>
        <w:t xml:space="preserve">for each </w:t>
      </w:r>
      <w:r w:rsidRPr="003A7F73">
        <w:rPr>
          <w:sz w:val="22"/>
          <w:szCs w:val="22"/>
        </w:rPr>
        <w:t xml:space="preserve">of </w:t>
      </w:r>
      <w:r w:rsidR="003A7F73">
        <w:rPr>
          <w:sz w:val="22"/>
          <w:szCs w:val="22"/>
        </w:rPr>
        <w:t xml:space="preserve">the </w:t>
      </w:r>
      <w:r w:rsidR="006A5E75">
        <w:rPr>
          <w:sz w:val="22"/>
          <w:szCs w:val="22"/>
        </w:rPr>
        <w:t>Morningstar S</w:t>
      </w:r>
      <w:r w:rsidRPr="003A7F73">
        <w:rPr>
          <w:sz w:val="22"/>
          <w:szCs w:val="22"/>
        </w:rPr>
        <w:t xml:space="preserve">tyle </w:t>
      </w:r>
      <w:r w:rsidR="006A5E75">
        <w:rPr>
          <w:sz w:val="22"/>
          <w:szCs w:val="22"/>
        </w:rPr>
        <w:t>I</w:t>
      </w:r>
      <w:r w:rsidR="005B77C3">
        <w:rPr>
          <w:sz w:val="22"/>
          <w:szCs w:val="22"/>
        </w:rPr>
        <w:t>ndexes.</w:t>
      </w:r>
      <w:r w:rsidRPr="003A7F73">
        <w:rPr>
          <w:sz w:val="22"/>
          <w:szCs w:val="22"/>
        </w:rPr>
        <w:t xml:space="preserve"> </w:t>
      </w:r>
      <w:r w:rsidR="00DD493D" w:rsidRPr="003A7F73">
        <w:rPr>
          <w:sz w:val="22"/>
          <w:szCs w:val="22"/>
        </w:rPr>
        <w:t>SUE is</w:t>
      </w:r>
      <w:r w:rsidRPr="003A7F73">
        <w:rPr>
          <w:sz w:val="22"/>
          <w:szCs w:val="22"/>
        </w:rPr>
        <w:t xml:space="preserve"> the value-weighted average of </w:t>
      </w:r>
      <w:r w:rsidR="005D46A4" w:rsidRPr="003A7F73">
        <w:rPr>
          <w:sz w:val="22"/>
          <w:szCs w:val="22"/>
        </w:rPr>
        <w:t xml:space="preserve">SUE </w:t>
      </w:r>
      <w:r w:rsidRPr="003A7F73">
        <w:rPr>
          <w:sz w:val="22"/>
          <w:szCs w:val="22"/>
        </w:rPr>
        <w:t>of individual stocks in an index. ‘‘</w:t>
      </w:r>
      <w:proofErr w:type="spellStart"/>
      <w:r w:rsidRPr="003A7F73">
        <w:rPr>
          <w:sz w:val="22"/>
          <w:szCs w:val="22"/>
        </w:rPr>
        <w:t>Stdev</w:t>
      </w:r>
      <w:proofErr w:type="spellEnd"/>
      <w:r w:rsidRPr="003A7F73">
        <w:rPr>
          <w:sz w:val="22"/>
          <w:szCs w:val="22"/>
        </w:rPr>
        <w:t>,’’ ‘‘Skew,’’ and ‘‘</w:t>
      </w:r>
      <w:proofErr w:type="spellStart"/>
      <w:r w:rsidRPr="003A7F73">
        <w:rPr>
          <w:sz w:val="22"/>
          <w:szCs w:val="22"/>
        </w:rPr>
        <w:t>Kurto</w:t>
      </w:r>
      <w:proofErr w:type="spellEnd"/>
      <w:r w:rsidRPr="003A7F73">
        <w:rPr>
          <w:sz w:val="22"/>
          <w:szCs w:val="22"/>
        </w:rPr>
        <w:t xml:space="preserve">’’ denote the </w:t>
      </w:r>
      <w:r w:rsidR="003A7F73">
        <w:rPr>
          <w:sz w:val="22"/>
          <w:szCs w:val="22"/>
        </w:rPr>
        <w:t>s</w:t>
      </w:r>
      <w:r w:rsidRPr="003A7F73">
        <w:rPr>
          <w:sz w:val="22"/>
          <w:szCs w:val="22"/>
        </w:rPr>
        <w:t xml:space="preserve">tandard deviation, </w:t>
      </w:r>
      <w:proofErr w:type="spellStart"/>
      <w:r w:rsidRPr="003A7F73">
        <w:rPr>
          <w:sz w:val="22"/>
          <w:szCs w:val="22"/>
        </w:rPr>
        <w:t>skewness</w:t>
      </w:r>
      <w:proofErr w:type="spellEnd"/>
      <w:r w:rsidRPr="003A7F73">
        <w:rPr>
          <w:sz w:val="22"/>
          <w:szCs w:val="22"/>
        </w:rPr>
        <w:t>, and excess kurtosis, respectively.</w:t>
      </w:r>
    </w:p>
    <w:p w:rsidR="003A7F73" w:rsidRDefault="003A7F73" w:rsidP="00C0595D"/>
    <w:tbl>
      <w:tblPr>
        <w:tblW w:w="8680" w:type="dxa"/>
        <w:tblInd w:w="93" w:type="dxa"/>
        <w:tblLook w:val="0000" w:firstRow="0" w:lastRow="0" w:firstColumn="0" w:lastColumn="0" w:noHBand="0" w:noVBand="0"/>
      </w:tblPr>
      <w:tblGrid>
        <w:gridCol w:w="2920"/>
        <w:gridCol w:w="960"/>
        <w:gridCol w:w="960"/>
        <w:gridCol w:w="960"/>
        <w:gridCol w:w="960"/>
        <w:gridCol w:w="960"/>
        <w:gridCol w:w="960"/>
      </w:tblGrid>
      <w:tr w:rsidR="00C0595D" w:rsidRPr="0088205C" w:rsidTr="00DB0529">
        <w:trPr>
          <w:trHeight w:val="270"/>
        </w:trPr>
        <w:tc>
          <w:tcPr>
            <w:tcW w:w="2920" w:type="dxa"/>
            <w:tcBorders>
              <w:top w:val="nil"/>
              <w:left w:val="nil"/>
              <w:bottom w:val="single" w:sz="8" w:space="0" w:color="auto"/>
              <w:right w:val="nil"/>
            </w:tcBorders>
            <w:shd w:val="clear" w:color="auto" w:fill="auto"/>
            <w:noWrap/>
            <w:vAlign w:val="bottom"/>
          </w:tcPr>
          <w:p w:rsidR="00C0595D" w:rsidRPr="0088205C" w:rsidRDefault="00C0595D" w:rsidP="00DB0529">
            <w:pPr>
              <w:rPr>
                <w:rFonts w:ascii="Arial" w:hAnsi="Arial" w:cs="Arial"/>
                <w:sz w:val="18"/>
                <w:szCs w:val="18"/>
              </w:rPr>
            </w:pPr>
            <w:r w:rsidRPr="0088205C">
              <w:rPr>
                <w:rFonts w:ascii="Arial" w:hAnsi="Arial" w:cs="Arial"/>
                <w:sz w:val="18"/>
                <w:szCs w:val="18"/>
              </w:rPr>
              <w:t>Name</w:t>
            </w:r>
          </w:p>
        </w:tc>
        <w:tc>
          <w:tcPr>
            <w:tcW w:w="960" w:type="dxa"/>
            <w:tcBorders>
              <w:top w:val="nil"/>
              <w:left w:val="nil"/>
              <w:bottom w:val="single" w:sz="8" w:space="0" w:color="auto"/>
              <w:right w:val="nil"/>
            </w:tcBorders>
            <w:shd w:val="clear" w:color="auto" w:fill="auto"/>
            <w:noWrap/>
            <w:vAlign w:val="bottom"/>
          </w:tcPr>
          <w:p w:rsidR="00C0595D" w:rsidRPr="0088205C" w:rsidRDefault="00C0595D" w:rsidP="00DB0529">
            <w:pPr>
              <w:jc w:val="center"/>
              <w:rPr>
                <w:rFonts w:ascii="Arial" w:hAnsi="Arial" w:cs="Arial"/>
                <w:sz w:val="18"/>
                <w:szCs w:val="18"/>
              </w:rPr>
            </w:pPr>
            <w:r w:rsidRPr="0088205C">
              <w:rPr>
                <w:rFonts w:ascii="Arial" w:hAnsi="Arial" w:cs="Arial"/>
                <w:sz w:val="18"/>
                <w:szCs w:val="18"/>
              </w:rPr>
              <w:t>Mean</w:t>
            </w:r>
          </w:p>
        </w:tc>
        <w:tc>
          <w:tcPr>
            <w:tcW w:w="960" w:type="dxa"/>
            <w:tcBorders>
              <w:top w:val="nil"/>
              <w:left w:val="nil"/>
              <w:bottom w:val="single" w:sz="8" w:space="0" w:color="auto"/>
              <w:right w:val="nil"/>
            </w:tcBorders>
            <w:shd w:val="clear" w:color="auto" w:fill="auto"/>
            <w:noWrap/>
            <w:vAlign w:val="bottom"/>
          </w:tcPr>
          <w:p w:rsidR="00C0595D" w:rsidRPr="0088205C" w:rsidRDefault="00C0595D" w:rsidP="00DB0529">
            <w:pPr>
              <w:jc w:val="center"/>
              <w:rPr>
                <w:rFonts w:ascii="Arial" w:hAnsi="Arial" w:cs="Arial"/>
                <w:sz w:val="18"/>
                <w:szCs w:val="18"/>
              </w:rPr>
            </w:pPr>
            <w:proofErr w:type="spellStart"/>
            <w:r w:rsidRPr="0088205C">
              <w:rPr>
                <w:rFonts w:ascii="Arial" w:hAnsi="Arial" w:cs="Arial"/>
                <w:sz w:val="18"/>
                <w:szCs w:val="18"/>
              </w:rPr>
              <w:t>Stdev</w:t>
            </w:r>
            <w:proofErr w:type="spellEnd"/>
          </w:p>
        </w:tc>
        <w:tc>
          <w:tcPr>
            <w:tcW w:w="960" w:type="dxa"/>
            <w:tcBorders>
              <w:top w:val="nil"/>
              <w:left w:val="nil"/>
              <w:bottom w:val="single" w:sz="8" w:space="0" w:color="auto"/>
              <w:right w:val="nil"/>
            </w:tcBorders>
            <w:shd w:val="clear" w:color="auto" w:fill="auto"/>
            <w:noWrap/>
            <w:vAlign w:val="bottom"/>
          </w:tcPr>
          <w:p w:rsidR="00C0595D" w:rsidRPr="0088205C" w:rsidRDefault="00C0595D" w:rsidP="00DB0529">
            <w:pPr>
              <w:jc w:val="center"/>
              <w:rPr>
                <w:rFonts w:ascii="Arial" w:hAnsi="Arial" w:cs="Arial"/>
                <w:sz w:val="18"/>
                <w:szCs w:val="18"/>
              </w:rPr>
            </w:pPr>
            <w:r w:rsidRPr="0088205C">
              <w:rPr>
                <w:rFonts w:ascii="Arial" w:hAnsi="Arial" w:cs="Arial"/>
                <w:sz w:val="18"/>
                <w:szCs w:val="18"/>
              </w:rPr>
              <w:t>Skew</w:t>
            </w:r>
          </w:p>
        </w:tc>
        <w:tc>
          <w:tcPr>
            <w:tcW w:w="960" w:type="dxa"/>
            <w:tcBorders>
              <w:top w:val="nil"/>
              <w:left w:val="nil"/>
              <w:bottom w:val="single" w:sz="8" w:space="0" w:color="auto"/>
              <w:right w:val="nil"/>
            </w:tcBorders>
            <w:shd w:val="clear" w:color="auto" w:fill="auto"/>
            <w:noWrap/>
            <w:vAlign w:val="bottom"/>
          </w:tcPr>
          <w:p w:rsidR="00C0595D" w:rsidRPr="0088205C" w:rsidRDefault="00C0595D" w:rsidP="00DB0529">
            <w:pPr>
              <w:jc w:val="center"/>
              <w:rPr>
                <w:rFonts w:ascii="Arial" w:hAnsi="Arial" w:cs="Arial"/>
                <w:sz w:val="18"/>
                <w:szCs w:val="18"/>
              </w:rPr>
            </w:pPr>
            <w:proofErr w:type="spellStart"/>
            <w:r w:rsidRPr="0088205C">
              <w:rPr>
                <w:rFonts w:ascii="Arial" w:hAnsi="Arial" w:cs="Arial"/>
                <w:sz w:val="18"/>
                <w:szCs w:val="18"/>
              </w:rPr>
              <w:t>Kurto</w:t>
            </w:r>
            <w:proofErr w:type="spellEnd"/>
          </w:p>
        </w:tc>
        <w:tc>
          <w:tcPr>
            <w:tcW w:w="960" w:type="dxa"/>
            <w:tcBorders>
              <w:top w:val="nil"/>
              <w:left w:val="nil"/>
              <w:bottom w:val="single" w:sz="8" w:space="0" w:color="auto"/>
              <w:right w:val="nil"/>
            </w:tcBorders>
            <w:shd w:val="clear" w:color="auto" w:fill="auto"/>
            <w:noWrap/>
            <w:vAlign w:val="bottom"/>
          </w:tcPr>
          <w:p w:rsidR="00C0595D" w:rsidRPr="0088205C" w:rsidRDefault="00C0595D" w:rsidP="00DB0529">
            <w:pPr>
              <w:jc w:val="center"/>
              <w:rPr>
                <w:rFonts w:ascii="Arial" w:hAnsi="Arial" w:cs="Arial"/>
                <w:sz w:val="18"/>
                <w:szCs w:val="18"/>
              </w:rPr>
            </w:pPr>
            <w:r w:rsidRPr="0088205C">
              <w:rPr>
                <w:rFonts w:ascii="Arial" w:hAnsi="Arial" w:cs="Arial"/>
                <w:sz w:val="18"/>
                <w:szCs w:val="18"/>
              </w:rPr>
              <w:t>Max</w:t>
            </w:r>
          </w:p>
        </w:tc>
        <w:tc>
          <w:tcPr>
            <w:tcW w:w="960" w:type="dxa"/>
            <w:tcBorders>
              <w:top w:val="nil"/>
              <w:left w:val="nil"/>
              <w:bottom w:val="single" w:sz="8" w:space="0" w:color="auto"/>
              <w:right w:val="nil"/>
            </w:tcBorders>
            <w:shd w:val="clear" w:color="auto" w:fill="auto"/>
            <w:noWrap/>
            <w:vAlign w:val="bottom"/>
          </w:tcPr>
          <w:p w:rsidR="00C0595D" w:rsidRPr="0088205C" w:rsidRDefault="00C0595D" w:rsidP="00DB0529">
            <w:pPr>
              <w:jc w:val="center"/>
              <w:rPr>
                <w:rFonts w:ascii="Arial" w:hAnsi="Arial" w:cs="Arial"/>
                <w:sz w:val="18"/>
                <w:szCs w:val="18"/>
              </w:rPr>
            </w:pPr>
            <w:r w:rsidRPr="0088205C">
              <w:rPr>
                <w:rFonts w:ascii="Arial" w:hAnsi="Arial" w:cs="Arial"/>
                <w:sz w:val="18"/>
                <w:szCs w:val="18"/>
              </w:rPr>
              <w:t>Min</w:t>
            </w:r>
          </w:p>
        </w:tc>
      </w:tr>
      <w:tr w:rsidR="00C0595D" w:rsidRPr="0088205C" w:rsidTr="005B06CE">
        <w:trPr>
          <w:trHeight w:val="255"/>
        </w:trPr>
        <w:tc>
          <w:tcPr>
            <w:tcW w:w="2920" w:type="dxa"/>
            <w:tcBorders>
              <w:top w:val="nil"/>
              <w:left w:val="nil"/>
              <w:bottom w:val="nil"/>
              <w:right w:val="nil"/>
            </w:tcBorders>
            <w:shd w:val="clear" w:color="auto" w:fill="auto"/>
            <w:noWrap/>
            <w:vAlign w:val="bottom"/>
          </w:tcPr>
          <w:p w:rsidR="00C0595D" w:rsidRPr="0088205C" w:rsidRDefault="00C0595D" w:rsidP="00DB0529">
            <w:pPr>
              <w:rPr>
                <w:rFonts w:ascii="Arial" w:hAnsi="Arial" w:cs="Arial"/>
                <w:sz w:val="18"/>
                <w:szCs w:val="18"/>
              </w:rPr>
            </w:pPr>
            <w:r>
              <w:rPr>
                <w:rFonts w:ascii="Arial" w:hAnsi="Arial" w:cs="Arial"/>
                <w:sz w:val="18"/>
                <w:szCs w:val="18"/>
              </w:rPr>
              <w:t>Panel A: M</w:t>
            </w:r>
            <w:r w:rsidRPr="0088205C">
              <w:rPr>
                <w:rFonts w:ascii="Arial" w:hAnsi="Arial" w:cs="Arial"/>
                <w:sz w:val="18"/>
                <w:szCs w:val="18"/>
              </w:rPr>
              <w:t>onthly returns</w:t>
            </w:r>
          </w:p>
        </w:tc>
        <w:tc>
          <w:tcPr>
            <w:tcW w:w="960" w:type="dxa"/>
            <w:tcBorders>
              <w:top w:val="nil"/>
              <w:left w:val="nil"/>
              <w:bottom w:val="nil"/>
              <w:right w:val="nil"/>
            </w:tcBorders>
            <w:shd w:val="clear" w:color="auto" w:fill="auto"/>
            <w:noWrap/>
            <w:vAlign w:val="bottom"/>
          </w:tcPr>
          <w:p w:rsidR="00C0595D" w:rsidRPr="0088205C" w:rsidRDefault="00C0595D" w:rsidP="00DB0529">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tcPr>
          <w:p w:rsidR="00C0595D" w:rsidRPr="0088205C" w:rsidRDefault="00C0595D" w:rsidP="00DB0529">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tcPr>
          <w:p w:rsidR="00C0595D" w:rsidRPr="0088205C" w:rsidRDefault="00C0595D" w:rsidP="00DB0529">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tcPr>
          <w:p w:rsidR="00C0595D" w:rsidRPr="0088205C" w:rsidRDefault="00C0595D" w:rsidP="00DB0529">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tcPr>
          <w:p w:rsidR="00C0595D" w:rsidRPr="0088205C" w:rsidRDefault="00C0595D" w:rsidP="00DB0529">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tcPr>
          <w:p w:rsidR="00C0595D" w:rsidRPr="0088205C" w:rsidRDefault="00C0595D" w:rsidP="00DB0529">
            <w:pPr>
              <w:jc w:val="center"/>
              <w:rPr>
                <w:rFonts w:ascii="Arial" w:hAnsi="Arial" w:cs="Arial"/>
                <w:sz w:val="18"/>
                <w:szCs w:val="18"/>
              </w:rPr>
            </w:pPr>
          </w:p>
        </w:tc>
      </w:tr>
      <w:tr w:rsidR="00C0595D" w:rsidRPr="0088205C" w:rsidTr="005B06CE">
        <w:trPr>
          <w:trHeight w:val="255"/>
        </w:trPr>
        <w:tc>
          <w:tcPr>
            <w:tcW w:w="2920" w:type="dxa"/>
            <w:tcBorders>
              <w:top w:val="nil"/>
              <w:left w:val="nil"/>
              <w:bottom w:val="nil"/>
              <w:right w:val="nil"/>
            </w:tcBorders>
            <w:shd w:val="clear" w:color="auto" w:fill="auto"/>
            <w:noWrap/>
            <w:vAlign w:val="bottom"/>
          </w:tcPr>
          <w:p w:rsidR="00C0595D" w:rsidRPr="0088205C" w:rsidRDefault="00C0595D" w:rsidP="00DB0529">
            <w:pPr>
              <w:rPr>
                <w:rFonts w:ascii="Verdana" w:hAnsi="Verdana" w:cs="Arial"/>
                <w:sz w:val="18"/>
                <w:szCs w:val="18"/>
              </w:rPr>
            </w:pPr>
            <w:r w:rsidRPr="0088205C">
              <w:rPr>
                <w:rFonts w:ascii="Verdana" w:hAnsi="Verdana" w:cs="Arial"/>
                <w:sz w:val="18"/>
                <w:szCs w:val="18"/>
              </w:rPr>
              <w:t>Large Core Index</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0.7%</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4.0%</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-0.514</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2.136</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13.0%</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-16.0%</w:t>
            </w:r>
          </w:p>
        </w:tc>
      </w:tr>
      <w:tr w:rsidR="00C0595D" w:rsidRPr="0088205C" w:rsidTr="005B06CE">
        <w:trPr>
          <w:trHeight w:val="255"/>
        </w:trPr>
        <w:tc>
          <w:tcPr>
            <w:tcW w:w="2920" w:type="dxa"/>
            <w:tcBorders>
              <w:top w:val="nil"/>
              <w:left w:val="nil"/>
              <w:bottom w:val="nil"/>
              <w:right w:val="nil"/>
            </w:tcBorders>
            <w:shd w:val="clear" w:color="auto" w:fill="auto"/>
            <w:noWrap/>
            <w:vAlign w:val="bottom"/>
          </w:tcPr>
          <w:p w:rsidR="00C0595D" w:rsidRPr="0088205C" w:rsidRDefault="00C0595D" w:rsidP="00DB0529">
            <w:pPr>
              <w:rPr>
                <w:rFonts w:ascii="Verdana" w:hAnsi="Verdana" w:cs="Arial"/>
                <w:sz w:val="18"/>
                <w:szCs w:val="18"/>
              </w:rPr>
            </w:pPr>
            <w:r w:rsidRPr="0088205C">
              <w:rPr>
                <w:rFonts w:ascii="Verdana" w:hAnsi="Verdana" w:cs="Arial"/>
                <w:sz w:val="18"/>
                <w:szCs w:val="18"/>
              </w:rPr>
              <w:t>Large Growth Index</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0.4%</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6.7%</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-0.569</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0.905</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15.0%</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-23.0%</w:t>
            </w:r>
          </w:p>
        </w:tc>
      </w:tr>
      <w:tr w:rsidR="00C0595D" w:rsidRPr="0088205C" w:rsidTr="005B06CE">
        <w:trPr>
          <w:trHeight w:val="255"/>
        </w:trPr>
        <w:tc>
          <w:tcPr>
            <w:tcW w:w="2920" w:type="dxa"/>
            <w:tcBorders>
              <w:top w:val="nil"/>
              <w:left w:val="nil"/>
              <w:bottom w:val="nil"/>
              <w:right w:val="nil"/>
            </w:tcBorders>
            <w:shd w:val="clear" w:color="auto" w:fill="auto"/>
            <w:noWrap/>
            <w:vAlign w:val="bottom"/>
          </w:tcPr>
          <w:p w:rsidR="00C0595D" w:rsidRPr="0088205C" w:rsidRDefault="00C0595D" w:rsidP="00DB0529">
            <w:pPr>
              <w:rPr>
                <w:rFonts w:ascii="Verdana" w:hAnsi="Verdana" w:cs="Arial"/>
                <w:sz w:val="18"/>
                <w:szCs w:val="18"/>
              </w:rPr>
            </w:pPr>
            <w:r w:rsidRPr="0088205C">
              <w:rPr>
                <w:rFonts w:ascii="Verdana" w:hAnsi="Verdana" w:cs="Arial"/>
                <w:sz w:val="18"/>
                <w:szCs w:val="18"/>
              </w:rPr>
              <w:t>Large Value Index</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0.8%</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4.1%</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-0.386</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1.398</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12.0%</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-13.0%</w:t>
            </w:r>
          </w:p>
        </w:tc>
      </w:tr>
      <w:tr w:rsidR="00C0595D" w:rsidRPr="0088205C" w:rsidTr="005B06CE">
        <w:trPr>
          <w:trHeight w:val="255"/>
        </w:trPr>
        <w:tc>
          <w:tcPr>
            <w:tcW w:w="2920" w:type="dxa"/>
            <w:tcBorders>
              <w:top w:val="nil"/>
              <w:left w:val="nil"/>
              <w:bottom w:val="nil"/>
              <w:right w:val="nil"/>
            </w:tcBorders>
            <w:shd w:val="clear" w:color="auto" w:fill="auto"/>
            <w:noWrap/>
            <w:vAlign w:val="bottom"/>
          </w:tcPr>
          <w:p w:rsidR="00C0595D" w:rsidRPr="0088205C" w:rsidRDefault="00C0595D" w:rsidP="00DB0529">
            <w:pPr>
              <w:rPr>
                <w:rFonts w:ascii="Verdana" w:hAnsi="Verdana" w:cs="Arial"/>
                <w:sz w:val="18"/>
                <w:szCs w:val="18"/>
              </w:rPr>
            </w:pPr>
            <w:r w:rsidRPr="0088205C">
              <w:rPr>
                <w:rFonts w:ascii="Verdana" w:hAnsi="Verdana" w:cs="Arial"/>
                <w:sz w:val="18"/>
                <w:szCs w:val="18"/>
              </w:rPr>
              <w:t>Mid Core Index</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1.0%</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4.5%</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-0.723</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2.318</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12.0%</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-19.0%</w:t>
            </w:r>
          </w:p>
        </w:tc>
      </w:tr>
      <w:tr w:rsidR="00C0595D" w:rsidRPr="0088205C" w:rsidTr="005B06CE">
        <w:trPr>
          <w:trHeight w:val="255"/>
        </w:trPr>
        <w:tc>
          <w:tcPr>
            <w:tcW w:w="2920" w:type="dxa"/>
            <w:tcBorders>
              <w:top w:val="nil"/>
              <w:left w:val="nil"/>
              <w:bottom w:val="nil"/>
              <w:right w:val="nil"/>
            </w:tcBorders>
            <w:shd w:val="clear" w:color="auto" w:fill="auto"/>
            <w:noWrap/>
            <w:vAlign w:val="bottom"/>
          </w:tcPr>
          <w:p w:rsidR="00C0595D" w:rsidRPr="0088205C" w:rsidRDefault="00C0595D" w:rsidP="00DB0529">
            <w:pPr>
              <w:rPr>
                <w:rFonts w:ascii="Verdana" w:hAnsi="Verdana" w:cs="Arial"/>
                <w:sz w:val="18"/>
                <w:szCs w:val="18"/>
              </w:rPr>
            </w:pPr>
            <w:r w:rsidRPr="0088205C">
              <w:rPr>
                <w:rFonts w:ascii="Verdana" w:hAnsi="Verdana" w:cs="Arial"/>
                <w:sz w:val="18"/>
                <w:szCs w:val="18"/>
              </w:rPr>
              <w:t>Mid Growth Index</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0.9%</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7.2%</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-0.431</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1.322</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19.0%</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-23.0%</w:t>
            </w:r>
          </w:p>
        </w:tc>
      </w:tr>
      <w:tr w:rsidR="00C0595D" w:rsidRPr="0088205C" w:rsidTr="005B06CE">
        <w:trPr>
          <w:trHeight w:val="255"/>
        </w:trPr>
        <w:tc>
          <w:tcPr>
            <w:tcW w:w="2920" w:type="dxa"/>
            <w:tcBorders>
              <w:top w:val="nil"/>
              <w:left w:val="nil"/>
              <w:bottom w:val="nil"/>
              <w:right w:val="nil"/>
            </w:tcBorders>
            <w:shd w:val="clear" w:color="auto" w:fill="auto"/>
            <w:noWrap/>
            <w:vAlign w:val="bottom"/>
          </w:tcPr>
          <w:p w:rsidR="00C0595D" w:rsidRPr="0088205C" w:rsidRDefault="00C0595D" w:rsidP="00DB0529">
            <w:pPr>
              <w:rPr>
                <w:rFonts w:ascii="Verdana" w:hAnsi="Verdana" w:cs="Arial"/>
                <w:sz w:val="18"/>
                <w:szCs w:val="18"/>
              </w:rPr>
            </w:pPr>
            <w:r w:rsidRPr="0088205C">
              <w:rPr>
                <w:rFonts w:ascii="Verdana" w:hAnsi="Verdana" w:cs="Arial"/>
                <w:sz w:val="18"/>
                <w:szCs w:val="18"/>
              </w:rPr>
              <w:t>Mid Value Index</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1.0%</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4.1%</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-0.507</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0.857</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11.0%</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-11.0%</w:t>
            </w:r>
          </w:p>
        </w:tc>
      </w:tr>
      <w:tr w:rsidR="00C0595D" w:rsidRPr="0088205C" w:rsidTr="005B06CE">
        <w:trPr>
          <w:trHeight w:val="255"/>
        </w:trPr>
        <w:tc>
          <w:tcPr>
            <w:tcW w:w="2920" w:type="dxa"/>
            <w:tcBorders>
              <w:top w:val="nil"/>
              <w:left w:val="nil"/>
              <w:bottom w:val="nil"/>
              <w:right w:val="nil"/>
            </w:tcBorders>
            <w:shd w:val="clear" w:color="auto" w:fill="auto"/>
            <w:noWrap/>
            <w:vAlign w:val="bottom"/>
          </w:tcPr>
          <w:p w:rsidR="00C0595D" w:rsidRPr="0088205C" w:rsidRDefault="00C0595D" w:rsidP="00DB0529">
            <w:pPr>
              <w:rPr>
                <w:rFonts w:ascii="Verdana" w:hAnsi="Verdana" w:cs="Arial"/>
                <w:sz w:val="18"/>
                <w:szCs w:val="18"/>
              </w:rPr>
            </w:pPr>
            <w:r w:rsidRPr="0088205C">
              <w:rPr>
                <w:rFonts w:ascii="Verdana" w:hAnsi="Verdana" w:cs="Arial"/>
                <w:sz w:val="18"/>
                <w:szCs w:val="18"/>
              </w:rPr>
              <w:t>Small Core Index</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1.1%</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5.1%</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-0.984</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2.528</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10.0%</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-22.0%</w:t>
            </w:r>
          </w:p>
        </w:tc>
      </w:tr>
      <w:tr w:rsidR="00C0595D" w:rsidRPr="0088205C" w:rsidTr="005B06CE">
        <w:trPr>
          <w:trHeight w:val="255"/>
        </w:trPr>
        <w:tc>
          <w:tcPr>
            <w:tcW w:w="2920" w:type="dxa"/>
            <w:tcBorders>
              <w:top w:val="nil"/>
              <w:left w:val="nil"/>
              <w:bottom w:val="nil"/>
              <w:right w:val="nil"/>
            </w:tcBorders>
            <w:shd w:val="clear" w:color="auto" w:fill="auto"/>
            <w:noWrap/>
            <w:vAlign w:val="bottom"/>
          </w:tcPr>
          <w:p w:rsidR="00C0595D" w:rsidRPr="0088205C" w:rsidRDefault="00C0595D" w:rsidP="00DB0529">
            <w:pPr>
              <w:rPr>
                <w:rFonts w:ascii="Verdana" w:hAnsi="Verdana" w:cs="Arial"/>
                <w:sz w:val="18"/>
                <w:szCs w:val="18"/>
              </w:rPr>
            </w:pPr>
            <w:r w:rsidRPr="0088205C">
              <w:rPr>
                <w:rFonts w:ascii="Verdana" w:hAnsi="Verdana" w:cs="Arial"/>
                <w:sz w:val="18"/>
                <w:szCs w:val="18"/>
              </w:rPr>
              <w:t>Small Growth Index</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0.8%</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8.3%</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-0.136</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1.338</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31.0%</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-26.0%</w:t>
            </w:r>
          </w:p>
        </w:tc>
      </w:tr>
      <w:tr w:rsidR="00C0595D" w:rsidRPr="0088205C" w:rsidTr="005B06CE">
        <w:trPr>
          <w:trHeight w:val="255"/>
        </w:trPr>
        <w:tc>
          <w:tcPr>
            <w:tcW w:w="2920" w:type="dxa"/>
            <w:tcBorders>
              <w:top w:val="nil"/>
              <w:left w:val="nil"/>
              <w:bottom w:val="nil"/>
              <w:right w:val="nil"/>
            </w:tcBorders>
            <w:shd w:val="clear" w:color="auto" w:fill="auto"/>
            <w:noWrap/>
            <w:vAlign w:val="bottom"/>
          </w:tcPr>
          <w:p w:rsidR="00C0595D" w:rsidRPr="0088205C" w:rsidRDefault="00C0595D" w:rsidP="00DB0529">
            <w:pPr>
              <w:rPr>
                <w:rFonts w:ascii="Verdana" w:hAnsi="Verdana" w:cs="Arial"/>
                <w:sz w:val="18"/>
                <w:szCs w:val="18"/>
              </w:rPr>
            </w:pPr>
            <w:r w:rsidRPr="0088205C">
              <w:rPr>
                <w:rFonts w:ascii="Verdana" w:hAnsi="Verdana" w:cs="Arial"/>
                <w:sz w:val="18"/>
                <w:szCs w:val="18"/>
              </w:rPr>
              <w:t>Small Value Index</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1.0%</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4.4%</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-0.32</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1.185</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13.0%</w:t>
            </w:r>
          </w:p>
        </w:tc>
        <w:tc>
          <w:tcPr>
            <w:tcW w:w="960" w:type="dxa"/>
            <w:tcBorders>
              <w:top w:val="nil"/>
              <w:left w:val="nil"/>
              <w:bottom w:val="nil"/>
              <w:right w:val="nil"/>
            </w:tcBorders>
            <w:shd w:val="clear" w:color="auto" w:fill="auto"/>
            <w:noWrap/>
            <w:vAlign w:val="bottom"/>
          </w:tcPr>
          <w:p w:rsidR="00C0595D" w:rsidRPr="006857AF" w:rsidRDefault="00C0595D" w:rsidP="00DB0529">
            <w:pPr>
              <w:jc w:val="center"/>
              <w:rPr>
                <w:rFonts w:ascii="MS Sans Serif" w:hAnsi="MS Sans Serif" w:cs="Arial" w:hint="eastAsia"/>
                <w:sz w:val="18"/>
                <w:szCs w:val="18"/>
              </w:rPr>
            </w:pPr>
            <w:r w:rsidRPr="006857AF">
              <w:rPr>
                <w:rFonts w:ascii="MS Sans Serif" w:hAnsi="MS Sans Serif" w:cs="Arial"/>
                <w:sz w:val="18"/>
                <w:szCs w:val="18"/>
              </w:rPr>
              <w:t>-14.0%</w:t>
            </w:r>
          </w:p>
        </w:tc>
      </w:tr>
      <w:tr w:rsidR="00C0595D" w:rsidRPr="0088205C" w:rsidTr="005B06CE">
        <w:trPr>
          <w:trHeight w:val="255"/>
        </w:trPr>
        <w:tc>
          <w:tcPr>
            <w:tcW w:w="2920" w:type="dxa"/>
            <w:tcBorders>
              <w:top w:val="nil"/>
              <w:left w:val="nil"/>
              <w:bottom w:val="nil"/>
              <w:right w:val="nil"/>
            </w:tcBorders>
            <w:shd w:val="clear" w:color="auto" w:fill="auto"/>
            <w:noWrap/>
            <w:vAlign w:val="bottom"/>
          </w:tcPr>
          <w:p w:rsidR="00C0595D" w:rsidRPr="0088205C" w:rsidRDefault="00C0595D" w:rsidP="00DB0529">
            <w:pPr>
              <w:rPr>
                <w:rFonts w:ascii="Arial" w:hAnsi="Arial" w:cs="Arial"/>
                <w:sz w:val="18"/>
                <w:szCs w:val="18"/>
              </w:rPr>
            </w:pPr>
          </w:p>
        </w:tc>
        <w:tc>
          <w:tcPr>
            <w:tcW w:w="960" w:type="dxa"/>
            <w:tcBorders>
              <w:top w:val="nil"/>
              <w:left w:val="nil"/>
              <w:bottom w:val="nil"/>
              <w:right w:val="nil"/>
            </w:tcBorders>
            <w:shd w:val="clear" w:color="auto" w:fill="auto"/>
            <w:noWrap/>
            <w:vAlign w:val="bottom"/>
          </w:tcPr>
          <w:p w:rsidR="00C0595D" w:rsidRPr="0088205C" w:rsidRDefault="00C0595D" w:rsidP="00DB0529">
            <w:pPr>
              <w:rPr>
                <w:rFonts w:ascii="Arial" w:hAnsi="Arial" w:cs="Arial"/>
                <w:sz w:val="18"/>
                <w:szCs w:val="18"/>
              </w:rPr>
            </w:pPr>
          </w:p>
        </w:tc>
        <w:tc>
          <w:tcPr>
            <w:tcW w:w="960" w:type="dxa"/>
            <w:tcBorders>
              <w:top w:val="nil"/>
              <w:left w:val="nil"/>
              <w:bottom w:val="nil"/>
              <w:right w:val="nil"/>
            </w:tcBorders>
            <w:shd w:val="clear" w:color="auto" w:fill="auto"/>
            <w:noWrap/>
            <w:vAlign w:val="bottom"/>
          </w:tcPr>
          <w:p w:rsidR="00C0595D" w:rsidRPr="0088205C" w:rsidRDefault="00C0595D" w:rsidP="00DB0529">
            <w:pPr>
              <w:rPr>
                <w:rFonts w:ascii="Arial" w:hAnsi="Arial" w:cs="Arial"/>
                <w:sz w:val="18"/>
                <w:szCs w:val="18"/>
              </w:rPr>
            </w:pPr>
          </w:p>
        </w:tc>
        <w:tc>
          <w:tcPr>
            <w:tcW w:w="960" w:type="dxa"/>
            <w:tcBorders>
              <w:top w:val="nil"/>
              <w:left w:val="nil"/>
              <w:bottom w:val="nil"/>
              <w:right w:val="nil"/>
            </w:tcBorders>
            <w:shd w:val="clear" w:color="auto" w:fill="auto"/>
            <w:noWrap/>
            <w:vAlign w:val="bottom"/>
          </w:tcPr>
          <w:p w:rsidR="00C0595D" w:rsidRPr="0088205C" w:rsidRDefault="00C0595D" w:rsidP="00DB0529">
            <w:pPr>
              <w:rPr>
                <w:rFonts w:ascii="Arial" w:hAnsi="Arial" w:cs="Arial"/>
                <w:sz w:val="18"/>
                <w:szCs w:val="18"/>
              </w:rPr>
            </w:pPr>
          </w:p>
        </w:tc>
        <w:tc>
          <w:tcPr>
            <w:tcW w:w="960" w:type="dxa"/>
            <w:tcBorders>
              <w:top w:val="nil"/>
              <w:left w:val="nil"/>
              <w:bottom w:val="nil"/>
              <w:right w:val="nil"/>
            </w:tcBorders>
            <w:shd w:val="clear" w:color="auto" w:fill="auto"/>
            <w:noWrap/>
            <w:vAlign w:val="bottom"/>
          </w:tcPr>
          <w:p w:rsidR="00C0595D" w:rsidRPr="0088205C" w:rsidRDefault="00C0595D" w:rsidP="00DB0529">
            <w:pPr>
              <w:rPr>
                <w:rFonts w:ascii="Arial" w:hAnsi="Arial" w:cs="Arial"/>
                <w:sz w:val="18"/>
                <w:szCs w:val="18"/>
              </w:rPr>
            </w:pPr>
          </w:p>
        </w:tc>
        <w:tc>
          <w:tcPr>
            <w:tcW w:w="960" w:type="dxa"/>
            <w:tcBorders>
              <w:top w:val="nil"/>
              <w:left w:val="nil"/>
              <w:bottom w:val="nil"/>
              <w:right w:val="nil"/>
            </w:tcBorders>
            <w:shd w:val="clear" w:color="auto" w:fill="auto"/>
            <w:noWrap/>
            <w:vAlign w:val="bottom"/>
          </w:tcPr>
          <w:p w:rsidR="00C0595D" w:rsidRPr="0088205C" w:rsidRDefault="00C0595D" w:rsidP="00DB0529">
            <w:pPr>
              <w:rPr>
                <w:rFonts w:ascii="Arial" w:hAnsi="Arial" w:cs="Arial"/>
                <w:sz w:val="18"/>
                <w:szCs w:val="18"/>
              </w:rPr>
            </w:pPr>
          </w:p>
        </w:tc>
        <w:tc>
          <w:tcPr>
            <w:tcW w:w="960" w:type="dxa"/>
            <w:tcBorders>
              <w:top w:val="nil"/>
              <w:left w:val="nil"/>
              <w:bottom w:val="nil"/>
              <w:right w:val="nil"/>
            </w:tcBorders>
            <w:shd w:val="clear" w:color="auto" w:fill="auto"/>
            <w:noWrap/>
            <w:vAlign w:val="bottom"/>
          </w:tcPr>
          <w:p w:rsidR="00C0595D" w:rsidRPr="0088205C" w:rsidRDefault="00C0595D" w:rsidP="00DB0529">
            <w:pPr>
              <w:rPr>
                <w:rFonts w:ascii="Arial" w:hAnsi="Arial" w:cs="Arial"/>
                <w:sz w:val="18"/>
                <w:szCs w:val="18"/>
              </w:rPr>
            </w:pPr>
          </w:p>
        </w:tc>
      </w:tr>
      <w:tr w:rsidR="00C0595D" w:rsidRPr="0088205C" w:rsidTr="005B06CE">
        <w:trPr>
          <w:trHeight w:val="255"/>
        </w:trPr>
        <w:tc>
          <w:tcPr>
            <w:tcW w:w="4840" w:type="dxa"/>
            <w:gridSpan w:val="3"/>
            <w:tcBorders>
              <w:top w:val="nil"/>
              <w:left w:val="nil"/>
              <w:bottom w:val="nil"/>
              <w:right w:val="nil"/>
            </w:tcBorders>
            <w:shd w:val="clear" w:color="auto" w:fill="auto"/>
            <w:noWrap/>
            <w:vAlign w:val="bottom"/>
          </w:tcPr>
          <w:p w:rsidR="00C0595D" w:rsidRPr="0088205C" w:rsidRDefault="00C0595D" w:rsidP="00DB0529">
            <w:pPr>
              <w:rPr>
                <w:rFonts w:ascii="Verdana" w:hAnsi="Verdana" w:cs="Arial"/>
                <w:sz w:val="18"/>
                <w:szCs w:val="18"/>
              </w:rPr>
            </w:pPr>
            <w:r>
              <w:rPr>
                <w:rFonts w:ascii="Verdana" w:hAnsi="Verdana" w:cs="Arial"/>
                <w:sz w:val="18"/>
                <w:szCs w:val="18"/>
              </w:rPr>
              <w:t xml:space="preserve">Panel B: </w:t>
            </w:r>
            <w:r w:rsidR="005D46A4">
              <w:rPr>
                <w:rFonts w:ascii="Verdana" w:hAnsi="Verdana" w:cs="Arial"/>
                <w:sz w:val="18"/>
                <w:szCs w:val="18"/>
              </w:rPr>
              <w:t xml:space="preserve">Standardized unexpected earnings </w:t>
            </w:r>
          </w:p>
        </w:tc>
        <w:tc>
          <w:tcPr>
            <w:tcW w:w="960" w:type="dxa"/>
            <w:tcBorders>
              <w:top w:val="nil"/>
              <w:left w:val="nil"/>
              <w:bottom w:val="nil"/>
              <w:right w:val="nil"/>
            </w:tcBorders>
            <w:shd w:val="clear" w:color="auto" w:fill="auto"/>
            <w:noWrap/>
            <w:vAlign w:val="bottom"/>
          </w:tcPr>
          <w:p w:rsidR="00C0595D" w:rsidRPr="0088205C" w:rsidRDefault="00C0595D" w:rsidP="00DB0529">
            <w:pPr>
              <w:rPr>
                <w:rFonts w:ascii="Arial" w:hAnsi="Arial" w:cs="Arial"/>
                <w:sz w:val="18"/>
                <w:szCs w:val="18"/>
              </w:rPr>
            </w:pPr>
          </w:p>
        </w:tc>
        <w:tc>
          <w:tcPr>
            <w:tcW w:w="960" w:type="dxa"/>
            <w:tcBorders>
              <w:top w:val="nil"/>
              <w:left w:val="nil"/>
              <w:bottom w:val="nil"/>
              <w:right w:val="nil"/>
            </w:tcBorders>
            <w:shd w:val="clear" w:color="auto" w:fill="auto"/>
            <w:noWrap/>
            <w:vAlign w:val="bottom"/>
          </w:tcPr>
          <w:p w:rsidR="00C0595D" w:rsidRPr="0088205C" w:rsidRDefault="00C0595D" w:rsidP="00DB0529">
            <w:pPr>
              <w:rPr>
                <w:rFonts w:ascii="Arial" w:hAnsi="Arial" w:cs="Arial"/>
                <w:sz w:val="18"/>
                <w:szCs w:val="18"/>
              </w:rPr>
            </w:pPr>
          </w:p>
        </w:tc>
        <w:tc>
          <w:tcPr>
            <w:tcW w:w="960" w:type="dxa"/>
            <w:tcBorders>
              <w:top w:val="nil"/>
              <w:left w:val="nil"/>
              <w:bottom w:val="nil"/>
              <w:right w:val="nil"/>
            </w:tcBorders>
            <w:shd w:val="clear" w:color="auto" w:fill="auto"/>
            <w:noWrap/>
            <w:vAlign w:val="bottom"/>
          </w:tcPr>
          <w:p w:rsidR="00C0595D" w:rsidRPr="0088205C" w:rsidRDefault="00C0595D" w:rsidP="00DB0529">
            <w:pPr>
              <w:rPr>
                <w:rFonts w:ascii="Arial" w:hAnsi="Arial" w:cs="Arial"/>
                <w:sz w:val="18"/>
                <w:szCs w:val="18"/>
              </w:rPr>
            </w:pPr>
          </w:p>
        </w:tc>
        <w:tc>
          <w:tcPr>
            <w:tcW w:w="960" w:type="dxa"/>
            <w:tcBorders>
              <w:top w:val="nil"/>
              <w:left w:val="nil"/>
              <w:bottom w:val="nil"/>
              <w:right w:val="nil"/>
            </w:tcBorders>
            <w:shd w:val="clear" w:color="auto" w:fill="auto"/>
            <w:noWrap/>
            <w:vAlign w:val="bottom"/>
          </w:tcPr>
          <w:p w:rsidR="00C0595D" w:rsidRPr="0088205C" w:rsidRDefault="00C0595D" w:rsidP="00DB0529">
            <w:pPr>
              <w:rPr>
                <w:rFonts w:ascii="Arial" w:hAnsi="Arial" w:cs="Arial"/>
                <w:sz w:val="18"/>
                <w:szCs w:val="18"/>
              </w:rPr>
            </w:pPr>
          </w:p>
        </w:tc>
      </w:tr>
      <w:tr w:rsidR="005D46A4" w:rsidRPr="0088205C" w:rsidTr="005B06CE">
        <w:trPr>
          <w:trHeight w:val="255"/>
        </w:trPr>
        <w:tc>
          <w:tcPr>
            <w:tcW w:w="2920" w:type="dxa"/>
            <w:tcBorders>
              <w:top w:val="nil"/>
              <w:left w:val="nil"/>
              <w:bottom w:val="nil"/>
              <w:right w:val="nil"/>
            </w:tcBorders>
            <w:shd w:val="clear" w:color="auto" w:fill="auto"/>
            <w:noWrap/>
            <w:vAlign w:val="bottom"/>
          </w:tcPr>
          <w:p w:rsidR="005D46A4" w:rsidRPr="0088205C" w:rsidRDefault="005D46A4" w:rsidP="00DB0529">
            <w:pPr>
              <w:rPr>
                <w:rFonts w:ascii="Verdana" w:hAnsi="Verdana" w:cs="Arial"/>
                <w:sz w:val="18"/>
                <w:szCs w:val="18"/>
              </w:rPr>
            </w:pPr>
            <w:r w:rsidRPr="0088205C">
              <w:rPr>
                <w:rFonts w:ascii="Verdana" w:hAnsi="Verdana" w:cs="Arial"/>
                <w:sz w:val="18"/>
                <w:szCs w:val="18"/>
              </w:rPr>
              <w:t>Large Core Index</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0.123</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0.301</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-0.153</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1.230</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0.891</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-0.780</w:t>
            </w:r>
          </w:p>
        </w:tc>
      </w:tr>
      <w:tr w:rsidR="005D46A4" w:rsidRPr="0088205C" w:rsidTr="005B06CE">
        <w:trPr>
          <w:trHeight w:val="255"/>
        </w:trPr>
        <w:tc>
          <w:tcPr>
            <w:tcW w:w="2920" w:type="dxa"/>
            <w:tcBorders>
              <w:top w:val="nil"/>
              <w:left w:val="nil"/>
              <w:bottom w:val="nil"/>
              <w:right w:val="nil"/>
            </w:tcBorders>
            <w:shd w:val="clear" w:color="auto" w:fill="auto"/>
            <w:noWrap/>
            <w:vAlign w:val="bottom"/>
          </w:tcPr>
          <w:p w:rsidR="005D46A4" w:rsidRPr="0088205C" w:rsidRDefault="005D46A4" w:rsidP="00DB0529">
            <w:pPr>
              <w:rPr>
                <w:rFonts w:ascii="Verdana" w:hAnsi="Verdana" w:cs="Arial"/>
                <w:sz w:val="18"/>
                <w:szCs w:val="18"/>
              </w:rPr>
            </w:pPr>
            <w:r w:rsidRPr="0088205C">
              <w:rPr>
                <w:rFonts w:ascii="Verdana" w:hAnsi="Verdana" w:cs="Arial"/>
                <w:sz w:val="18"/>
                <w:szCs w:val="18"/>
              </w:rPr>
              <w:t>Large Growth Index</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0.072</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0.315</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-0.604</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0.794</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0.712</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-0.975</w:t>
            </w:r>
          </w:p>
        </w:tc>
      </w:tr>
      <w:tr w:rsidR="005D46A4" w:rsidRPr="0088205C" w:rsidTr="005B06CE">
        <w:trPr>
          <w:trHeight w:val="255"/>
        </w:trPr>
        <w:tc>
          <w:tcPr>
            <w:tcW w:w="2920" w:type="dxa"/>
            <w:tcBorders>
              <w:top w:val="nil"/>
              <w:left w:val="nil"/>
              <w:bottom w:val="nil"/>
              <w:right w:val="nil"/>
            </w:tcBorders>
            <w:shd w:val="clear" w:color="auto" w:fill="auto"/>
            <w:noWrap/>
            <w:vAlign w:val="bottom"/>
          </w:tcPr>
          <w:p w:rsidR="005D46A4" w:rsidRPr="0088205C" w:rsidRDefault="005D46A4" w:rsidP="00DB0529">
            <w:pPr>
              <w:rPr>
                <w:rFonts w:ascii="Verdana" w:hAnsi="Verdana" w:cs="Arial"/>
                <w:sz w:val="18"/>
                <w:szCs w:val="18"/>
              </w:rPr>
            </w:pPr>
            <w:r w:rsidRPr="0088205C">
              <w:rPr>
                <w:rFonts w:ascii="Verdana" w:hAnsi="Verdana" w:cs="Arial"/>
                <w:sz w:val="18"/>
                <w:szCs w:val="18"/>
              </w:rPr>
              <w:t>Large Value Index</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-0.014</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0.230</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-0.410</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0.529</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0.466</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-0.655</w:t>
            </w:r>
          </w:p>
        </w:tc>
      </w:tr>
      <w:tr w:rsidR="005D46A4" w:rsidRPr="0088205C" w:rsidTr="005B06CE">
        <w:trPr>
          <w:trHeight w:val="255"/>
        </w:trPr>
        <w:tc>
          <w:tcPr>
            <w:tcW w:w="2920" w:type="dxa"/>
            <w:tcBorders>
              <w:top w:val="nil"/>
              <w:left w:val="nil"/>
              <w:bottom w:val="nil"/>
              <w:right w:val="nil"/>
            </w:tcBorders>
            <w:shd w:val="clear" w:color="auto" w:fill="auto"/>
            <w:noWrap/>
            <w:vAlign w:val="bottom"/>
          </w:tcPr>
          <w:p w:rsidR="005D46A4" w:rsidRPr="0088205C" w:rsidRDefault="005D46A4" w:rsidP="00DB0529">
            <w:pPr>
              <w:rPr>
                <w:rFonts w:ascii="Verdana" w:hAnsi="Verdana" w:cs="Arial"/>
                <w:sz w:val="18"/>
                <w:szCs w:val="18"/>
              </w:rPr>
            </w:pPr>
            <w:r w:rsidRPr="0088205C">
              <w:rPr>
                <w:rFonts w:ascii="Verdana" w:hAnsi="Verdana" w:cs="Arial"/>
                <w:sz w:val="18"/>
                <w:szCs w:val="18"/>
              </w:rPr>
              <w:t>Mid Core Index</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0.035</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0.139</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0.124</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-0.504</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0.325</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-0.250</w:t>
            </w:r>
          </w:p>
        </w:tc>
      </w:tr>
      <w:tr w:rsidR="005D46A4" w:rsidRPr="0088205C" w:rsidTr="005B06CE">
        <w:trPr>
          <w:trHeight w:val="255"/>
        </w:trPr>
        <w:tc>
          <w:tcPr>
            <w:tcW w:w="2920" w:type="dxa"/>
            <w:tcBorders>
              <w:top w:val="nil"/>
              <w:left w:val="nil"/>
              <w:bottom w:val="nil"/>
              <w:right w:val="nil"/>
            </w:tcBorders>
            <w:shd w:val="clear" w:color="auto" w:fill="auto"/>
            <w:noWrap/>
            <w:vAlign w:val="bottom"/>
          </w:tcPr>
          <w:p w:rsidR="005D46A4" w:rsidRPr="0088205C" w:rsidRDefault="005D46A4" w:rsidP="00DB0529">
            <w:pPr>
              <w:rPr>
                <w:rFonts w:ascii="Verdana" w:hAnsi="Verdana" w:cs="Arial"/>
                <w:sz w:val="18"/>
                <w:szCs w:val="18"/>
              </w:rPr>
            </w:pPr>
            <w:r w:rsidRPr="0088205C">
              <w:rPr>
                <w:rFonts w:ascii="Verdana" w:hAnsi="Verdana" w:cs="Arial"/>
                <w:sz w:val="18"/>
                <w:szCs w:val="18"/>
              </w:rPr>
              <w:t>Mid Growth Index</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0.085</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0.178</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-1.112</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1.726</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0.460</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-0.454</w:t>
            </w:r>
          </w:p>
        </w:tc>
      </w:tr>
      <w:tr w:rsidR="005D46A4" w:rsidRPr="0088205C" w:rsidTr="005B06CE">
        <w:trPr>
          <w:trHeight w:val="255"/>
        </w:trPr>
        <w:tc>
          <w:tcPr>
            <w:tcW w:w="2920" w:type="dxa"/>
            <w:tcBorders>
              <w:top w:val="nil"/>
              <w:left w:val="nil"/>
              <w:bottom w:val="nil"/>
              <w:right w:val="nil"/>
            </w:tcBorders>
            <w:shd w:val="clear" w:color="auto" w:fill="auto"/>
            <w:noWrap/>
            <w:vAlign w:val="bottom"/>
          </w:tcPr>
          <w:p w:rsidR="005D46A4" w:rsidRPr="0088205C" w:rsidRDefault="005D46A4" w:rsidP="00DB0529">
            <w:pPr>
              <w:rPr>
                <w:rFonts w:ascii="Verdana" w:hAnsi="Verdana" w:cs="Arial"/>
                <w:sz w:val="18"/>
                <w:szCs w:val="18"/>
              </w:rPr>
            </w:pPr>
            <w:r w:rsidRPr="0088205C">
              <w:rPr>
                <w:rFonts w:ascii="Verdana" w:hAnsi="Verdana" w:cs="Arial"/>
                <w:sz w:val="18"/>
                <w:szCs w:val="18"/>
              </w:rPr>
              <w:t>Mid Value Index</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-0.008</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0.119</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-0.446</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-0.066</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0.237</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-0.324</w:t>
            </w:r>
          </w:p>
        </w:tc>
      </w:tr>
      <w:tr w:rsidR="005D46A4" w:rsidRPr="0088205C" w:rsidTr="005B06CE">
        <w:trPr>
          <w:trHeight w:val="255"/>
        </w:trPr>
        <w:tc>
          <w:tcPr>
            <w:tcW w:w="2920" w:type="dxa"/>
            <w:tcBorders>
              <w:top w:val="nil"/>
              <w:left w:val="nil"/>
              <w:bottom w:val="nil"/>
              <w:right w:val="nil"/>
            </w:tcBorders>
            <w:shd w:val="clear" w:color="auto" w:fill="auto"/>
            <w:noWrap/>
            <w:vAlign w:val="bottom"/>
          </w:tcPr>
          <w:p w:rsidR="005D46A4" w:rsidRPr="0088205C" w:rsidRDefault="005D46A4" w:rsidP="00DB0529">
            <w:pPr>
              <w:rPr>
                <w:rFonts w:ascii="Verdana" w:hAnsi="Verdana" w:cs="Arial"/>
                <w:sz w:val="18"/>
                <w:szCs w:val="18"/>
              </w:rPr>
            </w:pPr>
            <w:r w:rsidRPr="0088205C">
              <w:rPr>
                <w:rFonts w:ascii="Verdana" w:hAnsi="Verdana" w:cs="Arial"/>
                <w:sz w:val="18"/>
                <w:szCs w:val="18"/>
              </w:rPr>
              <w:t>Small Core Index</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-0.011</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0.151</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-0.519</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-0.176</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0.317</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-0.365</w:t>
            </w:r>
          </w:p>
        </w:tc>
      </w:tr>
      <w:tr w:rsidR="005D46A4" w:rsidRPr="0088205C" w:rsidTr="005B06CE">
        <w:trPr>
          <w:trHeight w:val="255"/>
        </w:trPr>
        <w:tc>
          <w:tcPr>
            <w:tcW w:w="2920" w:type="dxa"/>
            <w:tcBorders>
              <w:top w:val="nil"/>
              <w:left w:val="nil"/>
              <w:bottom w:val="nil"/>
              <w:right w:val="nil"/>
            </w:tcBorders>
            <w:shd w:val="clear" w:color="auto" w:fill="auto"/>
            <w:noWrap/>
            <w:vAlign w:val="bottom"/>
          </w:tcPr>
          <w:p w:rsidR="005D46A4" w:rsidRPr="0088205C" w:rsidRDefault="005D46A4" w:rsidP="00DB0529">
            <w:pPr>
              <w:rPr>
                <w:rFonts w:ascii="Verdana" w:hAnsi="Verdana" w:cs="Arial"/>
                <w:sz w:val="18"/>
                <w:szCs w:val="18"/>
              </w:rPr>
            </w:pPr>
            <w:r w:rsidRPr="0088205C">
              <w:rPr>
                <w:rFonts w:ascii="Verdana" w:hAnsi="Verdana" w:cs="Arial"/>
                <w:sz w:val="18"/>
                <w:szCs w:val="18"/>
              </w:rPr>
              <w:t>Small Growth Index</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0.019</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0.159</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-0.715</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0.767</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0.361</w:t>
            </w:r>
          </w:p>
        </w:tc>
        <w:tc>
          <w:tcPr>
            <w:tcW w:w="960" w:type="dxa"/>
            <w:tcBorders>
              <w:top w:val="nil"/>
              <w:left w:val="nil"/>
              <w:bottom w:val="nil"/>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-0.422</w:t>
            </w:r>
          </w:p>
        </w:tc>
      </w:tr>
      <w:tr w:rsidR="005D46A4" w:rsidRPr="0088205C" w:rsidTr="005B06CE">
        <w:trPr>
          <w:trHeight w:val="270"/>
        </w:trPr>
        <w:tc>
          <w:tcPr>
            <w:tcW w:w="2920" w:type="dxa"/>
            <w:tcBorders>
              <w:top w:val="nil"/>
              <w:left w:val="nil"/>
              <w:bottom w:val="single" w:sz="8" w:space="0" w:color="auto"/>
              <w:right w:val="nil"/>
            </w:tcBorders>
            <w:shd w:val="clear" w:color="auto" w:fill="auto"/>
            <w:noWrap/>
            <w:vAlign w:val="bottom"/>
          </w:tcPr>
          <w:p w:rsidR="005D46A4" w:rsidRPr="0088205C" w:rsidRDefault="005D46A4" w:rsidP="00DB0529">
            <w:pPr>
              <w:rPr>
                <w:rFonts w:ascii="Verdana" w:hAnsi="Verdana" w:cs="Arial"/>
                <w:sz w:val="18"/>
                <w:szCs w:val="18"/>
              </w:rPr>
            </w:pPr>
            <w:r w:rsidRPr="0088205C">
              <w:rPr>
                <w:rFonts w:ascii="Verdana" w:hAnsi="Verdana" w:cs="Arial"/>
                <w:sz w:val="18"/>
                <w:szCs w:val="18"/>
              </w:rPr>
              <w:t>Small Value Index</w:t>
            </w:r>
          </w:p>
        </w:tc>
        <w:tc>
          <w:tcPr>
            <w:tcW w:w="960" w:type="dxa"/>
            <w:tcBorders>
              <w:top w:val="nil"/>
              <w:left w:val="nil"/>
              <w:bottom w:val="single" w:sz="8" w:space="0" w:color="auto"/>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-0.033</w:t>
            </w:r>
          </w:p>
        </w:tc>
        <w:tc>
          <w:tcPr>
            <w:tcW w:w="960" w:type="dxa"/>
            <w:tcBorders>
              <w:top w:val="nil"/>
              <w:left w:val="nil"/>
              <w:bottom w:val="single" w:sz="8" w:space="0" w:color="auto"/>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0.125</w:t>
            </w:r>
          </w:p>
        </w:tc>
        <w:tc>
          <w:tcPr>
            <w:tcW w:w="960" w:type="dxa"/>
            <w:tcBorders>
              <w:top w:val="nil"/>
              <w:left w:val="nil"/>
              <w:bottom w:val="single" w:sz="8" w:space="0" w:color="auto"/>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0.099</w:t>
            </w:r>
          </w:p>
        </w:tc>
        <w:tc>
          <w:tcPr>
            <w:tcW w:w="960" w:type="dxa"/>
            <w:tcBorders>
              <w:top w:val="nil"/>
              <w:left w:val="nil"/>
              <w:bottom w:val="single" w:sz="8" w:space="0" w:color="auto"/>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-0.538</w:t>
            </w:r>
          </w:p>
        </w:tc>
        <w:tc>
          <w:tcPr>
            <w:tcW w:w="960" w:type="dxa"/>
            <w:tcBorders>
              <w:top w:val="nil"/>
              <w:left w:val="nil"/>
              <w:bottom w:val="single" w:sz="8" w:space="0" w:color="auto"/>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0.251</w:t>
            </w:r>
          </w:p>
        </w:tc>
        <w:tc>
          <w:tcPr>
            <w:tcW w:w="960" w:type="dxa"/>
            <w:tcBorders>
              <w:top w:val="nil"/>
              <w:left w:val="nil"/>
              <w:bottom w:val="single" w:sz="8" w:space="0" w:color="auto"/>
              <w:right w:val="nil"/>
            </w:tcBorders>
            <w:shd w:val="clear" w:color="auto" w:fill="auto"/>
            <w:noWrap/>
            <w:vAlign w:val="bottom"/>
          </w:tcPr>
          <w:p w:rsidR="005D46A4" w:rsidRPr="006857AF" w:rsidRDefault="005D46A4" w:rsidP="00DB0529">
            <w:pPr>
              <w:jc w:val="center"/>
              <w:rPr>
                <w:rFonts w:ascii="MS Sans Serif" w:hAnsi="MS Sans Serif" w:cs="Arial" w:hint="eastAsia"/>
                <w:sz w:val="18"/>
                <w:szCs w:val="18"/>
              </w:rPr>
            </w:pPr>
            <w:r w:rsidRPr="006857AF">
              <w:rPr>
                <w:rFonts w:ascii="MS Sans Serif" w:hAnsi="MS Sans Serif" w:cs="Arial"/>
                <w:sz w:val="18"/>
                <w:szCs w:val="18"/>
              </w:rPr>
              <w:t>-0.291</w:t>
            </w:r>
          </w:p>
        </w:tc>
      </w:tr>
    </w:tbl>
    <w:p w:rsidR="005B77C3" w:rsidRDefault="005B77C3" w:rsidP="00974D4D">
      <w:pPr>
        <w:spacing w:line="360" w:lineRule="auto"/>
      </w:pPr>
    </w:p>
    <w:p w:rsidR="005B77C3" w:rsidRDefault="005B77C3" w:rsidP="00974D4D">
      <w:pPr>
        <w:spacing w:line="360" w:lineRule="auto"/>
      </w:pPr>
    </w:p>
    <w:p w:rsidR="00472E06" w:rsidRDefault="00472E06" w:rsidP="00974D4D">
      <w:pPr>
        <w:spacing w:line="360" w:lineRule="auto"/>
      </w:pPr>
      <w:r>
        <w:t xml:space="preserve">Table </w:t>
      </w:r>
      <w:r w:rsidR="00E62BDD">
        <w:t>2</w:t>
      </w:r>
      <w:r>
        <w:t xml:space="preserve">: Statistics of </w:t>
      </w:r>
      <w:proofErr w:type="spellStart"/>
      <w:r>
        <w:t>iShares</w:t>
      </w:r>
      <w:proofErr w:type="spellEnd"/>
      <w:r>
        <w:t xml:space="preserve"> Morningstar Style Index Funds</w:t>
      </w:r>
    </w:p>
    <w:p w:rsidR="00472E06" w:rsidRPr="000D6F8C" w:rsidRDefault="00472E06" w:rsidP="00472E06">
      <w:pPr>
        <w:rPr>
          <w:sz w:val="22"/>
          <w:szCs w:val="22"/>
        </w:rPr>
      </w:pPr>
      <w:r w:rsidRPr="000D6F8C">
        <w:rPr>
          <w:sz w:val="22"/>
          <w:szCs w:val="22"/>
        </w:rPr>
        <w:t xml:space="preserve">The table reports time-series averages of market value, net expense ratio, and turnover ratio for </w:t>
      </w:r>
      <w:proofErr w:type="spellStart"/>
      <w:r w:rsidRPr="000D6F8C">
        <w:rPr>
          <w:sz w:val="22"/>
          <w:szCs w:val="22"/>
        </w:rPr>
        <w:t>iShares</w:t>
      </w:r>
      <w:proofErr w:type="spellEnd"/>
      <w:r w:rsidRPr="000D6F8C">
        <w:rPr>
          <w:sz w:val="22"/>
          <w:szCs w:val="22"/>
        </w:rPr>
        <w:t xml:space="preserve"> Morningstar style index </w:t>
      </w:r>
      <w:r w:rsidR="006B6D6E" w:rsidRPr="000D6F8C">
        <w:rPr>
          <w:sz w:val="22"/>
          <w:szCs w:val="22"/>
        </w:rPr>
        <w:t>funds</w:t>
      </w:r>
      <w:r w:rsidRPr="000D6F8C">
        <w:rPr>
          <w:sz w:val="22"/>
          <w:szCs w:val="22"/>
        </w:rPr>
        <w:t xml:space="preserve"> from 2004 to 2008.</w:t>
      </w:r>
    </w:p>
    <w:p w:rsidR="000D6F8C" w:rsidRDefault="000D6F8C" w:rsidP="00472E06"/>
    <w:tbl>
      <w:tblPr>
        <w:tblW w:w="8655" w:type="dxa"/>
        <w:tblInd w:w="93" w:type="dxa"/>
        <w:tblLook w:val="0000" w:firstRow="0" w:lastRow="0" w:firstColumn="0" w:lastColumn="0" w:noHBand="0" w:noVBand="0"/>
      </w:tblPr>
      <w:tblGrid>
        <w:gridCol w:w="4335"/>
        <w:gridCol w:w="1440"/>
        <w:gridCol w:w="1440"/>
        <w:gridCol w:w="1440"/>
      </w:tblGrid>
      <w:tr w:rsidR="00472E06" w:rsidRPr="00A9202C">
        <w:trPr>
          <w:trHeight w:val="510"/>
        </w:trPr>
        <w:tc>
          <w:tcPr>
            <w:tcW w:w="4335" w:type="dxa"/>
            <w:tcBorders>
              <w:top w:val="single" w:sz="4" w:space="0" w:color="auto"/>
              <w:left w:val="nil"/>
              <w:bottom w:val="single" w:sz="4" w:space="0" w:color="auto"/>
              <w:right w:val="nil"/>
            </w:tcBorders>
            <w:shd w:val="clear" w:color="auto" w:fill="auto"/>
          </w:tcPr>
          <w:p w:rsidR="00472E06" w:rsidRPr="00A9202C" w:rsidRDefault="00472E06" w:rsidP="006F1FC7">
            <w:pPr>
              <w:spacing w:before="240"/>
              <w:jc w:val="center"/>
              <w:rPr>
                <w:rFonts w:ascii="Verdana" w:hAnsi="Verdana" w:cs="Arial"/>
                <w:color w:val="000000"/>
                <w:sz w:val="20"/>
                <w:szCs w:val="20"/>
              </w:rPr>
            </w:pPr>
            <w:r w:rsidRPr="00A9202C">
              <w:rPr>
                <w:rFonts w:ascii="Verdana" w:hAnsi="Verdana" w:cs="Arial"/>
                <w:color w:val="000000"/>
                <w:sz w:val="20"/>
                <w:szCs w:val="20"/>
              </w:rPr>
              <w:t>Name</w:t>
            </w:r>
          </w:p>
        </w:tc>
        <w:tc>
          <w:tcPr>
            <w:tcW w:w="1440" w:type="dxa"/>
            <w:tcBorders>
              <w:top w:val="single" w:sz="4" w:space="0" w:color="auto"/>
              <w:left w:val="nil"/>
              <w:bottom w:val="single" w:sz="4" w:space="0" w:color="auto"/>
              <w:right w:val="nil"/>
            </w:tcBorders>
            <w:shd w:val="clear" w:color="auto" w:fill="auto"/>
          </w:tcPr>
          <w:p w:rsidR="00472E06" w:rsidRPr="00A9202C" w:rsidRDefault="00472E06" w:rsidP="006F1FC7">
            <w:pPr>
              <w:jc w:val="center"/>
              <w:rPr>
                <w:rFonts w:ascii="Verdana" w:hAnsi="Verdana" w:cs="Arial"/>
                <w:color w:val="000000"/>
                <w:sz w:val="20"/>
                <w:szCs w:val="20"/>
              </w:rPr>
            </w:pPr>
            <w:r w:rsidRPr="00A9202C">
              <w:rPr>
                <w:rFonts w:ascii="Verdana" w:hAnsi="Verdana" w:cs="Arial"/>
                <w:color w:val="000000"/>
                <w:sz w:val="20"/>
                <w:szCs w:val="20"/>
              </w:rPr>
              <w:t>Average Market Value (millions)</w:t>
            </w:r>
          </w:p>
        </w:tc>
        <w:tc>
          <w:tcPr>
            <w:tcW w:w="1440" w:type="dxa"/>
            <w:tcBorders>
              <w:top w:val="single" w:sz="4" w:space="0" w:color="auto"/>
              <w:left w:val="nil"/>
              <w:bottom w:val="single" w:sz="4" w:space="0" w:color="auto"/>
              <w:right w:val="nil"/>
            </w:tcBorders>
            <w:shd w:val="clear" w:color="auto" w:fill="auto"/>
          </w:tcPr>
          <w:p w:rsidR="00472E06" w:rsidRPr="00A9202C" w:rsidRDefault="00472E06" w:rsidP="006F1FC7">
            <w:pPr>
              <w:jc w:val="center"/>
              <w:rPr>
                <w:rFonts w:ascii="Verdana" w:hAnsi="Verdana" w:cs="Arial"/>
                <w:color w:val="000000"/>
                <w:sz w:val="20"/>
                <w:szCs w:val="20"/>
              </w:rPr>
            </w:pPr>
            <w:r w:rsidRPr="00A9202C">
              <w:rPr>
                <w:rFonts w:ascii="Verdana" w:hAnsi="Verdana" w:cs="Arial"/>
                <w:color w:val="000000"/>
                <w:sz w:val="20"/>
                <w:szCs w:val="20"/>
              </w:rPr>
              <w:t>Average Net Expense Ratio (%)</w:t>
            </w:r>
          </w:p>
        </w:tc>
        <w:tc>
          <w:tcPr>
            <w:tcW w:w="1440" w:type="dxa"/>
            <w:tcBorders>
              <w:top w:val="single" w:sz="4" w:space="0" w:color="auto"/>
              <w:left w:val="nil"/>
              <w:bottom w:val="single" w:sz="4" w:space="0" w:color="auto"/>
              <w:right w:val="nil"/>
            </w:tcBorders>
            <w:shd w:val="clear" w:color="auto" w:fill="auto"/>
          </w:tcPr>
          <w:p w:rsidR="00472E06" w:rsidRPr="00A9202C" w:rsidRDefault="00472E06" w:rsidP="006F1FC7">
            <w:pPr>
              <w:jc w:val="center"/>
              <w:rPr>
                <w:rFonts w:ascii="Verdana" w:hAnsi="Verdana" w:cs="Arial"/>
                <w:color w:val="000000"/>
                <w:sz w:val="20"/>
                <w:szCs w:val="20"/>
              </w:rPr>
            </w:pPr>
            <w:r>
              <w:rPr>
                <w:rFonts w:ascii="Verdana" w:hAnsi="Verdana" w:cs="Arial"/>
                <w:color w:val="000000"/>
                <w:sz w:val="20"/>
                <w:szCs w:val="20"/>
              </w:rPr>
              <w:t xml:space="preserve">Average Turnover </w:t>
            </w:r>
            <w:r w:rsidRPr="00A9202C">
              <w:rPr>
                <w:rFonts w:ascii="Verdana" w:hAnsi="Verdana" w:cs="Arial"/>
                <w:color w:val="000000"/>
                <w:sz w:val="20"/>
                <w:szCs w:val="20"/>
              </w:rPr>
              <w:t>Ratio (%)</w:t>
            </w:r>
          </w:p>
        </w:tc>
      </w:tr>
      <w:tr w:rsidR="00472E06" w:rsidRPr="00A9202C">
        <w:trPr>
          <w:trHeight w:val="255"/>
        </w:trPr>
        <w:tc>
          <w:tcPr>
            <w:tcW w:w="4335" w:type="dxa"/>
            <w:tcBorders>
              <w:top w:val="nil"/>
              <w:left w:val="nil"/>
              <w:bottom w:val="nil"/>
              <w:right w:val="nil"/>
            </w:tcBorders>
            <w:shd w:val="clear" w:color="auto" w:fill="auto"/>
            <w:noWrap/>
            <w:vAlign w:val="bottom"/>
          </w:tcPr>
          <w:p w:rsidR="00472E06" w:rsidRPr="00A9202C" w:rsidRDefault="00472E06" w:rsidP="006F1FC7">
            <w:pPr>
              <w:rPr>
                <w:rFonts w:ascii="Verdana" w:hAnsi="Verdana" w:cs="Arial"/>
                <w:sz w:val="20"/>
                <w:szCs w:val="20"/>
              </w:rPr>
            </w:pPr>
            <w:proofErr w:type="spellStart"/>
            <w:r w:rsidRPr="00A9202C">
              <w:rPr>
                <w:rFonts w:ascii="Verdana" w:hAnsi="Verdana" w:cs="Arial"/>
                <w:sz w:val="20"/>
                <w:szCs w:val="20"/>
              </w:rPr>
              <w:t>iShares</w:t>
            </w:r>
            <w:proofErr w:type="spellEnd"/>
            <w:r w:rsidRPr="00A9202C">
              <w:rPr>
                <w:rFonts w:ascii="Verdana" w:hAnsi="Verdana" w:cs="Arial"/>
                <w:sz w:val="20"/>
                <w:szCs w:val="20"/>
              </w:rPr>
              <w:t xml:space="preserve"> Morningstar Large Core Index</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$171.11</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0.20</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29.67</w:t>
            </w:r>
          </w:p>
        </w:tc>
      </w:tr>
      <w:tr w:rsidR="00472E06" w:rsidRPr="00A9202C">
        <w:trPr>
          <w:trHeight w:val="255"/>
        </w:trPr>
        <w:tc>
          <w:tcPr>
            <w:tcW w:w="4335" w:type="dxa"/>
            <w:tcBorders>
              <w:top w:val="nil"/>
              <w:left w:val="nil"/>
              <w:bottom w:val="nil"/>
              <w:right w:val="nil"/>
            </w:tcBorders>
            <w:shd w:val="clear" w:color="auto" w:fill="auto"/>
            <w:noWrap/>
            <w:vAlign w:val="bottom"/>
          </w:tcPr>
          <w:p w:rsidR="00472E06" w:rsidRPr="00A9202C" w:rsidRDefault="00472E06" w:rsidP="006F1FC7">
            <w:pPr>
              <w:rPr>
                <w:rFonts w:ascii="Verdana" w:hAnsi="Verdana" w:cs="Arial"/>
                <w:sz w:val="20"/>
                <w:szCs w:val="20"/>
              </w:rPr>
            </w:pPr>
            <w:proofErr w:type="spellStart"/>
            <w:r w:rsidRPr="00A9202C">
              <w:rPr>
                <w:rFonts w:ascii="Verdana" w:hAnsi="Verdana" w:cs="Arial"/>
                <w:sz w:val="20"/>
                <w:szCs w:val="20"/>
              </w:rPr>
              <w:t>iShares</w:t>
            </w:r>
            <w:proofErr w:type="spellEnd"/>
            <w:r w:rsidRPr="00A9202C">
              <w:rPr>
                <w:rFonts w:ascii="Verdana" w:hAnsi="Verdana" w:cs="Arial"/>
                <w:sz w:val="20"/>
                <w:szCs w:val="20"/>
              </w:rPr>
              <w:t xml:space="preserve"> Morningstar Large Growth Index</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$365.58</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0.25</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27.67</w:t>
            </w:r>
          </w:p>
        </w:tc>
      </w:tr>
      <w:tr w:rsidR="00472E06" w:rsidRPr="00A9202C">
        <w:trPr>
          <w:trHeight w:val="255"/>
        </w:trPr>
        <w:tc>
          <w:tcPr>
            <w:tcW w:w="4335" w:type="dxa"/>
            <w:tcBorders>
              <w:top w:val="nil"/>
              <w:left w:val="nil"/>
              <w:bottom w:val="nil"/>
              <w:right w:val="nil"/>
            </w:tcBorders>
            <w:shd w:val="clear" w:color="auto" w:fill="auto"/>
            <w:noWrap/>
            <w:vAlign w:val="bottom"/>
          </w:tcPr>
          <w:p w:rsidR="00472E06" w:rsidRPr="00A9202C" w:rsidRDefault="00472E06" w:rsidP="006F1FC7">
            <w:pPr>
              <w:rPr>
                <w:rFonts w:ascii="Verdana" w:hAnsi="Verdana" w:cs="Arial"/>
                <w:sz w:val="20"/>
                <w:szCs w:val="20"/>
              </w:rPr>
            </w:pPr>
            <w:proofErr w:type="spellStart"/>
            <w:r w:rsidRPr="00A9202C">
              <w:rPr>
                <w:rFonts w:ascii="Verdana" w:hAnsi="Verdana" w:cs="Arial"/>
                <w:sz w:val="20"/>
                <w:szCs w:val="20"/>
              </w:rPr>
              <w:t>iShares</w:t>
            </w:r>
            <w:proofErr w:type="spellEnd"/>
            <w:r w:rsidRPr="00A9202C">
              <w:rPr>
                <w:rFonts w:ascii="Verdana" w:hAnsi="Verdana" w:cs="Arial"/>
                <w:sz w:val="20"/>
                <w:szCs w:val="20"/>
              </w:rPr>
              <w:t xml:space="preserve"> Morningstar Large Value Index</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$294.43</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0.25</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20.67</w:t>
            </w:r>
          </w:p>
        </w:tc>
      </w:tr>
      <w:tr w:rsidR="00472E06" w:rsidRPr="00A9202C">
        <w:trPr>
          <w:trHeight w:val="255"/>
        </w:trPr>
        <w:tc>
          <w:tcPr>
            <w:tcW w:w="4335" w:type="dxa"/>
            <w:tcBorders>
              <w:top w:val="nil"/>
              <w:left w:val="nil"/>
              <w:bottom w:val="nil"/>
              <w:right w:val="nil"/>
            </w:tcBorders>
            <w:shd w:val="clear" w:color="auto" w:fill="auto"/>
            <w:noWrap/>
            <w:vAlign w:val="bottom"/>
          </w:tcPr>
          <w:p w:rsidR="00472E06" w:rsidRPr="00A9202C" w:rsidRDefault="00472E06" w:rsidP="006F1FC7">
            <w:pPr>
              <w:rPr>
                <w:rFonts w:ascii="Verdana" w:hAnsi="Verdana" w:cs="Arial"/>
                <w:sz w:val="20"/>
                <w:szCs w:val="20"/>
              </w:rPr>
            </w:pPr>
            <w:proofErr w:type="spellStart"/>
            <w:r w:rsidRPr="00A9202C">
              <w:rPr>
                <w:rFonts w:ascii="Verdana" w:hAnsi="Verdana" w:cs="Arial"/>
                <w:sz w:val="20"/>
                <w:szCs w:val="20"/>
              </w:rPr>
              <w:t>iShares</w:t>
            </w:r>
            <w:proofErr w:type="spellEnd"/>
            <w:r w:rsidRPr="00A9202C">
              <w:rPr>
                <w:rFonts w:ascii="Verdana" w:hAnsi="Verdana" w:cs="Arial"/>
                <w:sz w:val="20"/>
                <w:szCs w:val="20"/>
              </w:rPr>
              <w:t xml:space="preserve"> Morningstar Mid Core Index</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$117.70</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0.25</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41.67</w:t>
            </w:r>
          </w:p>
        </w:tc>
      </w:tr>
      <w:tr w:rsidR="00472E06" w:rsidRPr="00A9202C">
        <w:trPr>
          <w:trHeight w:val="255"/>
        </w:trPr>
        <w:tc>
          <w:tcPr>
            <w:tcW w:w="4335" w:type="dxa"/>
            <w:tcBorders>
              <w:top w:val="nil"/>
              <w:left w:val="nil"/>
              <w:bottom w:val="nil"/>
              <w:right w:val="nil"/>
            </w:tcBorders>
            <w:shd w:val="clear" w:color="auto" w:fill="auto"/>
            <w:noWrap/>
            <w:vAlign w:val="bottom"/>
          </w:tcPr>
          <w:p w:rsidR="00472E06" w:rsidRPr="00A9202C" w:rsidRDefault="00472E06" w:rsidP="006F1FC7">
            <w:pPr>
              <w:rPr>
                <w:rFonts w:ascii="Verdana" w:hAnsi="Verdana" w:cs="Arial"/>
                <w:sz w:val="20"/>
                <w:szCs w:val="20"/>
              </w:rPr>
            </w:pPr>
            <w:proofErr w:type="spellStart"/>
            <w:r w:rsidRPr="00A9202C">
              <w:rPr>
                <w:rFonts w:ascii="Verdana" w:hAnsi="Verdana" w:cs="Arial"/>
                <w:sz w:val="20"/>
                <w:szCs w:val="20"/>
              </w:rPr>
              <w:t>iShares</w:t>
            </w:r>
            <w:proofErr w:type="spellEnd"/>
            <w:r w:rsidRPr="00A9202C">
              <w:rPr>
                <w:rFonts w:ascii="Verdana" w:hAnsi="Verdana" w:cs="Arial"/>
                <w:sz w:val="20"/>
                <w:szCs w:val="20"/>
              </w:rPr>
              <w:t xml:space="preserve"> Morningstar Mid Growth Index</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$290.59</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0.30</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35.00</w:t>
            </w:r>
          </w:p>
        </w:tc>
      </w:tr>
      <w:tr w:rsidR="00472E06" w:rsidRPr="00A9202C">
        <w:trPr>
          <w:trHeight w:val="255"/>
        </w:trPr>
        <w:tc>
          <w:tcPr>
            <w:tcW w:w="4335" w:type="dxa"/>
            <w:tcBorders>
              <w:top w:val="nil"/>
              <w:left w:val="nil"/>
              <w:bottom w:val="nil"/>
              <w:right w:val="nil"/>
            </w:tcBorders>
            <w:shd w:val="clear" w:color="auto" w:fill="auto"/>
            <w:noWrap/>
            <w:vAlign w:val="bottom"/>
          </w:tcPr>
          <w:p w:rsidR="00472E06" w:rsidRPr="00A9202C" w:rsidRDefault="00472E06" w:rsidP="006F1FC7">
            <w:pPr>
              <w:rPr>
                <w:rFonts w:ascii="Verdana" w:hAnsi="Verdana" w:cs="Arial"/>
                <w:sz w:val="20"/>
                <w:szCs w:val="20"/>
              </w:rPr>
            </w:pPr>
            <w:proofErr w:type="spellStart"/>
            <w:r w:rsidRPr="00A9202C">
              <w:rPr>
                <w:rFonts w:ascii="Verdana" w:hAnsi="Verdana" w:cs="Arial"/>
                <w:sz w:val="20"/>
                <w:szCs w:val="20"/>
              </w:rPr>
              <w:t>iShares</w:t>
            </w:r>
            <w:proofErr w:type="spellEnd"/>
            <w:r w:rsidRPr="00A9202C">
              <w:rPr>
                <w:rFonts w:ascii="Verdana" w:hAnsi="Verdana" w:cs="Arial"/>
                <w:sz w:val="20"/>
                <w:szCs w:val="20"/>
              </w:rPr>
              <w:t xml:space="preserve"> Morningstar Mid Value Index</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$122.76</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0.30</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32.67</w:t>
            </w:r>
          </w:p>
        </w:tc>
      </w:tr>
      <w:tr w:rsidR="00472E06" w:rsidRPr="00A9202C">
        <w:trPr>
          <w:trHeight w:val="255"/>
        </w:trPr>
        <w:tc>
          <w:tcPr>
            <w:tcW w:w="4335" w:type="dxa"/>
            <w:tcBorders>
              <w:top w:val="nil"/>
              <w:left w:val="nil"/>
              <w:bottom w:val="nil"/>
              <w:right w:val="nil"/>
            </w:tcBorders>
            <w:shd w:val="clear" w:color="auto" w:fill="auto"/>
            <w:noWrap/>
            <w:vAlign w:val="bottom"/>
          </w:tcPr>
          <w:p w:rsidR="00472E06" w:rsidRPr="00A9202C" w:rsidRDefault="00472E06" w:rsidP="006F1FC7">
            <w:pPr>
              <w:rPr>
                <w:rFonts w:ascii="Verdana" w:hAnsi="Verdana" w:cs="Arial"/>
                <w:sz w:val="20"/>
                <w:szCs w:val="20"/>
              </w:rPr>
            </w:pPr>
            <w:proofErr w:type="spellStart"/>
            <w:r w:rsidRPr="00A9202C">
              <w:rPr>
                <w:rFonts w:ascii="Verdana" w:hAnsi="Verdana" w:cs="Arial"/>
                <w:sz w:val="20"/>
                <w:szCs w:val="20"/>
              </w:rPr>
              <w:t>iShares</w:t>
            </w:r>
            <w:proofErr w:type="spellEnd"/>
            <w:r w:rsidRPr="00A9202C">
              <w:rPr>
                <w:rFonts w:ascii="Verdana" w:hAnsi="Verdana" w:cs="Arial"/>
                <w:sz w:val="20"/>
                <w:szCs w:val="20"/>
              </w:rPr>
              <w:t xml:space="preserve"> Morningstar Small Core Index</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$113.15</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0.25</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60.00</w:t>
            </w:r>
          </w:p>
        </w:tc>
      </w:tr>
      <w:tr w:rsidR="00472E06" w:rsidRPr="00A9202C">
        <w:trPr>
          <w:trHeight w:val="255"/>
        </w:trPr>
        <w:tc>
          <w:tcPr>
            <w:tcW w:w="4335" w:type="dxa"/>
            <w:tcBorders>
              <w:top w:val="nil"/>
              <w:left w:val="nil"/>
              <w:bottom w:val="nil"/>
              <w:right w:val="nil"/>
            </w:tcBorders>
            <w:shd w:val="clear" w:color="auto" w:fill="auto"/>
            <w:noWrap/>
            <w:vAlign w:val="bottom"/>
          </w:tcPr>
          <w:p w:rsidR="00472E06" w:rsidRPr="00A9202C" w:rsidRDefault="00472E06" w:rsidP="006F1FC7">
            <w:pPr>
              <w:rPr>
                <w:rFonts w:ascii="Verdana" w:hAnsi="Verdana" w:cs="Arial"/>
                <w:sz w:val="20"/>
                <w:szCs w:val="20"/>
              </w:rPr>
            </w:pPr>
            <w:proofErr w:type="spellStart"/>
            <w:r w:rsidRPr="00A9202C">
              <w:rPr>
                <w:rFonts w:ascii="Verdana" w:hAnsi="Verdana" w:cs="Arial"/>
                <w:sz w:val="20"/>
                <w:szCs w:val="20"/>
              </w:rPr>
              <w:t>iShares</w:t>
            </w:r>
            <w:proofErr w:type="spellEnd"/>
            <w:r w:rsidRPr="00A9202C">
              <w:rPr>
                <w:rFonts w:ascii="Verdana" w:hAnsi="Verdana" w:cs="Arial"/>
                <w:sz w:val="20"/>
                <w:szCs w:val="20"/>
              </w:rPr>
              <w:t xml:space="preserve"> Morningstar Small Growth Index</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$68.29</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0.30</w:t>
            </w:r>
          </w:p>
        </w:tc>
        <w:tc>
          <w:tcPr>
            <w:tcW w:w="1440" w:type="dxa"/>
            <w:tcBorders>
              <w:top w:val="nil"/>
              <w:left w:val="nil"/>
              <w:bottom w:val="nil"/>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52.00</w:t>
            </w:r>
          </w:p>
        </w:tc>
      </w:tr>
      <w:tr w:rsidR="00472E06" w:rsidRPr="00A9202C">
        <w:trPr>
          <w:trHeight w:val="255"/>
        </w:trPr>
        <w:tc>
          <w:tcPr>
            <w:tcW w:w="4335" w:type="dxa"/>
            <w:tcBorders>
              <w:top w:val="nil"/>
              <w:left w:val="nil"/>
              <w:bottom w:val="single" w:sz="4" w:space="0" w:color="auto"/>
              <w:right w:val="nil"/>
            </w:tcBorders>
            <w:shd w:val="clear" w:color="auto" w:fill="auto"/>
            <w:noWrap/>
            <w:vAlign w:val="bottom"/>
          </w:tcPr>
          <w:p w:rsidR="00472E06" w:rsidRPr="00A9202C" w:rsidRDefault="00472E06" w:rsidP="006F1FC7">
            <w:pPr>
              <w:rPr>
                <w:rFonts w:ascii="Verdana" w:hAnsi="Verdana" w:cs="Arial"/>
                <w:sz w:val="20"/>
                <w:szCs w:val="20"/>
              </w:rPr>
            </w:pPr>
            <w:proofErr w:type="spellStart"/>
            <w:r w:rsidRPr="00A9202C">
              <w:rPr>
                <w:rFonts w:ascii="Verdana" w:hAnsi="Verdana" w:cs="Arial"/>
                <w:sz w:val="20"/>
                <w:szCs w:val="20"/>
              </w:rPr>
              <w:t>iShares</w:t>
            </w:r>
            <w:proofErr w:type="spellEnd"/>
            <w:r w:rsidRPr="00A9202C">
              <w:rPr>
                <w:rFonts w:ascii="Verdana" w:hAnsi="Verdana" w:cs="Arial"/>
                <w:sz w:val="20"/>
                <w:szCs w:val="20"/>
              </w:rPr>
              <w:t xml:space="preserve"> Morningstar Small Value Index</w:t>
            </w:r>
          </w:p>
        </w:tc>
        <w:tc>
          <w:tcPr>
            <w:tcW w:w="1440" w:type="dxa"/>
            <w:tcBorders>
              <w:top w:val="nil"/>
              <w:left w:val="nil"/>
              <w:bottom w:val="single" w:sz="4" w:space="0" w:color="auto"/>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$95.93</w:t>
            </w:r>
          </w:p>
        </w:tc>
        <w:tc>
          <w:tcPr>
            <w:tcW w:w="1440" w:type="dxa"/>
            <w:tcBorders>
              <w:top w:val="nil"/>
              <w:left w:val="nil"/>
              <w:bottom w:val="single" w:sz="4" w:space="0" w:color="auto"/>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0.30</w:t>
            </w:r>
          </w:p>
        </w:tc>
        <w:tc>
          <w:tcPr>
            <w:tcW w:w="1440" w:type="dxa"/>
            <w:tcBorders>
              <w:top w:val="nil"/>
              <w:left w:val="nil"/>
              <w:bottom w:val="single" w:sz="4" w:space="0" w:color="auto"/>
              <w:right w:val="nil"/>
            </w:tcBorders>
            <w:shd w:val="clear" w:color="auto" w:fill="auto"/>
            <w:noWrap/>
            <w:vAlign w:val="bottom"/>
          </w:tcPr>
          <w:p w:rsidR="00472E06" w:rsidRPr="00A9202C" w:rsidRDefault="00472E06" w:rsidP="006F1FC7">
            <w:pPr>
              <w:jc w:val="center"/>
              <w:rPr>
                <w:rFonts w:ascii="Arial" w:hAnsi="Arial" w:cs="Arial"/>
                <w:sz w:val="20"/>
                <w:szCs w:val="20"/>
              </w:rPr>
            </w:pPr>
            <w:r w:rsidRPr="00A9202C">
              <w:rPr>
                <w:rFonts w:ascii="Arial" w:hAnsi="Arial" w:cs="Arial"/>
                <w:sz w:val="20"/>
                <w:szCs w:val="20"/>
              </w:rPr>
              <w:t>46.33</w:t>
            </w:r>
          </w:p>
        </w:tc>
      </w:tr>
    </w:tbl>
    <w:p w:rsidR="00757C68" w:rsidRDefault="00C0595D" w:rsidP="00757C68">
      <w:r>
        <w:br w:type="page"/>
      </w:r>
      <w:r w:rsidR="00757C68">
        <w:lastRenderedPageBreak/>
        <w:t xml:space="preserve">Table 3: </w:t>
      </w:r>
      <w:r w:rsidR="000D6F8C">
        <w:t xml:space="preserve">Summary </w:t>
      </w:r>
      <w:r w:rsidR="00757C68">
        <w:t xml:space="preserve">Statistics of Returns and </w:t>
      </w:r>
      <w:r w:rsidR="005B77C3">
        <w:t>SUE</w:t>
      </w:r>
      <w:r w:rsidR="008A39E4">
        <w:t xml:space="preserve"> </w:t>
      </w:r>
      <w:r w:rsidR="00757C68">
        <w:t>of Morningstar Sector Indexes</w:t>
      </w:r>
    </w:p>
    <w:p w:rsidR="000D6F8C" w:rsidRDefault="000D6F8C" w:rsidP="00757C68"/>
    <w:p w:rsidR="00757C68" w:rsidRPr="000D6F8C" w:rsidRDefault="00757C68" w:rsidP="00757C68">
      <w:pPr>
        <w:rPr>
          <w:sz w:val="22"/>
          <w:szCs w:val="22"/>
        </w:rPr>
      </w:pPr>
      <w:r w:rsidRPr="000D6F8C">
        <w:rPr>
          <w:sz w:val="22"/>
          <w:szCs w:val="22"/>
        </w:rPr>
        <w:t xml:space="preserve">The table reports summary statistics of monthly returns </w:t>
      </w:r>
      <w:r w:rsidR="008A39E4" w:rsidRPr="000D6F8C">
        <w:rPr>
          <w:sz w:val="22"/>
          <w:szCs w:val="22"/>
        </w:rPr>
        <w:t xml:space="preserve">and SUE </w:t>
      </w:r>
      <w:r w:rsidR="000D6F8C">
        <w:rPr>
          <w:sz w:val="22"/>
          <w:szCs w:val="22"/>
        </w:rPr>
        <w:t xml:space="preserve">for each </w:t>
      </w:r>
      <w:r w:rsidRPr="000D6F8C">
        <w:rPr>
          <w:sz w:val="22"/>
          <w:szCs w:val="22"/>
        </w:rPr>
        <w:t xml:space="preserve">of </w:t>
      </w:r>
      <w:r w:rsidR="000D6F8C">
        <w:rPr>
          <w:sz w:val="22"/>
          <w:szCs w:val="22"/>
        </w:rPr>
        <w:t xml:space="preserve">the </w:t>
      </w:r>
      <w:r w:rsidR="00DF7785">
        <w:rPr>
          <w:sz w:val="22"/>
          <w:szCs w:val="22"/>
        </w:rPr>
        <w:t>Morningstar S</w:t>
      </w:r>
      <w:r w:rsidRPr="000D6F8C">
        <w:rPr>
          <w:sz w:val="22"/>
          <w:szCs w:val="22"/>
        </w:rPr>
        <w:t xml:space="preserve">ector </w:t>
      </w:r>
      <w:r w:rsidR="00DF7785">
        <w:rPr>
          <w:sz w:val="22"/>
          <w:szCs w:val="22"/>
        </w:rPr>
        <w:t>I</w:t>
      </w:r>
      <w:r w:rsidR="005B77C3">
        <w:rPr>
          <w:sz w:val="22"/>
          <w:szCs w:val="22"/>
        </w:rPr>
        <w:t xml:space="preserve">ndexes. Again, </w:t>
      </w:r>
      <w:r w:rsidR="008A39E4" w:rsidRPr="000D6F8C">
        <w:rPr>
          <w:sz w:val="22"/>
          <w:szCs w:val="22"/>
        </w:rPr>
        <w:t>SUE</w:t>
      </w:r>
      <w:r w:rsidRPr="000D6F8C">
        <w:rPr>
          <w:sz w:val="22"/>
          <w:szCs w:val="22"/>
        </w:rPr>
        <w:t xml:space="preserve"> is the value-weighted average of </w:t>
      </w:r>
      <w:r w:rsidR="008A39E4" w:rsidRPr="000D6F8C">
        <w:rPr>
          <w:sz w:val="22"/>
          <w:szCs w:val="22"/>
        </w:rPr>
        <w:t>SUE</w:t>
      </w:r>
      <w:r w:rsidRPr="000D6F8C">
        <w:rPr>
          <w:sz w:val="22"/>
          <w:szCs w:val="22"/>
        </w:rPr>
        <w:t xml:space="preserve"> of individual stocks in an</w:t>
      </w:r>
      <w:r w:rsidR="009F08D3" w:rsidRPr="000D6F8C">
        <w:rPr>
          <w:sz w:val="22"/>
          <w:szCs w:val="22"/>
        </w:rPr>
        <w:t xml:space="preserve"> index</w:t>
      </w:r>
      <w:r w:rsidRPr="000D6F8C">
        <w:rPr>
          <w:sz w:val="22"/>
          <w:szCs w:val="22"/>
        </w:rPr>
        <w:t>. ‘‘</w:t>
      </w:r>
      <w:proofErr w:type="spellStart"/>
      <w:r w:rsidRPr="000D6F8C">
        <w:rPr>
          <w:sz w:val="22"/>
          <w:szCs w:val="22"/>
        </w:rPr>
        <w:t>Stdev</w:t>
      </w:r>
      <w:proofErr w:type="spellEnd"/>
      <w:r w:rsidRPr="000D6F8C">
        <w:rPr>
          <w:sz w:val="22"/>
          <w:szCs w:val="22"/>
        </w:rPr>
        <w:t>,’’ ‘‘Skew,’’ and ‘‘</w:t>
      </w:r>
      <w:proofErr w:type="spellStart"/>
      <w:r w:rsidRPr="000D6F8C">
        <w:rPr>
          <w:sz w:val="22"/>
          <w:szCs w:val="22"/>
        </w:rPr>
        <w:t>Kurto</w:t>
      </w:r>
      <w:proofErr w:type="spellEnd"/>
      <w:r w:rsidRPr="000D6F8C">
        <w:rPr>
          <w:sz w:val="22"/>
          <w:szCs w:val="22"/>
        </w:rPr>
        <w:t xml:space="preserve">’’ denote the standard deviation, </w:t>
      </w:r>
      <w:proofErr w:type="spellStart"/>
      <w:r w:rsidRPr="000D6F8C">
        <w:rPr>
          <w:sz w:val="22"/>
          <w:szCs w:val="22"/>
        </w:rPr>
        <w:t>skewness</w:t>
      </w:r>
      <w:proofErr w:type="spellEnd"/>
      <w:r w:rsidRPr="000D6F8C">
        <w:rPr>
          <w:sz w:val="22"/>
          <w:szCs w:val="22"/>
        </w:rPr>
        <w:t>, and excess kurtosis, respectively.</w:t>
      </w:r>
    </w:p>
    <w:p w:rsidR="000D6F8C" w:rsidRDefault="000D6F8C" w:rsidP="00757C68"/>
    <w:tbl>
      <w:tblPr>
        <w:tblW w:w="8360" w:type="dxa"/>
        <w:tblInd w:w="93" w:type="dxa"/>
        <w:tblLook w:val="0000" w:firstRow="0" w:lastRow="0" w:firstColumn="0" w:lastColumn="0" w:noHBand="0" w:noVBand="0"/>
      </w:tblPr>
      <w:tblGrid>
        <w:gridCol w:w="2600"/>
        <w:gridCol w:w="960"/>
        <w:gridCol w:w="960"/>
        <w:gridCol w:w="960"/>
        <w:gridCol w:w="960"/>
        <w:gridCol w:w="960"/>
        <w:gridCol w:w="960"/>
      </w:tblGrid>
      <w:tr w:rsidR="006F1FC7" w:rsidRPr="006F1FC7">
        <w:trPr>
          <w:trHeight w:val="270"/>
        </w:trPr>
        <w:tc>
          <w:tcPr>
            <w:tcW w:w="2600" w:type="dxa"/>
            <w:tcBorders>
              <w:top w:val="single" w:sz="8" w:space="0" w:color="auto"/>
              <w:left w:val="nil"/>
              <w:bottom w:val="single" w:sz="8" w:space="0" w:color="auto"/>
              <w:right w:val="nil"/>
            </w:tcBorders>
            <w:shd w:val="clear" w:color="auto" w:fill="auto"/>
            <w:noWrap/>
            <w:vAlign w:val="bottom"/>
          </w:tcPr>
          <w:p w:rsidR="006F1FC7" w:rsidRPr="006F1FC7" w:rsidRDefault="006F1FC7" w:rsidP="006F1FC7">
            <w:pPr>
              <w:rPr>
                <w:rFonts w:ascii="Arial" w:hAnsi="Arial" w:cs="Arial"/>
                <w:sz w:val="18"/>
                <w:szCs w:val="18"/>
              </w:rPr>
            </w:pPr>
            <w:r w:rsidRPr="006F1FC7">
              <w:rPr>
                <w:rFonts w:ascii="Arial" w:hAnsi="Arial" w:cs="Arial"/>
                <w:sz w:val="18"/>
                <w:szCs w:val="18"/>
              </w:rPr>
              <w:t>Name</w:t>
            </w:r>
          </w:p>
        </w:tc>
        <w:tc>
          <w:tcPr>
            <w:tcW w:w="960" w:type="dxa"/>
            <w:tcBorders>
              <w:top w:val="single" w:sz="8" w:space="0" w:color="auto"/>
              <w:left w:val="nil"/>
              <w:bottom w:val="single" w:sz="8" w:space="0" w:color="auto"/>
              <w:right w:val="nil"/>
            </w:tcBorders>
            <w:shd w:val="clear" w:color="auto" w:fill="auto"/>
            <w:noWrap/>
            <w:vAlign w:val="bottom"/>
          </w:tcPr>
          <w:p w:rsidR="006F1FC7" w:rsidRPr="006F1FC7" w:rsidRDefault="006F1FC7" w:rsidP="006F1FC7">
            <w:pPr>
              <w:jc w:val="center"/>
              <w:rPr>
                <w:rFonts w:ascii="Arial" w:hAnsi="Arial" w:cs="Arial"/>
                <w:sz w:val="18"/>
                <w:szCs w:val="18"/>
              </w:rPr>
            </w:pPr>
            <w:r w:rsidRPr="006F1FC7">
              <w:rPr>
                <w:rFonts w:ascii="Arial" w:hAnsi="Arial" w:cs="Arial"/>
                <w:sz w:val="18"/>
                <w:szCs w:val="18"/>
              </w:rPr>
              <w:t>Mean</w:t>
            </w:r>
          </w:p>
        </w:tc>
        <w:tc>
          <w:tcPr>
            <w:tcW w:w="960" w:type="dxa"/>
            <w:tcBorders>
              <w:top w:val="single" w:sz="8" w:space="0" w:color="auto"/>
              <w:left w:val="nil"/>
              <w:bottom w:val="single" w:sz="8" w:space="0" w:color="auto"/>
              <w:right w:val="nil"/>
            </w:tcBorders>
            <w:shd w:val="clear" w:color="auto" w:fill="auto"/>
            <w:noWrap/>
            <w:vAlign w:val="bottom"/>
          </w:tcPr>
          <w:p w:rsidR="006F1FC7" w:rsidRPr="006F1FC7" w:rsidRDefault="006F1FC7" w:rsidP="006F1FC7">
            <w:pPr>
              <w:jc w:val="center"/>
              <w:rPr>
                <w:rFonts w:ascii="Arial" w:hAnsi="Arial" w:cs="Arial"/>
                <w:sz w:val="18"/>
                <w:szCs w:val="18"/>
              </w:rPr>
            </w:pPr>
            <w:proofErr w:type="spellStart"/>
            <w:r w:rsidRPr="006F1FC7">
              <w:rPr>
                <w:rFonts w:ascii="Arial" w:hAnsi="Arial" w:cs="Arial"/>
                <w:sz w:val="18"/>
                <w:szCs w:val="18"/>
              </w:rPr>
              <w:t>Stdev</w:t>
            </w:r>
            <w:proofErr w:type="spellEnd"/>
          </w:p>
        </w:tc>
        <w:tc>
          <w:tcPr>
            <w:tcW w:w="960" w:type="dxa"/>
            <w:tcBorders>
              <w:top w:val="single" w:sz="8" w:space="0" w:color="auto"/>
              <w:left w:val="nil"/>
              <w:bottom w:val="single" w:sz="8" w:space="0" w:color="auto"/>
              <w:right w:val="nil"/>
            </w:tcBorders>
            <w:shd w:val="clear" w:color="auto" w:fill="auto"/>
            <w:noWrap/>
            <w:vAlign w:val="bottom"/>
          </w:tcPr>
          <w:p w:rsidR="006F1FC7" w:rsidRPr="006F1FC7" w:rsidRDefault="006F1FC7" w:rsidP="006F1FC7">
            <w:pPr>
              <w:jc w:val="center"/>
              <w:rPr>
                <w:rFonts w:ascii="Arial" w:hAnsi="Arial" w:cs="Arial"/>
                <w:sz w:val="18"/>
                <w:szCs w:val="18"/>
              </w:rPr>
            </w:pPr>
            <w:r w:rsidRPr="006F1FC7">
              <w:rPr>
                <w:rFonts w:ascii="Arial" w:hAnsi="Arial" w:cs="Arial"/>
                <w:sz w:val="18"/>
                <w:szCs w:val="18"/>
              </w:rPr>
              <w:t>Skew</w:t>
            </w:r>
          </w:p>
        </w:tc>
        <w:tc>
          <w:tcPr>
            <w:tcW w:w="960" w:type="dxa"/>
            <w:tcBorders>
              <w:top w:val="single" w:sz="8" w:space="0" w:color="auto"/>
              <w:left w:val="nil"/>
              <w:bottom w:val="single" w:sz="8" w:space="0" w:color="auto"/>
              <w:right w:val="nil"/>
            </w:tcBorders>
            <w:shd w:val="clear" w:color="auto" w:fill="auto"/>
            <w:noWrap/>
            <w:vAlign w:val="bottom"/>
          </w:tcPr>
          <w:p w:rsidR="006F1FC7" w:rsidRPr="006F1FC7" w:rsidRDefault="006F1FC7" w:rsidP="006F1FC7">
            <w:pPr>
              <w:jc w:val="center"/>
              <w:rPr>
                <w:rFonts w:ascii="Arial" w:hAnsi="Arial" w:cs="Arial"/>
                <w:sz w:val="18"/>
                <w:szCs w:val="18"/>
              </w:rPr>
            </w:pPr>
            <w:proofErr w:type="spellStart"/>
            <w:r w:rsidRPr="006F1FC7">
              <w:rPr>
                <w:rFonts w:ascii="Arial" w:hAnsi="Arial" w:cs="Arial"/>
                <w:sz w:val="18"/>
                <w:szCs w:val="18"/>
              </w:rPr>
              <w:t>Kurto</w:t>
            </w:r>
            <w:proofErr w:type="spellEnd"/>
          </w:p>
        </w:tc>
        <w:tc>
          <w:tcPr>
            <w:tcW w:w="960" w:type="dxa"/>
            <w:tcBorders>
              <w:top w:val="single" w:sz="8" w:space="0" w:color="auto"/>
              <w:left w:val="nil"/>
              <w:bottom w:val="single" w:sz="8" w:space="0" w:color="auto"/>
              <w:right w:val="nil"/>
            </w:tcBorders>
            <w:shd w:val="clear" w:color="auto" w:fill="auto"/>
            <w:noWrap/>
            <w:vAlign w:val="bottom"/>
          </w:tcPr>
          <w:p w:rsidR="006F1FC7" w:rsidRPr="006F1FC7" w:rsidRDefault="006F1FC7" w:rsidP="006F1FC7">
            <w:pPr>
              <w:jc w:val="center"/>
              <w:rPr>
                <w:rFonts w:ascii="Arial" w:hAnsi="Arial" w:cs="Arial"/>
                <w:sz w:val="18"/>
                <w:szCs w:val="18"/>
              </w:rPr>
            </w:pPr>
            <w:r w:rsidRPr="006F1FC7">
              <w:rPr>
                <w:rFonts w:ascii="Arial" w:hAnsi="Arial" w:cs="Arial"/>
                <w:sz w:val="18"/>
                <w:szCs w:val="18"/>
              </w:rPr>
              <w:t>Max</w:t>
            </w:r>
          </w:p>
        </w:tc>
        <w:tc>
          <w:tcPr>
            <w:tcW w:w="960" w:type="dxa"/>
            <w:tcBorders>
              <w:top w:val="single" w:sz="8" w:space="0" w:color="auto"/>
              <w:left w:val="nil"/>
              <w:bottom w:val="single" w:sz="8" w:space="0" w:color="auto"/>
              <w:right w:val="nil"/>
            </w:tcBorders>
            <w:shd w:val="clear" w:color="auto" w:fill="auto"/>
            <w:noWrap/>
            <w:vAlign w:val="bottom"/>
          </w:tcPr>
          <w:p w:rsidR="006F1FC7" w:rsidRPr="006F1FC7" w:rsidRDefault="006F1FC7" w:rsidP="006F1FC7">
            <w:pPr>
              <w:jc w:val="center"/>
              <w:rPr>
                <w:rFonts w:ascii="Arial" w:hAnsi="Arial" w:cs="Arial"/>
                <w:sz w:val="18"/>
                <w:szCs w:val="18"/>
              </w:rPr>
            </w:pPr>
            <w:r w:rsidRPr="006F1FC7">
              <w:rPr>
                <w:rFonts w:ascii="Arial" w:hAnsi="Arial" w:cs="Arial"/>
                <w:sz w:val="18"/>
                <w:szCs w:val="18"/>
              </w:rPr>
              <w:t>Min</w:t>
            </w:r>
          </w:p>
        </w:tc>
      </w:tr>
      <w:tr w:rsidR="006F1FC7" w:rsidRPr="006F1FC7" w:rsidTr="005B06CE">
        <w:trPr>
          <w:trHeight w:val="255"/>
        </w:trPr>
        <w:tc>
          <w:tcPr>
            <w:tcW w:w="2600" w:type="dxa"/>
            <w:tcBorders>
              <w:top w:val="nil"/>
              <w:left w:val="nil"/>
              <w:bottom w:val="nil"/>
              <w:right w:val="nil"/>
            </w:tcBorders>
            <w:shd w:val="clear" w:color="auto" w:fill="auto"/>
            <w:noWrap/>
            <w:vAlign w:val="bottom"/>
          </w:tcPr>
          <w:p w:rsidR="006F1FC7" w:rsidRPr="006F1FC7" w:rsidRDefault="0040181A" w:rsidP="006F1FC7">
            <w:pPr>
              <w:rPr>
                <w:rFonts w:ascii="Arial" w:hAnsi="Arial" w:cs="Arial"/>
                <w:sz w:val="18"/>
                <w:szCs w:val="18"/>
              </w:rPr>
            </w:pPr>
            <w:r>
              <w:rPr>
                <w:rFonts w:ascii="Arial" w:hAnsi="Arial" w:cs="Arial"/>
                <w:sz w:val="18"/>
                <w:szCs w:val="18"/>
              </w:rPr>
              <w:t>Panel A: M</w:t>
            </w:r>
            <w:r w:rsidR="006F1FC7" w:rsidRPr="006F1FC7">
              <w:rPr>
                <w:rFonts w:ascii="Arial" w:hAnsi="Arial" w:cs="Arial"/>
                <w:sz w:val="18"/>
                <w:szCs w:val="18"/>
              </w:rPr>
              <w:t>onthly returns</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p>
        </w:tc>
      </w:tr>
      <w:tr w:rsidR="006F1FC7" w:rsidRPr="006F1FC7" w:rsidTr="005B06CE">
        <w:trPr>
          <w:trHeight w:val="255"/>
        </w:trPr>
        <w:tc>
          <w:tcPr>
            <w:tcW w:w="260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18"/>
                <w:szCs w:val="18"/>
              </w:rPr>
            </w:pPr>
            <w:r w:rsidRPr="006F1FC7">
              <w:rPr>
                <w:rFonts w:ascii="Arial" w:hAnsi="Arial" w:cs="Arial"/>
                <w:sz w:val="18"/>
                <w:szCs w:val="18"/>
              </w:rPr>
              <w:t>Business Services Sector</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0.7%</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5.1%</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-0.646</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0.757</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12.2%</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-16.5%</w:t>
            </w:r>
          </w:p>
        </w:tc>
      </w:tr>
      <w:tr w:rsidR="006F1FC7" w:rsidRPr="006F1FC7" w:rsidTr="005B06CE">
        <w:trPr>
          <w:trHeight w:val="255"/>
        </w:trPr>
        <w:tc>
          <w:tcPr>
            <w:tcW w:w="260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18"/>
                <w:szCs w:val="18"/>
              </w:rPr>
            </w:pPr>
            <w:r w:rsidRPr="006F1FC7">
              <w:rPr>
                <w:rFonts w:ascii="Arial" w:hAnsi="Arial" w:cs="Arial"/>
                <w:sz w:val="18"/>
                <w:szCs w:val="18"/>
              </w:rPr>
              <w:t>Consumer Goods Sector</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0.6%</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3.8%</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-0.511</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3.114</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14.8%</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-14.6%</w:t>
            </w:r>
          </w:p>
        </w:tc>
      </w:tr>
      <w:tr w:rsidR="006F1FC7" w:rsidRPr="006F1FC7" w:rsidTr="005B06CE">
        <w:trPr>
          <w:trHeight w:val="255"/>
        </w:trPr>
        <w:tc>
          <w:tcPr>
            <w:tcW w:w="260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18"/>
                <w:szCs w:val="18"/>
              </w:rPr>
            </w:pPr>
            <w:r w:rsidRPr="006F1FC7">
              <w:rPr>
                <w:rFonts w:ascii="Arial" w:hAnsi="Arial" w:cs="Arial"/>
                <w:sz w:val="18"/>
                <w:szCs w:val="18"/>
              </w:rPr>
              <w:t>Consumer Services Sector</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0.9%</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5.0%</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-0.167</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0.425</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14.1%</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-13.5%</w:t>
            </w:r>
          </w:p>
        </w:tc>
      </w:tr>
      <w:tr w:rsidR="006F1FC7" w:rsidRPr="006F1FC7" w:rsidTr="005B06CE">
        <w:trPr>
          <w:trHeight w:val="255"/>
        </w:trPr>
        <w:tc>
          <w:tcPr>
            <w:tcW w:w="260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18"/>
                <w:szCs w:val="18"/>
              </w:rPr>
            </w:pPr>
            <w:r w:rsidRPr="006F1FC7">
              <w:rPr>
                <w:rFonts w:ascii="Arial" w:hAnsi="Arial" w:cs="Arial"/>
                <w:sz w:val="18"/>
                <w:szCs w:val="18"/>
              </w:rPr>
              <w:t>Energy Sector</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1.3%</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5.7%</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0.403</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0.204</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17.9%</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-12.2%</w:t>
            </w:r>
          </w:p>
        </w:tc>
      </w:tr>
      <w:tr w:rsidR="006F1FC7" w:rsidRPr="006F1FC7" w:rsidTr="005B06CE">
        <w:trPr>
          <w:trHeight w:val="255"/>
        </w:trPr>
        <w:tc>
          <w:tcPr>
            <w:tcW w:w="260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18"/>
                <w:szCs w:val="18"/>
              </w:rPr>
            </w:pPr>
            <w:r w:rsidRPr="006F1FC7">
              <w:rPr>
                <w:rFonts w:ascii="Arial" w:hAnsi="Arial" w:cs="Arial"/>
                <w:sz w:val="18"/>
                <w:szCs w:val="18"/>
              </w:rPr>
              <w:t>Financial Services Sector</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0.9%</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5.2%</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-0.317</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3.218</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17.5%</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-22.5%</w:t>
            </w:r>
          </w:p>
        </w:tc>
      </w:tr>
      <w:tr w:rsidR="006F1FC7" w:rsidRPr="006F1FC7" w:rsidTr="005B06CE">
        <w:trPr>
          <w:trHeight w:val="255"/>
        </w:trPr>
        <w:tc>
          <w:tcPr>
            <w:tcW w:w="260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18"/>
                <w:szCs w:val="18"/>
              </w:rPr>
            </w:pPr>
            <w:r w:rsidRPr="006F1FC7">
              <w:rPr>
                <w:rFonts w:ascii="Arial" w:hAnsi="Arial" w:cs="Arial"/>
                <w:sz w:val="18"/>
                <w:szCs w:val="18"/>
              </w:rPr>
              <w:t>Hardware Sector</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1.0%</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10.0%</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-0.337</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0.499</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21.4%</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-31.3%</w:t>
            </w:r>
          </w:p>
        </w:tc>
      </w:tr>
      <w:tr w:rsidR="006F1FC7" w:rsidRPr="006F1FC7" w:rsidTr="005B06CE">
        <w:trPr>
          <w:trHeight w:val="255"/>
        </w:trPr>
        <w:tc>
          <w:tcPr>
            <w:tcW w:w="260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18"/>
                <w:szCs w:val="18"/>
              </w:rPr>
            </w:pPr>
            <w:r w:rsidRPr="006F1FC7">
              <w:rPr>
                <w:rFonts w:ascii="Arial" w:hAnsi="Arial" w:cs="Arial"/>
                <w:sz w:val="18"/>
                <w:szCs w:val="18"/>
              </w:rPr>
              <w:t>Healthcare Sector</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0.7%</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4.1%</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-0.377</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0.612</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12.2%</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-12.2%</w:t>
            </w:r>
          </w:p>
        </w:tc>
      </w:tr>
      <w:tr w:rsidR="006F1FC7" w:rsidRPr="006F1FC7" w:rsidTr="005B06CE">
        <w:trPr>
          <w:trHeight w:val="255"/>
        </w:trPr>
        <w:tc>
          <w:tcPr>
            <w:tcW w:w="260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18"/>
                <w:szCs w:val="18"/>
              </w:rPr>
            </w:pPr>
            <w:r w:rsidRPr="006F1FC7">
              <w:rPr>
                <w:rFonts w:ascii="Arial" w:hAnsi="Arial" w:cs="Arial"/>
                <w:sz w:val="18"/>
                <w:szCs w:val="18"/>
              </w:rPr>
              <w:t>Industrial Materials Sector</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0.8%</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4.9%</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-0.123</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0.834</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14.3%</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-13.9%</w:t>
            </w:r>
          </w:p>
        </w:tc>
      </w:tr>
      <w:tr w:rsidR="006F1FC7" w:rsidRPr="006F1FC7" w:rsidTr="005B06CE">
        <w:trPr>
          <w:trHeight w:val="255"/>
        </w:trPr>
        <w:tc>
          <w:tcPr>
            <w:tcW w:w="260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18"/>
                <w:szCs w:val="18"/>
              </w:rPr>
            </w:pPr>
            <w:r w:rsidRPr="006F1FC7">
              <w:rPr>
                <w:rFonts w:ascii="Arial" w:hAnsi="Arial" w:cs="Arial"/>
                <w:sz w:val="18"/>
                <w:szCs w:val="18"/>
              </w:rPr>
              <w:t>Media Sector</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0.6%</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6.6%</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-0.005</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1.027</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22.9%</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-17.4%</w:t>
            </w:r>
          </w:p>
        </w:tc>
      </w:tr>
      <w:tr w:rsidR="006F1FC7" w:rsidRPr="006F1FC7" w:rsidTr="005B06CE">
        <w:trPr>
          <w:trHeight w:val="255"/>
        </w:trPr>
        <w:tc>
          <w:tcPr>
            <w:tcW w:w="260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18"/>
                <w:szCs w:val="18"/>
              </w:rPr>
            </w:pPr>
            <w:r w:rsidRPr="006F1FC7">
              <w:rPr>
                <w:rFonts w:ascii="Arial" w:hAnsi="Arial" w:cs="Arial"/>
                <w:sz w:val="18"/>
                <w:szCs w:val="18"/>
              </w:rPr>
              <w:t>Software Sector</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1.0%</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9.7%</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0.127</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0.834</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33.1%</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-24.4%</w:t>
            </w:r>
          </w:p>
        </w:tc>
      </w:tr>
      <w:tr w:rsidR="006F1FC7" w:rsidRPr="006F1FC7" w:rsidTr="005B06CE">
        <w:trPr>
          <w:trHeight w:val="255"/>
        </w:trPr>
        <w:tc>
          <w:tcPr>
            <w:tcW w:w="260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18"/>
                <w:szCs w:val="18"/>
              </w:rPr>
            </w:pPr>
            <w:r w:rsidRPr="006F1FC7">
              <w:rPr>
                <w:rFonts w:ascii="Arial" w:hAnsi="Arial" w:cs="Arial"/>
                <w:sz w:val="18"/>
                <w:szCs w:val="18"/>
              </w:rPr>
              <w:t>Telecommunication Sector</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0.5%</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6.8%</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0.48</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2.893</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31.6%</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-15.6%</w:t>
            </w:r>
          </w:p>
        </w:tc>
      </w:tr>
      <w:tr w:rsidR="006F1FC7" w:rsidRPr="006F1FC7" w:rsidTr="005B06CE">
        <w:trPr>
          <w:trHeight w:val="255"/>
        </w:trPr>
        <w:tc>
          <w:tcPr>
            <w:tcW w:w="260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18"/>
                <w:szCs w:val="18"/>
              </w:rPr>
            </w:pPr>
            <w:r w:rsidRPr="006F1FC7">
              <w:rPr>
                <w:rFonts w:ascii="Arial" w:hAnsi="Arial" w:cs="Arial"/>
                <w:sz w:val="18"/>
                <w:szCs w:val="18"/>
              </w:rPr>
              <w:t xml:space="preserve">Utilities Sector </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1.0%</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4.7%</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-0.229</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0.128</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13.6%</w:t>
            </w:r>
          </w:p>
        </w:tc>
        <w:tc>
          <w:tcPr>
            <w:tcW w:w="960" w:type="dxa"/>
            <w:tcBorders>
              <w:top w:val="nil"/>
              <w:left w:val="nil"/>
              <w:bottom w:val="nil"/>
              <w:right w:val="nil"/>
            </w:tcBorders>
            <w:shd w:val="clear" w:color="auto" w:fill="auto"/>
            <w:noWrap/>
            <w:vAlign w:val="bottom"/>
          </w:tcPr>
          <w:p w:rsidR="006F1FC7" w:rsidRPr="006F1FC7" w:rsidRDefault="006F1FC7" w:rsidP="006F1FC7">
            <w:pPr>
              <w:jc w:val="center"/>
              <w:rPr>
                <w:rFonts w:ascii="Arial" w:hAnsi="Arial" w:cs="Arial"/>
                <w:sz w:val="18"/>
                <w:szCs w:val="18"/>
              </w:rPr>
            </w:pPr>
            <w:r>
              <w:rPr>
                <w:rFonts w:ascii="Arial" w:hAnsi="Arial" w:cs="Arial"/>
                <w:sz w:val="18"/>
                <w:szCs w:val="18"/>
              </w:rPr>
              <w:t>-12.2%</w:t>
            </w:r>
          </w:p>
        </w:tc>
      </w:tr>
      <w:tr w:rsidR="006F1FC7" w:rsidRPr="006F1FC7" w:rsidTr="005B06CE">
        <w:trPr>
          <w:trHeight w:val="255"/>
        </w:trPr>
        <w:tc>
          <w:tcPr>
            <w:tcW w:w="260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20"/>
                <w:szCs w:val="20"/>
              </w:rPr>
            </w:pPr>
          </w:p>
        </w:tc>
      </w:tr>
      <w:tr w:rsidR="006F1FC7" w:rsidRPr="006F1FC7" w:rsidTr="005B06CE">
        <w:trPr>
          <w:trHeight w:val="255"/>
        </w:trPr>
        <w:tc>
          <w:tcPr>
            <w:tcW w:w="4520" w:type="dxa"/>
            <w:gridSpan w:val="3"/>
            <w:tcBorders>
              <w:top w:val="nil"/>
              <w:left w:val="nil"/>
              <w:bottom w:val="nil"/>
              <w:right w:val="nil"/>
            </w:tcBorders>
            <w:shd w:val="clear" w:color="auto" w:fill="auto"/>
            <w:noWrap/>
            <w:vAlign w:val="bottom"/>
          </w:tcPr>
          <w:p w:rsidR="006F1FC7" w:rsidRPr="006F1FC7" w:rsidRDefault="00AA1DC7" w:rsidP="006F1FC7">
            <w:pPr>
              <w:rPr>
                <w:rFonts w:ascii="Verdana" w:hAnsi="Verdana" w:cs="Arial"/>
                <w:sz w:val="20"/>
                <w:szCs w:val="20"/>
              </w:rPr>
            </w:pPr>
            <w:r>
              <w:rPr>
                <w:rFonts w:ascii="Verdana" w:hAnsi="Verdana" w:cs="Arial"/>
                <w:sz w:val="20"/>
                <w:szCs w:val="20"/>
              </w:rPr>
              <w:t xml:space="preserve">Panel B: </w:t>
            </w:r>
            <w:r w:rsidR="008A39E4">
              <w:t>Standardized unexpected earnings</w:t>
            </w:r>
          </w:p>
        </w:tc>
        <w:tc>
          <w:tcPr>
            <w:tcW w:w="96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F1FC7" w:rsidRPr="006F1FC7" w:rsidRDefault="006F1FC7" w:rsidP="006F1FC7">
            <w:pPr>
              <w:rPr>
                <w:rFonts w:ascii="Arial" w:hAnsi="Arial" w:cs="Arial"/>
                <w:sz w:val="20"/>
                <w:szCs w:val="20"/>
              </w:rPr>
            </w:pPr>
          </w:p>
        </w:tc>
      </w:tr>
      <w:tr w:rsidR="00163195" w:rsidRPr="006F1FC7" w:rsidTr="005B06CE">
        <w:trPr>
          <w:trHeight w:val="255"/>
        </w:trPr>
        <w:tc>
          <w:tcPr>
            <w:tcW w:w="2600" w:type="dxa"/>
            <w:tcBorders>
              <w:top w:val="nil"/>
              <w:left w:val="nil"/>
              <w:bottom w:val="nil"/>
              <w:right w:val="nil"/>
            </w:tcBorders>
            <w:shd w:val="clear" w:color="auto" w:fill="auto"/>
            <w:noWrap/>
            <w:vAlign w:val="bottom"/>
          </w:tcPr>
          <w:p w:rsidR="00163195" w:rsidRPr="006F1FC7" w:rsidRDefault="00163195" w:rsidP="006F1FC7">
            <w:pPr>
              <w:rPr>
                <w:rFonts w:ascii="Arial" w:hAnsi="Arial" w:cs="Arial"/>
                <w:sz w:val="18"/>
                <w:szCs w:val="18"/>
              </w:rPr>
            </w:pPr>
            <w:r w:rsidRPr="006F1FC7">
              <w:rPr>
                <w:rFonts w:ascii="Arial" w:hAnsi="Arial" w:cs="Arial"/>
                <w:sz w:val="18"/>
                <w:szCs w:val="18"/>
              </w:rPr>
              <w:t>Business Services Sector</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0.045</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0.225</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-0.452</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-0.760</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0.431</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-0.416</w:t>
            </w:r>
          </w:p>
        </w:tc>
      </w:tr>
      <w:tr w:rsidR="00163195" w:rsidRPr="006F1FC7" w:rsidTr="005B06CE">
        <w:trPr>
          <w:trHeight w:val="255"/>
        </w:trPr>
        <w:tc>
          <w:tcPr>
            <w:tcW w:w="2600" w:type="dxa"/>
            <w:tcBorders>
              <w:top w:val="nil"/>
              <w:left w:val="nil"/>
              <w:bottom w:val="nil"/>
              <w:right w:val="nil"/>
            </w:tcBorders>
            <w:shd w:val="clear" w:color="auto" w:fill="auto"/>
            <w:noWrap/>
            <w:vAlign w:val="bottom"/>
          </w:tcPr>
          <w:p w:rsidR="00163195" w:rsidRPr="006F1FC7" w:rsidRDefault="00163195" w:rsidP="006F1FC7">
            <w:pPr>
              <w:rPr>
                <w:rFonts w:ascii="Arial" w:hAnsi="Arial" w:cs="Arial"/>
                <w:sz w:val="18"/>
                <w:szCs w:val="18"/>
              </w:rPr>
            </w:pPr>
            <w:r w:rsidRPr="006F1FC7">
              <w:rPr>
                <w:rFonts w:ascii="Arial" w:hAnsi="Arial" w:cs="Arial"/>
                <w:sz w:val="18"/>
                <w:szCs w:val="18"/>
              </w:rPr>
              <w:t>Consumer Goods Sector</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-0.028</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0.285</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0.749</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1.010</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0.979</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-0.535</w:t>
            </w:r>
          </w:p>
        </w:tc>
      </w:tr>
      <w:tr w:rsidR="00163195" w:rsidRPr="006F1FC7" w:rsidTr="005B06CE">
        <w:trPr>
          <w:trHeight w:val="255"/>
        </w:trPr>
        <w:tc>
          <w:tcPr>
            <w:tcW w:w="2600" w:type="dxa"/>
            <w:tcBorders>
              <w:top w:val="nil"/>
              <w:left w:val="nil"/>
              <w:bottom w:val="nil"/>
              <w:right w:val="nil"/>
            </w:tcBorders>
            <w:shd w:val="clear" w:color="auto" w:fill="auto"/>
            <w:noWrap/>
            <w:vAlign w:val="bottom"/>
          </w:tcPr>
          <w:p w:rsidR="00163195" w:rsidRPr="006F1FC7" w:rsidRDefault="00163195" w:rsidP="006F1FC7">
            <w:pPr>
              <w:rPr>
                <w:rFonts w:ascii="Arial" w:hAnsi="Arial" w:cs="Arial"/>
                <w:sz w:val="18"/>
                <w:szCs w:val="18"/>
              </w:rPr>
            </w:pPr>
            <w:r w:rsidRPr="006F1FC7">
              <w:rPr>
                <w:rFonts w:ascii="Arial" w:hAnsi="Arial" w:cs="Arial"/>
                <w:sz w:val="18"/>
                <w:szCs w:val="18"/>
              </w:rPr>
              <w:t>Consumer Services Sector</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0.113</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0.350</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-0.465</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-0.170</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0.818</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-0.846</w:t>
            </w:r>
          </w:p>
        </w:tc>
      </w:tr>
      <w:tr w:rsidR="00163195" w:rsidRPr="006F1FC7" w:rsidTr="005B06CE">
        <w:trPr>
          <w:trHeight w:val="255"/>
        </w:trPr>
        <w:tc>
          <w:tcPr>
            <w:tcW w:w="2600" w:type="dxa"/>
            <w:tcBorders>
              <w:top w:val="nil"/>
              <w:left w:val="nil"/>
              <w:bottom w:val="nil"/>
              <w:right w:val="nil"/>
            </w:tcBorders>
            <w:shd w:val="clear" w:color="auto" w:fill="auto"/>
            <w:noWrap/>
            <w:vAlign w:val="bottom"/>
          </w:tcPr>
          <w:p w:rsidR="00163195" w:rsidRPr="006F1FC7" w:rsidRDefault="00163195" w:rsidP="006F1FC7">
            <w:pPr>
              <w:rPr>
                <w:rFonts w:ascii="Arial" w:hAnsi="Arial" w:cs="Arial"/>
                <w:sz w:val="18"/>
                <w:szCs w:val="18"/>
              </w:rPr>
            </w:pPr>
            <w:r w:rsidRPr="006F1FC7">
              <w:rPr>
                <w:rFonts w:ascii="Arial" w:hAnsi="Arial" w:cs="Arial"/>
                <w:sz w:val="18"/>
                <w:szCs w:val="18"/>
              </w:rPr>
              <w:t>Energy Sector</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0.054</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0.443</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-0.034</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-0.007</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1.220</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-1.090</w:t>
            </w:r>
          </w:p>
        </w:tc>
      </w:tr>
      <w:tr w:rsidR="00163195" w:rsidRPr="006F1FC7" w:rsidTr="005B06CE">
        <w:trPr>
          <w:trHeight w:val="255"/>
        </w:trPr>
        <w:tc>
          <w:tcPr>
            <w:tcW w:w="2600" w:type="dxa"/>
            <w:tcBorders>
              <w:top w:val="nil"/>
              <w:left w:val="nil"/>
              <w:bottom w:val="nil"/>
              <w:right w:val="nil"/>
            </w:tcBorders>
            <w:shd w:val="clear" w:color="auto" w:fill="auto"/>
            <w:noWrap/>
            <w:vAlign w:val="bottom"/>
          </w:tcPr>
          <w:p w:rsidR="00163195" w:rsidRPr="006F1FC7" w:rsidRDefault="00163195" w:rsidP="006F1FC7">
            <w:pPr>
              <w:rPr>
                <w:rFonts w:ascii="Arial" w:hAnsi="Arial" w:cs="Arial"/>
                <w:sz w:val="18"/>
                <w:szCs w:val="18"/>
              </w:rPr>
            </w:pPr>
            <w:r w:rsidRPr="006F1FC7">
              <w:rPr>
                <w:rFonts w:ascii="Arial" w:hAnsi="Arial" w:cs="Arial"/>
                <w:sz w:val="18"/>
                <w:szCs w:val="18"/>
              </w:rPr>
              <w:t>Financial Services Sector</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0.068</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0.248</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-0.216</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-0.710</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0.499</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-0.485</w:t>
            </w:r>
          </w:p>
        </w:tc>
      </w:tr>
      <w:tr w:rsidR="00163195" w:rsidRPr="006F1FC7" w:rsidTr="005B06CE">
        <w:trPr>
          <w:trHeight w:val="255"/>
        </w:trPr>
        <w:tc>
          <w:tcPr>
            <w:tcW w:w="2600" w:type="dxa"/>
            <w:tcBorders>
              <w:top w:val="nil"/>
              <w:left w:val="nil"/>
              <w:bottom w:val="nil"/>
              <w:right w:val="nil"/>
            </w:tcBorders>
            <w:shd w:val="clear" w:color="auto" w:fill="auto"/>
            <w:noWrap/>
            <w:vAlign w:val="bottom"/>
          </w:tcPr>
          <w:p w:rsidR="00163195" w:rsidRPr="006F1FC7" w:rsidRDefault="00163195" w:rsidP="006F1FC7">
            <w:pPr>
              <w:rPr>
                <w:rFonts w:ascii="Arial" w:hAnsi="Arial" w:cs="Arial"/>
                <w:sz w:val="18"/>
                <w:szCs w:val="18"/>
              </w:rPr>
            </w:pPr>
            <w:r w:rsidRPr="006F1FC7">
              <w:rPr>
                <w:rFonts w:ascii="Arial" w:hAnsi="Arial" w:cs="Arial"/>
                <w:sz w:val="18"/>
                <w:szCs w:val="18"/>
              </w:rPr>
              <w:t>Hardware Sector</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0.004</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0.444</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-0.560</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0.092</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1.027</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-1.177</w:t>
            </w:r>
          </w:p>
        </w:tc>
      </w:tr>
      <w:tr w:rsidR="00163195" w:rsidRPr="006F1FC7" w:rsidTr="005B06CE">
        <w:trPr>
          <w:trHeight w:val="255"/>
        </w:trPr>
        <w:tc>
          <w:tcPr>
            <w:tcW w:w="2600" w:type="dxa"/>
            <w:tcBorders>
              <w:top w:val="nil"/>
              <w:left w:val="nil"/>
              <w:bottom w:val="nil"/>
              <w:right w:val="nil"/>
            </w:tcBorders>
            <w:shd w:val="clear" w:color="auto" w:fill="auto"/>
            <w:noWrap/>
            <w:vAlign w:val="bottom"/>
          </w:tcPr>
          <w:p w:rsidR="00163195" w:rsidRPr="006F1FC7" w:rsidRDefault="00163195" w:rsidP="006F1FC7">
            <w:pPr>
              <w:rPr>
                <w:rFonts w:ascii="Arial" w:hAnsi="Arial" w:cs="Arial"/>
                <w:sz w:val="18"/>
                <w:szCs w:val="18"/>
              </w:rPr>
            </w:pPr>
            <w:r w:rsidRPr="006F1FC7">
              <w:rPr>
                <w:rFonts w:ascii="Arial" w:hAnsi="Arial" w:cs="Arial"/>
                <w:sz w:val="18"/>
                <w:szCs w:val="18"/>
              </w:rPr>
              <w:t>Healthcare Sector</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0.045</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0.299</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-0.023</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0.713</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0.826</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-0.780</w:t>
            </w:r>
          </w:p>
        </w:tc>
      </w:tr>
      <w:tr w:rsidR="00163195" w:rsidRPr="006F1FC7" w:rsidTr="005B06CE">
        <w:trPr>
          <w:trHeight w:val="255"/>
        </w:trPr>
        <w:tc>
          <w:tcPr>
            <w:tcW w:w="2600" w:type="dxa"/>
            <w:tcBorders>
              <w:top w:val="nil"/>
              <w:left w:val="nil"/>
              <w:bottom w:val="nil"/>
              <w:right w:val="nil"/>
            </w:tcBorders>
            <w:shd w:val="clear" w:color="auto" w:fill="auto"/>
            <w:noWrap/>
            <w:vAlign w:val="bottom"/>
          </w:tcPr>
          <w:p w:rsidR="00163195" w:rsidRPr="006F1FC7" w:rsidRDefault="00163195" w:rsidP="006F1FC7">
            <w:pPr>
              <w:rPr>
                <w:rFonts w:ascii="Arial" w:hAnsi="Arial" w:cs="Arial"/>
                <w:sz w:val="18"/>
                <w:szCs w:val="18"/>
              </w:rPr>
            </w:pPr>
            <w:r w:rsidRPr="006F1FC7">
              <w:rPr>
                <w:rFonts w:ascii="Arial" w:hAnsi="Arial" w:cs="Arial"/>
                <w:sz w:val="18"/>
                <w:szCs w:val="18"/>
              </w:rPr>
              <w:t>Industrial Materials Sector</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0.156</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0.377</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-0.348</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0.457</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0.890</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-0.942</w:t>
            </w:r>
          </w:p>
        </w:tc>
      </w:tr>
      <w:tr w:rsidR="00163195" w:rsidRPr="006F1FC7" w:rsidTr="005B06CE">
        <w:trPr>
          <w:trHeight w:val="255"/>
        </w:trPr>
        <w:tc>
          <w:tcPr>
            <w:tcW w:w="2600" w:type="dxa"/>
            <w:tcBorders>
              <w:top w:val="nil"/>
              <w:left w:val="nil"/>
              <w:bottom w:val="nil"/>
              <w:right w:val="nil"/>
            </w:tcBorders>
            <w:shd w:val="clear" w:color="auto" w:fill="auto"/>
            <w:noWrap/>
            <w:vAlign w:val="bottom"/>
          </w:tcPr>
          <w:p w:rsidR="00163195" w:rsidRPr="006F1FC7" w:rsidRDefault="00163195" w:rsidP="006F1FC7">
            <w:pPr>
              <w:rPr>
                <w:rFonts w:ascii="Arial" w:hAnsi="Arial" w:cs="Arial"/>
                <w:sz w:val="18"/>
                <w:szCs w:val="18"/>
              </w:rPr>
            </w:pPr>
            <w:r w:rsidRPr="006F1FC7">
              <w:rPr>
                <w:rFonts w:ascii="Arial" w:hAnsi="Arial" w:cs="Arial"/>
                <w:sz w:val="18"/>
                <w:szCs w:val="18"/>
              </w:rPr>
              <w:t>Media Sector</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0.060</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0.269</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-0.062</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-0.692</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0.655</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-0.520</w:t>
            </w:r>
          </w:p>
        </w:tc>
      </w:tr>
      <w:tr w:rsidR="00163195" w:rsidRPr="006F1FC7" w:rsidTr="005B06CE">
        <w:trPr>
          <w:trHeight w:val="255"/>
        </w:trPr>
        <w:tc>
          <w:tcPr>
            <w:tcW w:w="2600" w:type="dxa"/>
            <w:tcBorders>
              <w:top w:val="nil"/>
              <w:left w:val="nil"/>
              <w:bottom w:val="nil"/>
              <w:right w:val="nil"/>
            </w:tcBorders>
            <w:shd w:val="clear" w:color="auto" w:fill="auto"/>
            <w:noWrap/>
            <w:vAlign w:val="bottom"/>
          </w:tcPr>
          <w:p w:rsidR="00163195" w:rsidRPr="006F1FC7" w:rsidRDefault="00163195" w:rsidP="006F1FC7">
            <w:pPr>
              <w:rPr>
                <w:rFonts w:ascii="Arial" w:hAnsi="Arial" w:cs="Arial"/>
                <w:sz w:val="18"/>
                <w:szCs w:val="18"/>
              </w:rPr>
            </w:pPr>
            <w:r w:rsidRPr="006F1FC7">
              <w:rPr>
                <w:rFonts w:ascii="Arial" w:hAnsi="Arial" w:cs="Arial"/>
                <w:sz w:val="18"/>
                <w:szCs w:val="18"/>
              </w:rPr>
              <w:t>Software Sector</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0.033</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0.584</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-0.067</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-0.075</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1.335</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-1.501</w:t>
            </w:r>
          </w:p>
        </w:tc>
      </w:tr>
      <w:tr w:rsidR="00163195" w:rsidRPr="006F1FC7" w:rsidTr="005B06CE">
        <w:trPr>
          <w:trHeight w:val="255"/>
        </w:trPr>
        <w:tc>
          <w:tcPr>
            <w:tcW w:w="2600" w:type="dxa"/>
            <w:tcBorders>
              <w:top w:val="nil"/>
              <w:left w:val="nil"/>
              <w:bottom w:val="nil"/>
              <w:right w:val="nil"/>
            </w:tcBorders>
            <w:shd w:val="clear" w:color="auto" w:fill="auto"/>
            <w:noWrap/>
            <w:vAlign w:val="bottom"/>
          </w:tcPr>
          <w:p w:rsidR="00163195" w:rsidRPr="006F1FC7" w:rsidRDefault="00163195" w:rsidP="006F1FC7">
            <w:pPr>
              <w:rPr>
                <w:rFonts w:ascii="Arial" w:hAnsi="Arial" w:cs="Arial"/>
                <w:sz w:val="18"/>
                <w:szCs w:val="18"/>
              </w:rPr>
            </w:pPr>
            <w:r w:rsidRPr="006F1FC7">
              <w:rPr>
                <w:rFonts w:ascii="Arial" w:hAnsi="Arial" w:cs="Arial"/>
                <w:sz w:val="18"/>
                <w:szCs w:val="18"/>
              </w:rPr>
              <w:t>Telecommunication Sector</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0.023</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0.283</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1.007</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0.843</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0.840</w:t>
            </w:r>
          </w:p>
        </w:tc>
        <w:tc>
          <w:tcPr>
            <w:tcW w:w="960" w:type="dxa"/>
            <w:tcBorders>
              <w:top w:val="nil"/>
              <w:left w:val="nil"/>
              <w:bottom w:val="nil"/>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-0.421</w:t>
            </w:r>
          </w:p>
        </w:tc>
      </w:tr>
      <w:tr w:rsidR="00163195" w:rsidRPr="006F1FC7" w:rsidTr="005B06CE">
        <w:trPr>
          <w:trHeight w:val="270"/>
        </w:trPr>
        <w:tc>
          <w:tcPr>
            <w:tcW w:w="2600" w:type="dxa"/>
            <w:tcBorders>
              <w:top w:val="nil"/>
              <w:left w:val="nil"/>
              <w:bottom w:val="single" w:sz="8" w:space="0" w:color="auto"/>
              <w:right w:val="nil"/>
            </w:tcBorders>
            <w:shd w:val="clear" w:color="auto" w:fill="auto"/>
            <w:noWrap/>
            <w:vAlign w:val="bottom"/>
          </w:tcPr>
          <w:p w:rsidR="00163195" w:rsidRPr="006F1FC7" w:rsidRDefault="00163195" w:rsidP="006F1FC7">
            <w:pPr>
              <w:rPr>
                <w:rFonts w:ascii="Arial" w:hAnsi="Arial" w:cs="Arial"/>
                <w:sz w:val="18"/>
                <w:szCs w:val="18"/>
              </w:rPr>
            </w:pPr>
            <w:r w:rsidRPr="006F1FC7">
              <w:rPr>
                <w:rFonts w:ascii="Arial" w:hAnsi="Arial" w:cs="Arial"/>
                <w:sz w:val="18"/>
                <w:szCs w:val="18"/>
              </w:rPr>
              <w:t xml:space="preserve">Utilities Sector </w:t>
            </w:r>
          </w:p>
        </w:tc>
        <w:tc>
          <w:tcPr>
            <w:tcW w:w="960" w:type="dxa"/>
            <w:tcBorders>
              <w:top w:val="nil"/>
              <w:left w:val="nil"/>
              <w:bottom w:val="single" w:sz="8" w:space="0" w:color="auto"/>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0.011</w:t>
            </w:r>
          </w:p>
        </w:tc>
        <w:tc>
          <w:tcPr>
            <w:tcW w:w="960" w:type="dxa"/>
            <w:tcBorders>
              <w:top w:val="nil"/>
              <w:left w:val="nil"/>
              <w:bottom w:val="single" w:sz="8" w:space="0" w:color="auto"/>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0.150</w:t>
            </w:r>
          </w:p>
        </w:tc>
        <w:tc>
          <w:tcPr>
            <w:tcW w:w="960" w:type="dxa"/>
            <w:tcBorders>
              <w:top w:val="nil"/>
              <w:left w:val="nil"/>
              <w:bottom w:val="single" w:sz="8" w:space="0" w:color="auto"/>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-0.324</w:t>
            </w:r>
          </w:p>
        </w:tc>
        <w:tc>
          <w:tcPr>
            <w:tcW w:w="960" w:type="dxa"/>
            <w:tcBorders>
              <w:top w:val="nil"/>
              <w:left w:val="nil"/>
              <w:bottom w:val="single" w:sz="8" w:space="0" w:color="auto"/>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-0.052</w:t>
            </w:r>
          </w:p>
        </w:tc>
        <w:tc>
          <w:tcPr>
            <w:tcW w:w="960" w:type="dxa"/>
            <w:tcBorders>
              <w:top w:val="nil"/>
              <w:left w:val="nil"/>
              <w:bottom w:val="single" w:sz="8" w:space="0" w:color="auto"/>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0.360</w:t>
            </w:r>
          </w:p>
        </w:tc>
        <w:tc>
          <w:tcPr>
            <w:tcW w:w="960" w:type="dxa"/>
            <w:tcBorders>
              <w:top w:val="nil"/>
              <w:left w:val="nil"/>
              <w:bottom w:val="single" w:sz="8" w:space="0" w:color="auto"/>
              <w:right w:val="nil"/>
            </w:tcBorders>
            <w:shd w:val="clear" w:color="auto" w:fill="auto"/>
            <w:noWrap/>
            <w:vAlign w:val="bottom"/>
          </w:tcPr>
          <w:p w:rsidR="00163195" w:rsidRPr="00163195" w:rsidRDefault="00163195" w:rsidP="006F1FC7">
            <w:pPr>
              <w:jc w:val="center"/>
              <w:rPr>
                <w:rFonts w:ascii="Arial" w:hAnsi="Arial" w:cs="Arial"/>
                <w:sz w:val="18"/>
                <w:szCs w:val="18"/>
              </w:rPr>
            </w:pPr>
            <w:r w:rsidRPr="00163195">
              <w:rPr>
                <w:rFonts w:ascii="Arial" w:hAnsi="Arial" w:cs="Arial"/>
                <w:sz w:val="18"/>
                <w:szCs w:val="18"/>
              </w:rPr>
              <w:t>-0.375</w:t>
            </w:r>
          </w:p>
        </w:tc>
      </w:tr>
    </w:tbl>
    <w:p w:rsidR="00757C68" w:rsidRDefault="00757C68" w:rsidP="00757C68"/>
    <w:p w:rsidR="00FE3E37" w:rsidRDefault="00FE3E37">
      <w:r>
        <w:br w:type="page"/>
      </w:r>
    </w:p>
    <w:p w:rsidR="00FE3E37" w:rsidRDefault="002D7C64" w:rsidP="00FE3E37">
      <w:r>
        <w:lastRenderedPageBreak/>
        <w:t xml:space="preserve">Table 4: </w:t>
      </w:r>
      <w:r w:rsidR="00FE3E37">
        <w:t>Return</w:t>
      </w:r>
      <w:r w:rsidR="00F84EEC">
        <w:t>s</w:t>
      </w:r>
      <w:r w:rsidR="00FE3E37">
        <w:t xml:space="preserve"> of Morningstar Style Index</w:t>
      </w:r>
      <w:r>
        <w:t xml:space="preserve"> Portfolios </w:t>
      </w:r>
      <w:r w:rsidR="00FE3E37">
        <w:t>Form</w:t>
      </w:r>
      <w:r w:rsidR="005B77C3">
        <w:t>ed on Lagged Return or Lagged SUE</w:t>
      </w:r>
    </w:p>
    <w:p w:rsidR="002D7C64" w:rsidRDefault="002D7C64" w:rsidP="00FE3E37"/>
    <w:p w:rsidR="00716612" w:rsidRPr="002D7C64" w:rsidRDefault="00FE3E37" w:rsidP="00394446">
      <w:pPr>
        <w:rPr>
          <w:sz w:val="22"/>
          <w:szCs w:val="22"/>
        </w:rPr>
      </w:pPr>
      <w:r w:rsidRPr="002D7C64">
        <w:rPr>
          <w:sz w:val="22"/>
          <w:szCs w:val="22"/>
        </w:rPr>
        <w:t xml:space="preserve">At the beginning of each month, the indexes are ranked by their </w:t>
      </w:r>
      <w:r w:rsidR="00E35328">
        <w:t>cumulative</w:t>
      </w:r>
      <w:r w:rsidRPr="002D7C64">
        <w:rPr>
          <w:sz w:val="22"/>
          <w:szCs w:val="22"/>
        </w:rPr>
        <w:t xml:space="preserve"> returns or average SUEs over the past three, six, and twelve</w:t>
      </w:r>
      <w:r w:rsidR="002D7C64">
        <w:rPr>
          <w:sz w:val="22"/>
          <w:szCs w:val="22"/>
        </w:rPr>
        <w:t xml:space="preserve"> months</w:t>
      </w:r>
      <w:r w:rsidRPr="002D7C64">
        <w:rPr>
          <w:sz w:val="22"/>
          <w:szCs w:val="22"/>
        </w:rPr>
        <w:t>. Portfolio P1</w:t>
      </w:r>
      <w:r w:rsidR="002D7C64">
        <w:rPr>
          <w:sz w:val="22"/>
          <w:szCs w:val="22"/>
        </w:rPr>
        <w:t xml:space="preserve"> (P3)</w:t>
      </w:r>
      <w:r w:rsidRPr="002D7C64">
        <w:rPr>
          <w:sz w:val="22"/>
          <w:szCs w:val="22"/>
        </w:rPr>
        <w:t xml:space="preserve"> consists of three style indexes with the highest </w:t>
      </w:r>
      <w:r w:rsidR="002D7C64">
        <w:rPr>
          <w:sz w:val="22"/>
          <w:szCs w:val="22"/>
        </w:rPr>
        <w:t xml:space="preserve">(lowest) </w:t>
      </w:r>
      <w:r w:rsidRPr="002D7C64">
        <w:rPr>
          <w:sz w:val="22"/>
          <w:szCs w:val="22"/>
        </w:rPr>
        <w:t xml:space="preserve">past returns or SUEs. The remaining indexes are in portfolio P2. All </w:t>
      </w:r>
      <w:r w:rsidR="002D7C64" w:rsidRPr="002D7C64">
        <w:rPr>
          <w:sz w:val="22"/>
          <w:szCs w:val="22"/>
        </w:rPr>
        <w:t>portfolios</w:t>
      </w:r>
      <w:r w:rsidRPr="002D7C64">
        <w:rPr>
          <w:sz w:val="22"/>
          <w:szCs w:val="22"/>
        </w:rPr>
        <w:t xml:space="preserve"> are equally-weighted. The momentum portfolio (P1-P3) is a portfolio that </w:t>
      </w:r>
      <w:r w:rsidR="00F84EEC">
        <w:rPr>
          <w:sz w:val="22"/>
          <w:szCs w:val="22"/>
        </w:rPr>
        <w:t xml:space="preserve">is long in P1 and </w:t>
      </w:r>
      <w:r w:rsidRPr="002D7C64">
        <w:rPr>
          <w:sz w:val="22"/>
          <w:szCs w:val="22"/>
        </w:rPr>
        <w:t>short in P3. The table reports the average h</w:t>
      </w:r>
      <w:r w:rsidR="002D7C64">
        <w:rPr>
          <w:sz w:val="22"/>
          <w:szCs w:val="22"/>
        </w:rPr>
        <w:t>olding period return, its t-statistic</w:t>
      </w:r>
      <w:r w:rsidRPr="002D7C64">
        <w:rPr>
          <w:sz w:val="22"/>
          <w:szCs w:val="22"/>
        </w:rPr>
        <w:t>, and the percentage of positive return (</w:t>
      </w:r>
      <w:proofErr w:type="gramStart"/>
      <w:r w:rsidRPr="002D7C64">
        <w:rPr>
          <w:sz w:val="22"/>
          <w:szCs w:val="22"/>
        </w:rPr>
        <w:t>+%</w:t>
      </w:r>
      <w:proofErr w:type="gramEnd"/>
      <w:r w:rsidRPr="002D7C64">
        <w:rPr>
          <w:sz w:val="22"/>
          <w:szCs w:val="22"/>
        </w:rPr>
        <w:t>) for each portfolio over our sample period.</w:t>
      </w:r>
    </w:p>
    <w:p w:rsidR="002D7C64" w:rsidRDefault="002D7C64" w:rsidP="00394446"/>
    <w:tbl>
      <w:tblPr>
        <w:tblW w:w="8655" w:type="dxa"/>
        <w:tblInd w:w="93" w:type="dxa"/>
        <w:tblLayout w:type="fixed"/>
        <w:tblLook w:val="0000" w:firstRow="0" w:lastRow="0" w:firstColumn="0" w:lastColumn="0" w:noHBand="0" w:noVBand="0"/>
      </w:tblPr>
      <w:tblGrid>
        <w:gridCol w:w="960"/>
        <w:gridCol w:w="960"/>
        <w:gridCol w:w="748"/>
        <w:gridCol w:w="748"/>
        <w:gridCol w:w="749"/>
        <w:gridCol w:w="748"/>
        <w:gridCol w:w="748"/>
        <w:gridCol w:w="749"/>
        <w:gridCol w:w="748"/>
        <w:gridCol w:w="748"/>
        <w:gridCol w:w="749"/>
      </w:tblGrid>
      <w:tr w:rsidR="00FE3E37" w:rsidRPr="002335CE" w:rsidTr="00AA0186">
        <w:trPr>
          <w:trHeight w:val="255"/>
        </w:trPr>
        <w:tc>
          <w:tcPr>
            <w:tcW w:w="960" w:type="dxa"/>
            <w:vMerge w:val="restart"/>
            <w:tcBorders>
              <w:top w:val="single" w:sz="8" w:space="0" w:color="auto"/>
              <w:left w:val="nil"/>
              <w:bottom w:val="single" w:sz="8" w:space="0" w:color="000000"/>
              <w:right w:val="nil"/>
            </w:tcBorders>
            <w:shd w:val="clear" w:color="auto" w:fill="auto"/>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Holding Period (Month)</w:t>
            </w:r>
          </w:p>
        </w:tc>
        <w:tc>
          <w:tcPr>
            <w:tcW w:w="960" w:type="dxa"/>
            <w:vMerge w:val="restart"/>
            <w:tcBorders>
              <w:top w:val="single" w:sz="8" w:space="0" w:color="auto"/>
              <w:left w:val="nil"/>
              <w:bottom w:val="single" w:sz="8" w:space="0" w:color="000000"/>
              <w:right w:val="nil"/>
            </w:tcBorders>
            <w:shd w:val="clear" w:color="auto" w:fill="auto"/>
            <w:vAlign w:val="center"/>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Portfolio</w:t>
            </w:r>
          </w:p>
        </w:tc>
        <w:tc>
          <w:tcPr>
            <w:tcW w:w="6735" w:type="dxa"/>
            <w:gridSpan w:val="9"/>
            <w:tcBorders>
              <w:top w:val="single" w:sz="8" w:space="0" w:color="auto"/>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u w:val="single"/>
              </w:rPr>
            </w:pPr>
            <w:r w:rsidRPr="002335CE">
              <w:rPr>
                <w:rFonts w:ascii="MS Sans Serif" w:hAnsi="MS Sans Serif" w:cs="Arial"/>
                <w:sz w:val="18"/>
                <w:szCs w:val="18"/>
                <w:u w:val="single"/>
              </w:rPr>
              <w:t>Portfolio Formation Period</w:t>
            </w:r>
          </w:p>
        </w:tc>
      </w:tr>
      <w:tr w:rsidR="00FE3E37" w:rsidRPr="002335CE" w:rsidTr="00AA0186">
        <w:trPr>
          <w:trHeight w:val="270"/>
        </w:trPr>
        <w:tc>
          <w:tcPr>
            <w:tcW w:w="960" w:type="dxa"/>
            <w:vMerge/>
            <w:tcBorders>
              <w:top w:val="single" w:sz="8" w:space="0" w:color="auto"/>
              <w:left w:val="nil"/>
              <w:bottom w:val="single" w:sz="8"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vMerge/>
            <w:tcBorders>
              <w:top w:val="single" w:sz="8" w:space="0" w:color="auto"/>
              <w:left w:val="nil"/>
              <w:bottom w:val="single" w:sz="8"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2245" w:type="dxa"/>
            <w:gridSpan w:val="3"/>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Past 3-Month Return</w:t>
            </w:r>
            <w:r>
              <w:rPr>
                <w:rFonts w:ascii="MS Sans Serif" w:hAnsi="MS Sans Serif" w:cs="Arial"/>
                <w:sz w:val="18"/>
                <w:szCs w:val="18"/>
              </w:rPr>
              <w:t>/SUE</w:t>
            </w:r>
          </w:p>
        </w:tc>
        <w:tc>
          <w:tcPr>
            <w:tcW w:w="2245" w:type="dxa"/>
            <w:gridSpan w:val="3"/>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Past 6-Month Return</w:t>
            </w:r>
            <w:r>
              <w:rPr>
                <w:rFonts w:ascii="MS Sans Serif" w:hAnsi="MS Sans Serif" w:cs="Arial"/>
                <w:sz w:val="18"/>
                <w:szCs w:val="18"/>
              </w:rPr>
              <w:t>/SUE</w:t>
            </w:r>
          </w:p>
        </w:tc>
        <w:tc>
          <w:tcPr>
            <w:tcW w:w="2245" w:type="dxa"/>
            <w:gridSpan w:val="3"/>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Past 12-Month Return</w:t>
            </w:r>
            <w:r>
              <w:rPr>
                <w:rFonts w:ascii="MS Sans Serif" w:hAnsi="MS Sans Serif" w:cs="Arial"/>
                <w:sz w:val="18"/>
                <w:szCs w:val="18"/>
              </w:rPr>
              <w:t>/SUE</w:t>
            </w:r>
          </w:p>
        </w:tc>
      </w:tr>
      <w:tr w:rsidR="00FE3E37" w:rsidRPr="002335CE" w:rsidTr="00AA0186">
        <w:trPr>
          <w:trHeight w:val="270"/>
        </w:trPr>
        <w:tc>
          <w:tcPr>
            <w:tcW w:w="960" w:type="dxa"/>
            <w:vMerge/>
            <w:tcBorders>
              <w:top w:val="single" w:sz="8" w:space="0" w:color="auto"/>
              <w:left w:val="nil"/>
              <w:bottom w:val="single" w:sz="8"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vMerge/>
            <w:tcBorders>
              <w:top w:val="single" w:sz="8" w:space="0" w:color="auto"/>
              <w:left w:val="nil"/>
              <w:bottom w:val="single" w:sz="8"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748"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Mean</w:t>
            </w:r>
          </w:p>
        </w:tc>
        <w:tc>
          <w:tcPr>
            <w:tcW w:w="748"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T-Stat</w:t>
            </w:r>
          </w:p>
        </w:tc>
        <w:tc>
          <w:tcPr>
            <w:tcW w:w="749"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Pr>
                <w:rFonts w:ascii="MS Sans Serif" w:hAnsi="MS Sans Serif" w:cs="Arial"/>
                <w:sz w:val="18"/>
                <w:szCs w:val="18"/>
              </w:rPr>
              <w:t>+ %</w:t>
            </w:r>
          </w:p>
        </w:tc>
        <w:tc>
          <w:tcPr>
            <w:tcW w:w="748"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Mean</w:t>
            </w:r>
          </w:p>
        </w:tc>
        <w:tc>
          <w:tcPr>
            <w:tcW w:w="748"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T-Stat</w:t>
            </w:r>
          </w:p>
        </w:tc>
        <w:tc>
          <w:tcPr>
            <w:tcW w:w="749"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Pr>
                <w:rFonts w:ascii="MS Sans Serif" w:hAnsi="MS Sans Serif" w:cs="Arial"/>
                <w:sz w:val="18"/>
                <w:szCs w:val="18"/>
              </w:rPr>
              <w:t>+ %</w:t>
            </w:r>
          </w:p>
        </w:tc>
        <w:tc>
          <w:tcPr>
            <w:tcW w:w="748"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Mean</w:t>
            </w:r>
          </w:p>
        </w:tc>
        <w:tc>
          <w:tcPr>
            <w:tcW w:w="748"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T-Stat</w:t>
            </w:r>
          </w:p>
        </w:tc>
        <w:tc>
          <w:tcPr>
            <w:tcW w:w="749" w:type="dxa"/>
            <w:tcBorders>
              <w:top w:val="nil"/>
              <w:left w:val="nil"/>
              <w:bottom w:val="single" w:sz="8" w:space="0" w:color="auto"/>
              <w:right w:val="nil"/>
            </w:tcBorders>
            <w:shd w:val="clear" w:color="auto" w:fill="auto"/>
            <w:noWrap/>
            <w:vAlign w:val="bottom"/>
          </w:tcPr>
          <w:p w:rsidR="00FE3E37" w:rsidRPr="002335CE" w:rsidRDefault="00FE3E37" w:rsidP="00AA0186">
            <w:pPr>
              <w:ind w:right="-3"/>
              <w:jc w:val="center"/>
              <w:rPr>
                <w:rFonts w:ascii="MS Sans Serif" w:hAnsi="MS Sans Serif" w:cs="Arial" w:hint="eastAsia"/>
                <w:sz w:val="18"/>
                <w:szCs w:val="18"/>
              </w:rPr>
            </w:pPr>
            <w:r>
              <w:rPr>
                <w:rFonts w:ascii="MS Sans Serif" w:hAnsi="MS Sans Serif" w:cs="Arial"/>
                <w:sz w:val="18"/>
                <w:szCs w:val="18"/>
              </w:rPr>
              <w:t xml:space="preserve">+ </w:t>
            </w:r>
            <w:r w:rsidRPr="002335CE">
              <w:rPr>
                <w:rFonts w:ascii="MS Sans Serif" w:hAnsi="MS Sans Serif" w:cs="Arial"/>
                <w:sz w:val="18"/>
                <w:szCs w:val="18"/>
              </w:rPr>
              <w:t>%</w:t>
            </w:r>
          </w:p>
        </w:tc>
      </w:tr>
      <w:tr w:rsidR="00FE3E37" w:rsidRPr="002335CE" w:rsidTr="00AA0186">
        <w:trPr>
          <w:trHeight w:val="255"/>
        </w:trPr>
        <w:tc>
          <w:tcPr>
            <w:tcW w:w="8655" w:type="dxa"/>
            <w:gridSpan w:val="11"/>
            <w:tcBorders>
              <w:top w:val="single" w:sz="8" w:space="0" w:color="auto"/>
              <w:left w:val="nil"/>
              <w:bottom w:val="dotted" w:sz="4" w:space="0" w:color="auto"/>
              <w:right w:val="nil"/>
            </w:tcBorders>
            <w:shd w:val="clear" w:color="auto" w:fill="auto"/>
            <w:noWrap/>
            <w:vAlign w:val="bottom"/>
          </w:tcPr>
          <w:p w:rsidR="00FE3E37" w:rsidRPr="002335CE" w:rsidRDefault="00FE3E37" w:rsidP="00AA0186">
            <w:pPr>
              <w:rPr>
                <w:rFonts w:ascii="Arial" w:hAnsi="Arial" w:cs="Arial"/>
                <w:sz w:val="20"/>
                <w:szCs w:val="20"/>
              </w:rPr>
            </w:pPr>
            <w:r w:rsidRPr="002335CE">
              <w:rPr>
                <w:rFonts w:ascii="Arial" w:hAnsi="Arial" w:cs="Arial"/>
                <w:sz w:val="20"/>
                <w:szCs w:val="20"/>
              </w:rPr>
              <w:t xml:space="preserve">Panel A: </w:t>
            </w:r>
            <w:r>
              <w:rPr>
                <w:rFonts w:ascii="Arial" w:hAnsi="Arial" w:cs="Arial"/>
                <w:sz w:val="20"/>
                <w:szCs w:val="20"/>
              </w:rPr>
              <w:t>Price momentum</w:t>
            </w:r>
          </w:p>
        </w:tc>
      </w:tr>
      <w:tr w:rsidR="00FE3E37" w:rsidRPr="002335CE" w:rsidTr="00AA0186">
        <w:trPr>
          <w:trHeight w:val="255"/>
        </w:trPr>
        <w:tc>
          <w:tcPr>
            <w:tcW w:w="960" w:type="dxa"/>
            <w:vMerge w:val="restart"/>
            <w:tcBorders>
              <w:top w:val="nil"/>
              <w:left w:val="nil"/>
              <w:bottom w:val="dotted" w:sz="4" w:space="0" w:color="000000"/>
              <w:right w:val="nil"/>
            </w:tcBorders>
            <w:shd w:val="clear" w:color="auto" w:fill="auto"/>
            <w:vAlign w:val="center"/>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1</w:t>
            </w: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2.224</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0.636</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0.015</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3.297</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0.661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0.012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2.454</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0.643</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0.009</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2.161</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0.628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0.008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1.95</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0.619</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0.008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1.996</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0.607</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0.004</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0.769</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0.579</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0.001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0.206</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0.568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0.002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0.407</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0.589</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0.006</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1.158</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0.546</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0.014</w:t>
            </w:r>
          </w:p>
        </w:tc>
        <w:tc>
          <w:tcPr>
            <w:tcW w:w="748" w:type="dxa"/>
            <w:tcBorders>
              <w:top w:val="nil"/>
              <w:left w:val="nil"/>
              <w:bottom w:val="dotted" w:sz="4" w:space="0" w:color="auto"/>
              <w:right w:val="nil"/>
            </w:tcBorders>
            <w:shd w:val="clear" w:color="auto" w:fill="auto"/>
            <w:noWrap/>
            <w:vAlign w:val="bottom"/>
          </w:tcPr>
          <w:p w:rsidR="00FE3E37" w:rsidRPr="006472B7" w:rsidRDefault="00FE3E37" w:rsidP="00AA0186">
            <w:pPr>
              <w:jc w:val="center"/>
              <w:rPr>
                <w:rFonts w:ascii="MS Sans Serif" w:hAnsi="MS Sans Serif" w:cs="Arial" w:hint="eastAsia"/>
                <w:b/>
                <w:bCs/>
                <w:i/>
                <w:sz w:val="18"/>
                <w:szCs w:val="18"/>
              </w:rPr>
            </w:pPr>
            <w:r w:rsidRPr="006472B7">
              <w:rPr>
                <w:rFonts w:ascii="MS Sans Serif" w:hAnsi="MS Sans Serif" w:cs="Arial"/>
                <w:b/>
                <w:bCs/>
                <w:i/>
                <w:sz w:val="18"/>
                <w:szCs w:val="18"/>
              </w:rPr>
              <w:t>2.709</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0.602</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0.01</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1.813</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0.554</w:t>
            </w:r>
          </w:p>
        </w:tc>
      </w:tr>
      <w:tr w:rsidR="00FE3E37" w:rsidRPr="002335CE" w:rsidTr="00AA0186">
        <w:trPr>
          <w:trHeight w:val="255"/>
        </w:trPr>
        <w:tc>
          <w:tcPr>
            <w:tcW w:w="960" w:type="dxa"/>
            <w:vMerge w:val="restart"/>
            <w:tcBorders>
              <w:top w:val="nil"/>
              <w:left w:val="nil"/>
              <w:bottom w:val="dotted" w:sz="4" w:space="0" w:color="000000"/>
              <w:right w:val="nil"/>
            </w:tcBorders>
            <w:shd w:val="clear" w:color="auto" w:fill="auto"/>
            <w:vAlign w:val="center"/>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3</w:t>
            </w: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0.033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3.683</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0.656</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0.045</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5.207</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0.707</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0.036</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3.756</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0.636</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0.024</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3.46</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0.656</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0.022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3.094</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0.655</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0.025</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3.806</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0.673</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0.014</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1.499</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0.597</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0.005</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0.45</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0.578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0.014</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1.387</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0.582</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0.019</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1.913</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0.555</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0.04</w:t>
            </w:r>
          </w:p>
        </w:tc>
        <w:tc>
          <w:tcPr>
            <w:tcW w:w="748" w:type="dxa"/>
            <w:tcBorders>
              <w:top w:val="nil"/>
              <w:left w:val="nil"/>
              <w:bottom w:val="dotted" w:sz="4" w:space="0" w:color="auto"/>
              <w:right w:val="nil"/>
            </w:tcBorders>
            <w:shd w:val="clear" w:color="auto" w:fill="auto"/>
            <w:noWrap/>
            <w:vAlign w:val="bottom"/>
          </w:tcPr>
          <w:p w:rsidR="00FE3E37" w:rsidRPr="006472B7" w:rsidRDefault="00FE3E37" w:rsidP="00AA0186">
            <w:pPr>
              <w:jc w:val="center"/>
              <w:rPr>
                <w:rFonts w:ascii="MS Sans Serif" w:hAnsi="MS Sans Serif" w:cs="Arial" w:hint="eastAsia"/>
                <w:b/>
                <w:bCs/>
                <w:i/>
                <w:sz w:val="18"/>
                <w:szCs w:val="18"/>
              </w:rPr>
            </w:pPr>
            <w:r w:rsidRPr="006472B7">
              <w:rPr>
                <w:rFonts w:ascii="MS Sans Serif" w:hAnsi="MS Sans Serif" w:cs="Arial"/>
                <w:b/>
                <w:bCs/>
                <w:i/>
                <w:sz w:val="18"/>
                <w:szCs w:val="18"/>
              </w:rPr>
              <w:t>4.199</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0.629</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0.022</w:t>
            </w:r>
          </w:p>
        </w:tc>
        <w:tc>
          <w:tcPr>
            <w:tcW w:w="748" w:type="dxa"/>
            <w:tcBorders>
              <w:top w:val="nil"/>
              <w:left w:val="nil"/>
              <w:bottom w:val="dotted" w:sz="4" w:space="0" w:color="auto"/>
              <w:right w:val="nil"/>
            </w:tcBorders>
            <w:shd w:val="clear" w:color="auto" w:fill="auto"/>
            <w:noWrap/>
            <w:vAlign w:val="bottom"/>
          </w:tcPr>
          <w:p w:rsidR="00FE3E37" w:rsidRPr="00D354A9" w:rsidRDefault="00FE3E37" w:rsidP="00AA0186">
            <w:pPr>
              <w:jc w:val="center"/>
              <w:rPr>
                <w:rFonts w:ascii="MS Sans Serif" w:hAnsi="MS Sans Serif" w:cs="Arial" w:hint="eastAsia"/>
                <w:b/>
                <w:bCs/>
                <w:i/>
                <w:sz w:val="18"/>
                <w:szCs w:val="18"/>
              </w:rPr>
            </w:pPr>
            <w:r w:rsidRPr="00D354A9">
              <w:rPr>
                <w:rFonts w:ascii="MS Sans Serif" w:hAnsi="MS Sans Serif" w:cs="Arial"/>
                <w:b/>
                <w:bCs/>
                <w:i/>
                <w:sz w:val="18"/>
                <w:szCs w:val="18"/>
              </w:rPr>
              <w:t>2.071</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0.573</w:t>
            </w:r>
          </w:p>
        </w:tc>
      </w:tr>
      <w:tr w:rsidR="00FE3E37" w:rsidRPr="002335CE" w:rsidTr="00AA0186">
        <w:trPr>
          <w:trHeight w:val="255"/>
        </w:trPr>
        <w:tc>
          <w:tcPr>
            <w:tcW w:w="960" w:type="dxa"/>
            <w:vMerge w:val="restart"/>
            <w:tcBorders>
              <w:top w:val="nil"/>
              <w:left w:val="nil"/>
              <w:bottom w:val="dotted" w:sz="4" w:space="0" w:color="000000"/>
              <w:right w:val="nil"/>
            </w:tcBorders>
            <w:shd w:val="clear" w:color="auto" w:fill="auto"/>
            <w:vAlign w:val="center"/>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6</w:t>
            </w: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0.069</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5.539</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0.776</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0.078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6.367</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0.761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0.065</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4.577</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0.738</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0.052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5.358</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0.741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0.046</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5.014</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0.735</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0.052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5.772</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0.757</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0.022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1.817</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0.664</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0.013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0.973</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0.637</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0.039</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3.086</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0.71</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0.047</w:t>
            </w:r>
          </w:p>
        </w:tc>
        <w:tc>
          <w:tcPr>
            <w:tcW w:w="748" w:type="dxa"/>
            <w:tcBorders>
              <w:top w:val="nil"/>
              <w:left w:val="nil"/>
              <w:bottom w:val="dotted" w:sz="4" w:space="0" w:color="auto"/>
              <w:right w:val="nil"/>
            </w:tcBorders>
            <w:shd w:val="clear" w:color="auto" w:fill="auto"/>
            <w:noWrap/>
            <w:vAlign w:val="bottom"/>
          </w:tcPr>
          <w:p w:rsidR="00FE3E37" w:rsidRPr="00D75734" w:rsidRDefault="00FE3E37" w:rsidP="00AA0186">
            <w:pPr>
              <w:jc w:val="center"/>
              <w:rPr>
                <w:rFonts w:ascii="MS Sans Serif" w:hAnsi="MS Sans Serif" w:cs="Arial" w:hint="eastAsia"/>
                <w:b/>
                <w:bCs/>
                <w:i/>
                <w:sz w:val="18"/>
                <w:szCs w:val="18"/>
              </w:rPr>
            </w:pPr>
            <w:r w:rsidRPr="00D75734">
              <w:rPr>
                <w:rFonts w:ascii="MS Sans Serif" w:hAnsi="MS Sans Serif" w:cs="Arial"/>
                <w:b/>
                <w:bCs/>
                <w:i/>
                <w:sz w:val="18"/>
                <w:szCs w:val="18"/>
              </w:rPr>
              <w:t>3.336</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0.603</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0.065</w:t>
            </w:r>
          </w:p>
        </w:tc>
        <w:tc>
          <w:tcPr>
            <w:tcW w:w="748" w:type="dxa"/>
            <w:tcBorders>
              <w:top w:val="nil"/>
              <w:left w:val="nil"/>
              <w:bottom w:val="dotted" w:sz="4" w:space="0" w:color="auto"/>
              <w:right w:val="nil"/>
            </w:tcBorders>
            <w:shd w:val="clear" w:color="auto" w:fill="auto"/>
            <w:noWrap/>
            <w:vAlign w:val="bottom"/>
          </w:tcPr>
          <w:p w:rsidR="00FE3E37" w:rsidRPr="00D75734" w:rsidRDefault="00FE3E37" w:rsidP="00AA0186">
            <w:pPr>
              <w:jc w:val="center"/>
              <w:rPr>
                <w:rFonts w:ascii="MS Sans Serif" w:hAnsi="MS Sans Serif" w:cs="Arial" w:hint="eastAsia"/>
                <w:b/>
                <w:bCs/>
                <w:i/>
                <w:sz w:val="18"/>
                <w:szCs w:val="18"/>
              </w:rPr>
            </w:pPr>
            <w:r w:rsidRPr="00D75734">
              <w:rPr>
                <w:rFonts w:ascii="MS Sans Serif" w:hAnsi="MS Sans Serif" w:cs="Arial"/>
                <w:b/>
                <w:bCs/>
                <w:i/>
                <w:sz w:val="18"/>
                <w:szCs w:val="18"/>
              </w:rPr>
              <w:t>4.77</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0.664</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0.027</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1.639</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0.57</w:t>
            </w:r>
          </w:p>
        </w:tc>
      </w:tr>
      <w:tr w:rsidR="00FE3E37" w:rsidRPr="002335CE" w:rsidTr="00AA0186">
        <w:trPr>
          <w:trHeight w:val="255"/>
        </w:trPr>
        <w:tc>
          <w:tcPr>
            <w:tcW w:w="960" w:type="dxa"/>
            <w:vMerge w:val="restart"/>
            <w:tcBorders>
              <w:top w:val="nil"/>
              <w:left w:val="nil"/>
              <w:bottom w:val="dotted" w:sz="4" w:space="0" w:color="000000"/>
              <w:right w:val="nil"/>
            </w:tcBorders>
            <w:shd w:val="clear" w:color="auto" w:fill="auto"/>
            <w:vAlign w:val="center"/>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12</w:t>
            </w: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0.118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6.075</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0.773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0.136</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7.346</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0.813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0.098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4.745</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0.772</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0.114</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8.236</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0.102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7.472</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0.757</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0.108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7.805</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0.792</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0.063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3.34</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0.691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0.065</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3.034</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0.701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0.105</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5.149</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0.792</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0.055</w:t>
            </w:r>
          </w:p>
        </w:tc>
        <w:tc>
          <w:tcPr>
            <w:tcW w:w="748" w:type="dxa"/>
            <w:tcBorders>
              <w:top w:val="nil"/>
              <w:left w:val="nil"/>
              <w:bottom w:val="dotted" w:sz="4" w:space="0" w:color="auto"/>
              <w:right w:val="nil"/>
            </w:tcBorders>
            <w:shd w:val="clear" w:color="auto" w:fill="auto"/>
            <w:noWrap/>
            <w:vAlign w:val="bottom"/>
          </w:tcPr>
          <w:p w:rsidR="00FE3E37" w:rsidRPr="002D1DA9" w:rsidRDefault="00FE3E37" w:rsidP="00AA0186">
            <w:pPr>
              <w:jc w:val="center"/>
              <w:rPr>
                <w:rFonts w:ascii="MS Sans Serif" w:hAnsi="MS Sans Serif" w:cs="Arial" w:hint="eastAsia"/>
                <w:b/>
                <w:bCs/>
                <w:i/>
                <w:sz w:val="18"/>
                <w:szCs w:val="18"/>
              </w:rPr>
            </w:pPr>
            <w:r w:rsidRPr="002D1DA9">
              <w:rPr>
                <w:rFonts w:ascii="MS Sans Serif" w:hAnsi="MS Sans Serif" w:cs="Arial"/>
                <w:b/>
                <w:bCs/>
                <w:i/>
                <w:sz w:val="18"/>
                <w:szCs w:val="18"/>
              </w:rPr>
              <w:t>2.398</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0.591</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0.071</w:t>
            </w:r>
          </w:p>
        </w:tc>
        <w:tc>
          <w:tcPr>
            <w:tcW w:w="748" w:type="dxa"/>
            <w:tcBorders>
              <w:top w:val="nil"/>
              <w:left w:val="nil"/>
              <w:bottom w:val="dotted" w:sz="4" w:space="0" w:color="auto"/>
              <w:right w:val="nil"/>
            </w:tcBorders>
            <w:shd w:val="clear" w:color="auto" w:fill="auto"/>
            <w:noWrap/>
            <w:vAlign w:val="bottom"/>
          </w:tcPr>
          <w:p w:rsidR="00FE3E37" w:rsidRPr="002D1DA9" w:rsidRDefault="00FE3E37" w:rsidP="00AA0186">
            <w:pPr>
              <w:jc w:val="center"/>
              <w:rPr>
                <w:rFonts w:ascii="MS Sans Serif" w:hAnsi="MS Sans Serif" w:cs="Arial" w:hint="eastAsia"/>
                <w:b/>
                <w:bCs/>
                <w:i/>
                <w:sz w:val="18"/>
                <w:szCs w:val="18"/>
              </w:rPr>
            </w:pPr>
            <w:r w:rsidRPr="002D1DA9">
              <w:rPr>
                <w:rFonts w:ascii="MS Sans Serif" w:hAnsi="MS Sans Serif" w:cs="Arial"/>
                <w:b/>
                <w:bCs/>
                <w:i/>
                <w:sz w:val="18"/>
                <w:szCs w:val="18"/>
              </w:rPr>
              <w:t>3.081</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0.626</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-0.007</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-0.282</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0.525</w:t>
            </w:r>
          </w:p>
        </w:tc>
      </w:tr>
      <w:tr w:rsidR="00FE3E37" w:rsidRPr="002335CE" w:rsidTr="00AA0186">
        <w:trPr>
          <w:trHeight w:val="255"/>
        </w:trPr>
        <w:tc>
          <w:tcPr>
            <w:tcW w:w="960" w:type="dxa"/>
            <w:tcBorders>
              <w:top w:val="nil"/>
              <w:left w:val="nil"/>
              <w:bottom w:val="nil"/>
              <w:right w:val="nil"/>
            </w:tcBorders>
            <w:shd w:val="clear" w:color="auto" w:fill="auto"/>
            <w:noWrap/>
            <w:vAlign w:val="bottom"/>
          </w:tcPr>
          <w:p w:rsidR="00FE3E37" w:rsidRPr="002335CE" w:rsidRDefault="00FE3E37" w:rsidP="00AA0186">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FE3E37" w:rsidRPr="002335CE" w:rsidRDefault="00FE3E37" w:rsidP="00AA0186">
            <w:pPr>
              <w:rPr>
                <w:rFonts w:ascii="Arial" w:hAnsi="Arial" w:cs="Arial"/>
                <w:sz w:val="20"/>
                <w:szCs w:val="20"/>
              </w:rPr>
            </w:pPr>
          </w:p>
        </w:tc>
        <w:tc>
          <w:tcPr>
            <w:tcW w:w="748" w:type="dxa"/>
            <w:tcBorders>
              <w:top w:val="nil"/>
              <w:left w:val="nil"/>
              <w:bottom w:val="nil"/>
              <w:right w:val="nil"/>
            </w:tcBorders>
            <w:shd w:val="clear" w:color="auto" w:fill="auto"/>
            <w:noWrap/>
            <w:vAlign w:val="bottom"/>
          </w:tcPr>
          <w:p w:rsidR="00FE3E37" w:rsidRPr="002335CE" w:rsidRDefault="00FE3E37" w:rsidP="00AA0186">
            <w:pPr>
              <w:rPr>
                <w:rFonts w:ascii="Arial" w:hAnsi="Arial" w:cs="Arial"/>
                <w:sz w:val="20"/>
                <w:szCs w:val="20"/>
              </w:rPr>
            </w:pPr>
          </w:p>
        </w:tc>
        <w:tc>
          <w:tcPr>
            <w:tcW w:w="748" w:type="dxa"/>
            <w:tcBorders>
              <w:top w:val="nil"/>
              <w:left w:val="nil"/>
              <w:bottom w:val="nil"/>
              <w:right w:val="nil"/>
            </w:tcBorders>
            <w:shd w:val="clear" w:color="auto" w:fill="auto"/>
            <w:noWrap/>
            <w:vAlign w:val="bottom"/>
          </w:tcPr>
          <w:p w:rsidR="00FE3E37" w:rsidRPr="002335CE" w:rsidRDefault="00FE3E37" w:rsidP="00AA0186">
            <w:pPr>
              <w:rPr>
                <w:rFonts w:ascii="Arial" w:hAnsi="Arial" w:cs="Arial"/>
                <w:sz w:val="20"/>
                <w:szCs w:val="20"/>
              </w:rPr>
            </w:pPr>
          </w:p>
        </w:tc>
        <w:tc>
          <w:tcPr>
            <w:tcW w:w="749" w:type="dxa"/>
            <w:tcBorders>
              <w:top w:val="nil"/>
              <w:left w:val="nil"/>
              <w:bottom w:val="nil"/>
              <w:right w:val="nil"/>
            </w:tcBorders>
            <w:shd w:val="clear" w:color="auto" w:fill="auto"/>
            <w:noWrap/>
            <w:vAlign w:val="bottom"/>
          </w:tcPr>
          <w:p w:rsidR="00FE3E37" w:rsidRPr="002335CE" w:rsidRDefault="00FE3E37" w:rsidP="00AA0186">
            <w:pPr>
              <w:rPr>
                <w:rFonts w:ascii="Arial" w:hAnsi="Arial" w:cs="Arial"/>
                <w:sz w:val="20"/>
                <w:szCs w:val="20"/>
              </w:rPr>
            </w:pPr>
          </w:p>
        </w:tc>
        <w:tc>
          <w:tcPr>
            <w:tcW w:w="748" w:type="dxa"/>
            <w:tcBorders>
              <w:top w:val="nil"/>
              <w:left w:val="nil"/>
              <w:bottom w:val="nil"/>
              <w:right w:val="nil"/>
            </w:tcBorders>
            <w:shd w:val="clear" w:color="auto" w:fill="auto"/>
            <w:noWrap/>
            <w:vAlign w:val="bottom"/>
          </w:tcPr>
          <w:p w:rsidR="00FE3E37" w:rsidRPr="002335CE" w:rsidRDefault="00FE3E37" w:rsidP="00AA0186">
            <w:pPr>
              <w:rPr>
                <w:rFonts w:ascii="Arial" w:hAnsi="Arial" w:cs="Arial"/>
                <w:sz w:val="20"/>
                <w:szCs w:val="20"/>
              </w:rPr>
            </w:pPr>
          </w:p>
        </w:tc>
        <w:tc>
          <w:tcPr>
            <w:tcW w:w="748" w:type="dxa"/>
            <w:tcBorders>
              <w:top w:val="nil"/>
              <w:left w:val="nil"/>
              <w:bottom w:val="nil"/>
              <w:right w:val="nil"/>
            </w:tcBorders>
            <w:shd w:val="clear" w:color="auto" w:fill="auto"/>
            <w:noWrap/>
            <w:vAlign w:val="bottom"/>
          </w:tcPr>
          <w:p w:rsidR="00FE3E37" w:rsidRPr="002335CE" w:rsidRDefault="00FE3E37" w:rsidP="00AA0186">
            <w:pPr>
              <w:rPr>
                <w:rFonts w:ascii="Arial" w:hAnsi="Arial" w:cs="Arial"/>
                <w:sz w:val="20"/>
                <w:szCs w:val="20"/>
              </w:rPr>
            </w:pPr>
          </w:p>
        </w:tc>
        <w:tc>
          <w:tcPr>
            <w:tcW w:w="749" w:type="dxa"/>
            <w:tcBorders>
              <w:top w:val="nil"/>
              <w:left w:val="nil"/>
              <w:bottom w:val="nil"/>
              <w:right w:val="nil"/>
            </w:tcBorders>
            <w:shd w:val="clear" w:color="auto" w:fill="auto"/>
            <w:noWrap/>
            <w:vAlign w:val="bottom"/>
          </w:tcPr>
          <w:p w:rsidR="00FE3E37" w:rsidRPr="002335CE" w:rsidRDefault="00FE3E37" w:rsidP="00AA0186">
            <w:pPr>
              <w:rPr>
                <w:rFonts w:ascii="Arial" w:hAnsi="Arial" w:cs="Arial"/>
                <w:sz w:val="20"/>
                <w:szCs w:val="20"/>
              </w:rPr>
            </w:pPr>
          </w:p>
        </w:tc>
        <w:tc>
          <w:tcPr>
            <w:tcW w:w="748" w:type="dxa"/>
            <w:tcBorders>
              <w:top w:val="nil"/>
              <w:left w:val="nil"/>
              <w:bottom w:val="nil"/>
              <w:right w:val="nil"/>
            </w:tcBorders>
            <w:shd w:val="clear" w:color="auto" w:fill="auto"/>
            <w:noWrap/>
            <w:vAlign w:val="bottom"/>
          </w:tcPr>
          <w:p w:rsidR="00FE3E37" w:rsidRPr="002335CE" w:rsidRDefault="00FE3E37" w:rsidP="00AA0186">
            <w:pPr>
              <w:rPr>
                <w:rFonts w:ascii="Arial" w:hAnsi="Arial" w:cs="Arial"/>
                <w:sz w:val="20"/>
                <w:szCs w:val="20"/>
              </w:rPr>
            </w:pPr>
          </w:p>
        </w:tc>
        <w:tc>
          <w:tcPr>
            <w:tcW w:w="748" w:type="dxa"/>
            <w:tcBorders>
              <w:top w:val="nil"/>
              <w:left w:val="nil"/>
              <w:bottom w:val="nil"/>
              <w:right w:val="nil"/>
            </w:tcBorders>
            <w:shd w:val="clear" w:color="auto" w:fill="auto"/>
            <w:noWrap/>
            <w:vAlign w:val="bottom"/>
          </w:tcPr>
          <w:p w:rsidR="00FE3E37" w:rsidRPr="002335CE" w:rsidRDefault="00FE3E37" w:rsidP="00AA0186">
            <w:pPr>
              <w:rPr>
                <w:rFonts w:ascii="Arial" w:hAnsi="Arial" w:cs="Arial"/>
                <w:sz w:val="20"/>
                <w:szCs w:val="20"/>
              </w:rPr>
            </w:pPr>
          </w:p>
        </w:tc>
        <w:tc>
          <w:tcPr>
            <w:tcW w:w="749" w:type="dxa"/>
            <w:tcBorders>
              <w:top w:val="nil"/>
              <w:left w:val="nil"/>
              <w:bottom w:val="nil"/>
              <w:right w:val="nil"/>
            </w:tcBorders>
            <w:shd w:val="clear" w:color="auto" w:fill="auto"/>
            <w:noWrap/>
            <w:vAlign w:val="bottom"/>
          </w:tcPr>
          <w:p w:rsidR="00FE3E37" w:rsidRPr="002335CE" w:rsidRDefault="00FE3E37" w:rsidP="00AA0186">
            <w:pPr>
              <w:rPr>
                <w:rFonts w:ascii="Arial" w:hAnsi="Arial" w:cs="Arial"/>
                <w:sz w:val="20"/>
                <w:szCs w:val="20"/>
              </w:rPr>
            </w:pPr>
          </w:p>
        </w:tc>
      </w:tr>
      <w:tr w:rsidR="00FE3E37" w:rsidRPr="002335CE" w:rsidTr="00AA0186">
        <w:trPr>
          <w:trHeight w:val="243"/>
        </w:trPr>
        <w:tc>
          <w:tcPr>
            <w:tcW w:w="8655" w:type="dxa"/>
            <w:gridSpan w:val="11"/>
            <w:tcBorders>
              <w:top w:val="nil"/>
              <w:left w:val="nil"/>
              <w:bottom w:val="dotted" w:sz="4" w:space="0" w:color="auto"/>
              <w:right w:val="nil"/>
            </w:tcBorders>
            <w:shd w:val="clear" w:color="auto" w:fill="auto"/>
            <w:noWrap/>
            <w:vAlign w:val="bottom"/>
          </w:tcPr>
          <w:p w:rsidR="00FE3E37" w:rsidRPr="002335CE" w:rsidRDefault="00FE3E37" w:rsidP="00AA0186">
            <w:pPr>
              <w:rPr>
                <w:rFonts w:ascii="Arial" w:hAnsi="Arial" w:cs="Arial"/>
                <w:sz w:val="20"/>
                <w:szCs w:val="20"/>
              </w:rPr>
            </w:pPr>
            <w:r w:rsidRPr="002335CE">
              <w:rPr>
                <w:rFonts w:ascii="Arial" w:hAnsi="Arial" w:cs="Arial"/>
                <w:sz w:val="20"/>
                <w:szCs w:val="20"/>
              </w:rPr>
              <w:t xml:space="preserve">Panel B: </w:t>
            </w:r>
            <w:r>
              <w:rPr>
                <w:rFonts w:ascii="Arial" w:hAnsi="Arial" w:cs="Arial"/>
                <w:sz w:val="20"/>
                <w:szCs w:val="20"/>
              </w:rPr>
              <w:t>Earnings Momentum</w:t>
            </w:r>
          </w:p>
        </w:tc>
      </w:tr>
      <w:tr w:rsidR="00FE3E37" w:rsidRPr="002335CE" w:rsidTr="00AA0186">
        <w:trPr>
          <w:trHeight w:val="255"/>
        </w:trPr>
        <w:tc>
          <w:tcPr>
            <w:tcW w:w="960" w:type="dxa"/>
            <w:vMerge w:val="restart"/>
            <w:tcBorders>
              <w:top w:val="nil"/>
              <w:left w:val="nil"/>
              <w:bottom w:val="dotted" w:sz="4" w:space="0" w:color="000000"/>
              <w:right w:val="nil"/>
            </w:tcBorders>
            <w:shd w:val="clear" w:color="auto" w:fill="auto"/>
            <w:vAlign w:val="center"/>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1</w:t>
            </w: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0.012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2.464</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0.629</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0.010</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2.307</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0.628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0.009</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1.920</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0.617</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0.006</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1.105</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0.586</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0.007</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1.356</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0.602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0.006</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1.117</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0.607</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0.007</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1.691</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0.621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0.007</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1.712</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0.602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0.008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1.966</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0.607</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0.005</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1.328</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0.534</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0.003</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0.992</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0.522</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0.001</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0.223</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0.495</w:t>
            </w:r>
          </w:p>
        </w:tc>
      </w:tr>
      <w:tr w:rsidR="00FE3E37" w:rsidRPr="002335CE" w:rsidTr="00AA0186">
        <w:trPr>
          <w:trHeight w:val="255"/>
        </w:trPr>
        <w:tc>
          <w:tcPr>
            <w:tcW w:w="960" w:type="dxa"/>
            <w:vMerge w:val="restart"/>
            <w:tcBorders>
              <w:top w:val="nil"/>
              <w:left w:val="nil"/>
              <w:bottom w:val="dotted" w:sz="4" w:space="0" w:color="000000"/>
              <w:right w:val="nil"/>
            </w:tcBorders>
            <w:shd w:val="clear" w:color="auto" w:fill="auto"/>
            <w:vAlign w:val="center"/>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3</w:t>
            </w: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0.030</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3.721</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0.667</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0.030</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3.729</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0.649</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0.028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3.276</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0.648</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0.021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2.256</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0.579</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0.018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1.865</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0.568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0.022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2.437</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0.629</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0.022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2.877</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0.667</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0.025</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3.174</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0.631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0.028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3.588</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0.657</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0.009</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1.294</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0.526</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0.005</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0.772</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0.514</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0.000</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-0.066</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0.419</w:t>
            </w:r>
          </w:p>
        </w:tc>
      </w:tr>
      <w:tr w:rsidR="00FE3E37" w:rsidRPr="002335CE" w:rsidTr="00AA0186">
        <w:trPr>
          <w:trHeight w:val="255"/>
        </w:trPr>
        <w:tc>
          <w:tcPr>
            <w:tcW w:w="960" w:type="dxa"/>
            <w:vMerge w:val="restart"/>
            <w:tcBorders>
              <w:top w:val="nil"/>
              <w:left w:val="nil"/>
              <w:bottom w:val="dotted" w:sz="4" w:space="0" w:color="000000"/>
              <w:right w:val="nil"/>
            </w:tcBorders>
            <w:shd w:val="clear" w:color="auto" w:fill="auto"/>
            <w:vAlign w:val="center"/>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6</w:t>
            </w: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0.056</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4.972</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0.757</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0.055</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4.970</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0.722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0.045</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3.887</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0.716</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0.039</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3.067</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0.667</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0.031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2.401</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0.639</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0.050</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4.052</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0.745</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0.048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4.841</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0.739</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0.052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4.831</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0.731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0.061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5.694</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0.765</w:t>
            </w:r>
          </w:p>
        </w:tc>
      </w:tr>
      <w:tr w:rsidR="00FE3E37" w:rsidRPr="002335CE" w:rsidTr="00AA0186">
        <w:trPr>
          <w:trHeight w:val="255"/>
        </w:trPr>
        <w:tc>
          <w:tcPr>
            <w:tcW w:w="960" w:type="dxa"/>
            <w:vMerge/>
            <w:tcBorders>
              <w:top w:val="nil"/>
              <w:left w:val="nil"/>
              <w:bottom w:val="dotted" w:sz="4"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0.007</w:t>
            </w:r>
          </w:p>
        </w:tc>
        <w:tc>
          <w:tcPr>
            <w:tcW w:w="748" w:type="dxa"/>
            <w:tcBorders>
              <w:top w:val="nil"/>
              <w:left w:val="nil"/>
              <w:bottom w:val="dotted" w:sz="4" w:space="0" w:color="auto"/>
              <w:right w:val="nil"/>
            </w:tcBorders>
            <w:shd w:val="clear" w:color="auto" w:fill="auto"/>
            <w:noWrap/>
            <w:vAlign w:val="bottom"/>
          </w:tcPr>
          <w:p w:rsidR="00FE3E37" w:rsidRPr="002D1DA9" w:rsidRDefault="00FE3E37" w:rsidP="00AA0186">
            <w:pPr>
              <w:jc w:val="center"/>
              <w:rPr>
                <w:rFonts w:ascii="MS Sans Serif" w:hAnsi="MS Sans Serif" w:cs="Arial" w:hint="eastAsia"/>
                <w:b/>
                <w:bCs/>
                <w:i/>
                <w:sz w:val="18"/>
                <w:szCs w:val="18"/>
              </w:rPr>
            </w:pPr>
            <w:r w:rsidRPr="00907C27">
              <w:rPr>
                <w:rFonts w:ascii="MS Sans Serif" w:hAnsi="MS Sans Serif"/>
                <w:i/>
                <w:sz w:val="18"/>
                <w:szCs w:val="18"/>
              </w:rPr>
              <w:t>0.710</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0.514</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0.003</w:t>
            </w:r>
          </w:p>
        </w:tc>
        <w:tc>
          <w:tcPr>
            <w:tcW w:w="748" w:type="dxa"/>
            <w:tcBorders>
              <w:top w:val="nil"/>
              <w:left w:val="nil"/>
              <w:bottom w:val="dotted" w:sz="4" w:space="0" w:color="auto"/>
              <w:right w:val="nil"/>
            </w:tcBorders>
            <w:shd w:val="clear" w:color="auto" w:fill="auto"/>
            <w:noWrap/>
            <w:vAlign w:val="bottom"/>
          </w:tcPr>
          <w:p w:rsidR="00FE3E37" w:rsidRPr="002D1DA9" w:rsidRDefault="00FE3E37" w:rsidP="00AA0186">
            <w:pPr>
              <w:jc w:val="center"/>
              <w:rPr>
                <w:rFonts w:ascii="MS Sans Serif" w:hAnsi="MS Sans Serif" w:cs="Arial" w:hint="eastAsia"/>
                <w:b/>
                <w:bCs/>
                <w:i/>
                <w:sz w:val="18"/>
                <w:szCs w:val="18"/>
              </w:rPr>
            </w:pPr>
            <w:r w:rsidRPr="00907C27">
              <w:rPr>
                <w:rFonts w:ascii="MS Sans Serif" w:hAnsi="MS Sans Serif"/>
                <w:i/>
                <w:sz w:val="18"/>
                <w:szCs w:val="18"/>
              </w:rPr>
              <w:t>0.291</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0.491</w:t>
            </w:r>
          </w:p>
        </w:tc>
        <w:tc>
          <w:tcPr>
            <w:tcW w:w="748"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-0.016</w:t>
            </w:r>
          </w:p>
        </w:tc>
        <w:tc>
          <w:tcPr>
            <w:tcW w:w="748" w:type="dxa"/>
            <w:tcBorders>
              <w:top w:val="nil"/>
              <w:left w:val="nil"/>
              <w:bottom w:val="dotted" w:sz="4" w:space="0" w:color="auto"/>
              <w:right w:val="nil"/>
            </w:tcBorders>
            <w:shd w:val="clear" w:color="auto" w:fill="auto"/>
            <w:noWrap/>
            <w:vAlign w:val="bottom"/>
          </w:tcPr>
          <w:p w:rsidR="00FE3E37" w:rsidRPr="002D1DA9" w:rsidRDefault="00FE3E37" w:rsidP="00AA0186">
            <w:pPr>
              <w:jc w:val="center"/>
              <w:rPr>
                <w:rFonts w:ascii="MS Sans Serif" w:hAnsi="MS Sans Serif" w:cs="Arial" w:hint="eastAsia"/>
                <w:b/>
                <w:bCs/>
                <w:i/>
                <w:sz w:val="18"/>
                <w:szCs w:val="18"/>
              </w:rPr>
            </w:pPr>
            <w:r w:rsidRPr="00907C27">
              <w:rPr>
                <w:rFonts w:ascii="MS Sans Serif" w:hAnsi="MS Sans Serif"/>
                <w:i/>
                <w:sz w:val="18"/>
                <w:szCs w:val="18"/>
              </w:rPr>
              <w:t>-1.399</w:t>
            </w:r>
          </w:p>
        </w:tc>
        <w:tc>
          <w:tcPr>
            <w:tcW w:w="749" w:type="dxa"/>
            <w:tcBorders>
              <w:top w:val="nil"/>
              <w:left w:val="nil"/>
              <w:bottom w:val="dotted" w:sz="4"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0.422</w:t>
            </w:r>
          </w:p>
        </w:tc>
      </w:tr>
      <w:tr w:rsidR="00FE3E37" w:rsidRPr="002335CE" w:rsidTr="00AA0186">
        <w:trPr>
          <w:trHeight w:val="255"/>
        </w:trPr>
        <w:tc>
          <w:tcPr>
            <w:tcW w:w="960" w:type="dxa"/>
            <w:vMerge w:val="restart"/>
            <w:tcBorders>
              <w:top w:val="nil"/>
              <w:left w:val="nil"/>
              <w:bottom w:val="single" w:sz="8" w:space="0" w:color="000000"/>
              <w:right w:val="nil"/>
            </w:tcBorders>
            <w:shd w:val="clear" w:color="auto" w:fill="auto"/>
            <w:vAlign w:val="center"/>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12</w:t>
            </w: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P1</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0.099</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5.976</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0.714</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0.088</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5.131</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0.706</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0.064</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3.394</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0.688</w:t>
            </w:r>
          </w:p>
        </w:tc>
      </w:tr>
      <w:tr w:rsidR="00FE3E37" w:rsidRPr="002335CE" w:rsidTr="00AA0186">
        <w:trPr>
          <w:trHeight w:val="255"/>
        </w:trPr>
        <w:tc>
          <w:tcPr>
            <w:tcW w:w="960" w:type="dxa"/>
            <w:vMerge/>
            <w:tcBorders>
              <w:top w:val="nil"/>
              <w:left w:val="nil"/>
              <w:bottom w:val="single" w:sz="8"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P2</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0.084</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4.315</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0.724</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0.094</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4.733</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0.725</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0.113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5.795</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0.771</w:t>
            </w:r>
          </w:p>
        </w:tc>
      </w:tr>
      <w:tr w:rsidR="00FE3E37" w:rsidRPr="002335CE" w:rsidTr="00AA0186">
        <w:trPr>
          <w:trHeight w:val="255"/>
        </w:trPr>
        <w:tc>
          <w:tcPr>
            <w:tcW w:w="960" w:type="dxa"/>
            <w:vMerge/>
            <w:tcBorders>
              <w:top w:val="nil"/>
              <w:left w:val="nil"/>
              <w:bottom w:val="single" w:sz="8"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2335CE">
              <w:rPr>
                <w:rFonts w:ascii="MS Sans Serif" w:hAnsi="MS Sans Serif" w:cs="Arial"/>
                <w:sz w:val="18"/>
                <w:szCs w:val="18"/>
              </w:rPr>
              <w:t>P3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0.104</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6.463</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0.829</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0.113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6.786</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0.833</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0.125</w:t>
            </w:r>
          </w:p>
        </w:tc>
        <w:tc>
          <w:tcPr>
            <w:tcW w:w="748"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7.461</w:t>
            </w:r>
          </w:p>
        </w:tc>
        <w:tc>
          <w:tcPr>
            <w:tcW w:w="749" w:type="dxa"/>
            <w:tcBorders>
              <w:top w:val="nil"/>
              <w:left w:val="nil"/>
              <w:bottom w:val="nil"/>
              <w:right w:val="nil"/>
            </w:tcBorders>
            <w:shd w:val="clear" w:color="auto" w:fill="auto"/>
            <w:noWrap/>
            <w:vAlign w:val="bottom"/>
          </w:tcPr>
          <w:p w:rsidR="00FE3E37" w:rsidRPr="002335CE" w:rsidRDefault="00FE3E37" w:rsidP="00AA0186">
            <w:pPr>
              <w:jc w:val="center"/>
              <w:rPr>
                <w:rFonts w:ascii="MS Sans Serif" w:hAnsi="MS Sans Serif" w:cs="Arial" w:hint="eastAsia"/>
                <w:sz w:val="18"/>
                <w:szCs w:val="18"/>
              </w:rPr>
            </w:pPr>
            <w:r w:rsidRPr="00907C27">
              <w:rPr>
                <w:rFonts w:ascii="MS Sans Serif" w:hAnsi="MS Sans Serif"/>
                <w:sz w:val="18"/>
                <w:szCs w:val="18"/>
              </w:rPr>
              <w:t>0.854</w:t>
            </w:r>
          </w:p>
        </w:tc>
      </w:tr>
      <w:tr w:rsidR="00FE3E37" w:rsidRPr="002335CE" w:rsidTr="00AA0186">
        <w:trPr>
          <w:trHeight w:val="270"/>
        </w:trPr>
        <w:tc>
          <w:tcPr>
            <w:tcW w:w="960" w:type="dxa"/>
            <w:vMerge/>
            <w:tcBorders>
              <w:top w:val="nil"/>
              <w:left w:val="nil"/>
              <w:bottom w:val="single" w:sz="8" w:space="0" w:color="000000"/>
              <w:right w:val="nil"/>
            </w:tcBorders>
            <w:vAlign w:val="center"/>
          </w:tcPr>
          <w:p w:rsidR="00FE3E37" w:rsidRPr="002335CE" w:rsidRDefault="00FE3E37" w:rsidP="00AA0186">
            <w:pPr>
              <w:rPr>
                <w:rFonts w:ascii="MS Sans Serif" w:hAnsi="MS Sans Serif" w:cs="Arial" w:hint="eastAsia"/>
                <w:sz w:val="18"/>
                <w:szCs w:val="18"/>
              </w:rPr>
            </w:pPr>
          </w:p>
        </w:tc>
        <w:tc>
          <w:tcPr>
            <w:tcW w:w="960"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48"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-0.005</w:t>
            </w:r>
          </w:p>
        </w:tc>
        <w:tc>
          <w:tcPr>
            <w:tcW w:w="748" w:type="dxa"/>
            <w:tcBorders>
              <w:top w:val="nil"/>
              <w:left w:val="nil"/>
              <w:bottom w:val="single" w:sz="8" w:space="0" w:color="auto"/>
              <w:right w:val="nil"/>
            </w:tcBorders>
            <w:shd w:val="clear" w:color="auto" w:fill="auto"/>
            <w:noWrap/>
            <w:vAlign w:val="bottom"/>
          </w:tcPr>
          <w:p w:rsidR="00FE3E37" w:rsidRPr="002D1DA9" w:rsidRDefault="00FE3E37" w:rsidP="00AA0186">
            <w:pPr>
              <w:jc w:val="center"/>
              <w:rPr>
                <w:rFonts w:ascii="MS Sans Serif" w:hAnsi="MS Sans Serif" w:cs="Arial" w:hint="eastAsia"/>
                <w:b/>
                <w:bCs/>
                <w:i/>
                <w:sz w:val="18"/>
                <w:szCs w:val="18"/>
              </w:rPr>
            </w:pPr>
            <w:r w:rsidRPr="00907C27">
              <w:rPr>
                <w:rFonts w:ascii="MS Sans Serif" w:hAnsi="MS Sans Serif"/>
                <w:i/>
                <w:sz w:val="18"/>
                <w:szCs w:val="18"/>
              </w:rPr>
              <w:t>-0.299</w:t>
            </w:r>
          </w:p>
        </w:tc>
        <w:tc>
          <w:tcPr>
            <w:tcW w:w="749"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0.524</w:t>
            </w:r>
          </w:p>
        </w:tc>
        <w:tc>
          <w:tcPr>
            <w:tcW w:w="748"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-0.025</w:t>
            </w:r>
          </w:p>
        </w:tc>
        <w:tc>
          <w:tcPr>
            <w:tcW w:w="748" w:type="dxa"/>
            <w:tcBorders>
              <w:top w:val="nil"/>
              <w:left w:val="nil"/>
              <w:bottom w:val="single" w:sz="8" w:space="0" w:color="auto"/>
              <w:right w:val="nil"/>
            </w:tcBorders>
            <w:shd w:val="clear" w:color="auto" w:fill="auto"/>
            <w:noWrap/>
            <w:vAlign w:val="bottom"/>
          </w:tcPr>
          <w:p w:rsidR="00FE3E37" w:rsidRPr="002D1DA9" w:rsidRDefault="00FE3E37" w:rsidP="00AA0186">
            <w:pPr>
              <w:jc w:val="center"/>
              <w:rPr>
                <w:rFonts w:ascii="MS Sans Serif" w:hAnsi="MS Sans Serif" w:cs="Arial" w:hint="eastAsia"/>
                <w:b/>
                <w:bCs/>
                <w:i/>
                <w:sz w:val="18"/>
                <w:szCs w:val="18"/>
              </w:rPr>
            </w:pPr>
            <w:r w:rsidRPr="00907C27">
              <w:rPr>
                <w:rFonts w:ascii="MS Sans Serif" w:hAnsi="MS Sans Serif"/>
                <w:i/>
                <w:sz w:val="18"/>
                <w:szCs w:val="18"/>
              </w:rPr>
              <w:t>-1.366</w:t>
            </w:r>
          </w:p>
        </w:tc>
        <w:tc>
          <w:tcPr>
            <w:tcW w:w="749"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0.480</w:t>
            </w:r>
          </w:p>
        </w:tc>
        <w:tc>
          <w:tcPr>
            <w:tcW w:w="748"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-0.061</w:t>
            </w:r>
          </w:p>
        </w:tc>
        <w:tc>
          <w:tcPr>
            <w:tcW w:w="748"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b/>
                <w:i/>
                <w:sz w:val="18"/>
                <w:szCs w:val="18"/>
              </w:rPr>
              <w:t>-3.259</w:t>
            </w:r>
          </w:p>
        </w:tc>
        <w:tc>
          <w:tcPr>
            <w:tcW w:w="749" w:type="dxa"/>
            <w:tcBorders>
              <w:top w:val="nil"/>
              <w:left w:val="nil"/>
              <w:bottom w:val="single" w:sz="8" w:space="0" w:color="auto"/>
              <w:right w:val="nil"/>
            </w:tcBorders>
            <w:shd w:val="clear" w:color="auto" w:fill="auto"/>
            <w:noWrap/>
            <w:vAlign w:val="bottom"/>
          </w:tcPr>
          <w:p w:rsidR="00FE3E37" w:rsidRPr="002335CE" w:rsidRDefault="00FE3E37" w:rsidP="00AA0186">
            <w:pPr>
              <w:jc w:val="center"/>
              <w:rPr>
                <w:rFonts w:ascii="MS Sans Serif" w:hAnsi="MS Sans Serif" w:cs="Arial" w:hint="eastAsia"/>
                <w:i/>
                <w:iCs/>
                <w:sz w:val="18"/>
                <w:szCs w:val="18"/>
              </w:rPr>
            </w:pPr>
            <w:r w:rsidRPr="00907C27">
              <w:rPr>
                <w:rFonts w:ascii="MS Sans Serif" w:hAnsi="MS Sans Serif"/>
                <w:i/>
                <w:sz w:val="18"/>
                <w:szCs w:val="18"/>
              </w:rPr>
              <w:t>0.448</w:t>
            </w:r>
          </w:p>
        </w:tc>
      </w:tr>
    </w:tbl>
    <w:p w:rsidR="00A620D8" w:rsidRDefault="00A620D8" w:rsidP="0040181A">
      <w:pPr>
        <w:sectPr w:rsidR="00A620D8" w:rsidSect="00CF62CA">
          <w:footerReference w:type="even" r:id="rId19"/>
          <w:footerReference w:type="default" r:id="rId20"/>
          <w:pgSz w:w="12240" w:h="15840" w:code="1"/>
          <w:pgMar w:top="1440" w:right="1800" w:bottom="1440" w:left="1800" w:header="720" w:footer="720" w:gutter="0"/>
          <w:pgNumType w:start="0"/>
          <w:cols w:space="720"/>
          <w:titlePg/>
          <w:docGrid w:linePitch="360"/>
        </w:sectPr>
      </w:pPr>
    </w:p>
    <w:p w:rsidR="00C6339D" w:rsidRDefault="005A1BC5" w:rsidP="00FE3E37">
      <w:r>
        <w:lastRenderedPageBreak/>
        <w:t xml:space="preserve"> </w:t>
      </w:r>
      <w:r w:rsidR="00D91B79">
        <w:t xml:space="preserve">Table </w:t>
      </w:r>
      <w:r w:rsidR="006D11C3">
        <w:t>5</w:t>
      </w:r>
      <w:r w:rsidR="00C6339D">
        <w:t xml:space="preserve">: </w:t>
      </w:r>
      <w:r w:rsidR="00E55878">
        <w:t xml:space="preserve">Regressions of </w:t>
      </w:r>
      <w:r w:rsidR="00A23E19">
        <w:t xml:space="preserve">Momentum </w:t>
      </w:r>
      <w:r w:rsidR="00ED124C">
        <w:t xml:space="preserve">Portfolio Returns </w:t>
      </w:r>
      <w:r w:rsidR="00C6339D">
        <w:t xml:space="preserve">of </w:t>
      </w:r>
      <w:r w:rsidR="00110455">
        <w:t xml:space="preserve">Morningstar </w:t>
      </w:r>
      <w:r w:rsidR="00C6339D">
        <w:t xml:space="preserve">Style Indexes on </w:t>
      </w:r>
      <w:r w:rsidR="00E55878">
        <w:t>Risk Factors</w:t>
      </w:r>
    </w:p>
    <w:p w:rsidR="00E55878" w:rsidRDefault="00E55878" w:rsidP="00FE3E37"/>
    <w:p w:rsidR="00C6339D" w:rsidRPr="00ED124C" w:rsidRDefault="00F07282" w:rsidP="004C06FF">
      <w:pPr>
        <w:rPr>
          <w:sz w:val="22"/>
          <w:szCs w:val="22"/>
        </w:rPr>
      </w:pPr>
      <w:r w:rsidRPr="00ED124C">
        <w:rPr>
          <w:sz w:val="22"/>
          <w:szCs w:val="22"/>
        </w:rPr>
        <w:t xml:space="preserve">The table reports the </w:t>
      </w:r>
      <w:r w:rsidR="00ED124C" w:rsidRPr="00ED124C">
        <w:rPr>
          <w:sz w:val="22"/>
          <w:szCs w:val="22"/>
        </w:rPr>
        <w:t xml:space="preserve">regression results </w:t>
      </w:r>
      <w:r w:rsidRPr="00ED124C">
        <w:rPr>
          <w:sz w:val="22"/>
          <w:szCs w:val="22"/>
        </w:rPr>
        <w:t xml:space="preserve">of the </w:t>
      </w:r>
      <w:r w:rsidR="00A23E19" w:rsidRPr="00ED124C">
        <w:rPr>
          <w:sz w:val="22"/>
          <w:szCs w:val="22"/>
        </w:rPr>
        <w:t>momentum portfolio</w:t>
      </w:r>
      <w:r w:rsidR="00ED124C" w:rsidRPr="00ED124C">
        <w:rPr>
          <w:sz w:val="22"/>
          <w:szCs w:val="22"/>
        </w:rPr>
        <w:t xml:space="preserve"> returns of Morningstar Style Indexes against </w:t>
      </w:r>
      <w:r w:rsidR="00690CB7">
        <w:rPr>
          <w:sz w:val="22"/>
          <w:szCs w:val="22"/>
        </w:rPr>
        <w:t>various r</w:t>
      </w:r>
      <w:r w:rsidR="00ED124C" w:rsidRPr="00ED124C">
        <w:rPr>
          <w:sz w:val="22"/>
          <w:szCs w:val="22"/>
        </w:rPr>
        <w:t xml:space="preserve">isk </w:t>
      </w:r>
      <w:r w:rsidR="00690CB7">
        <w:rPr>
          <w:sz w:val="22"/>
          <w:szCs w:val="22"/>
        </w:rPr>
        <w:t>f</w:t>
      </w:r>
      <w:r w:rsidR="00ED124C" w:rsidRPr="00ED124C">
        <w:rPr>
          <w:sz w:val="22"/>
          <w:szCs w:val="22"/>
        </w:rPr>
        <w:t>actors</w:t>
      </w:r>
      <w:r w:rsidR="00BC0FA3" w:rsidRPr="00ED124C">
        <w:rPr>
          <w:sz w:val="22"/>
          <w:szCs w:val="22"/>
        </w:rPr>
        <w:t xml:space="preserve">. </w:t>
      </w:r>
      <w:r w:rsidR="00ED124C" w:rsidRPr="00ED124C">
        <w:rPr>
          <w:sz w:val="22"/>
          <w:szCs w:val="22"/>
        </w:rPr>
        <w:t xml:space="preserve">RMRF, SMB, </w:t>
      </w:r>
      <w:r w:rsidR="004C06FF" w:rsidRPr="00ED124C">
        <w:rPr>
          <w:sz w:val="22"/>
          <w:szCs w:val="22"/>
        </w:rPr>
        <w:t xml:space="preserve">HML </w:t>
      </w:r>
      <w:r w:rsidR="00ED124C" w:rsidRPr="00ED124C">
        <w:rPr>
          <w:sz w:val="22"/>
          <w:szCs w:val="22"/>
        </w:rPr>
        <w:t xml:space="preserve">and UMD </w:t>
      </w:r>
      <w:r w:rsidR="004C06FF" w:rsidRPr="00ED124C">
        <w:rPr>
          <w:sz w:val="22"/>
          <w:szCs w:val="22"/>
        </w:rPr>
        <w:t>are</w:t>
      </w:r>
      <w:r w:rsidR="00ED124C" w:rsidRPr="00ED124C">
        <w:rPr>
          <w:sz w:val="22"/>
          <w:szCs w:val="22"/>
        </w:rPr>
        <w:t xml:space="preserve">, respectively, the </w:t>
      </w:r>
      <w:r w:rsidR="00690CB7">
        <w:rPr>
          <w:sz w:val="22"/>
          <w:szCs w:val="22"/>
        </w:rPr>
        <w:t xml:space="preserve">excess </w:t>
      </w:r>
      <w:r w:rsidR="00ED124C" w:rsidRPr="00ED124C">
        <w:rPr>
          <w:sz w:val="22"/>
          <w:szCs w:val="22"/>
        </w:rPr>
        <w:t>monthly market</w:t>
      </w:r>
      <w:r w:rsidR="00690CB7">
        <w:rPr>
          <w:sz w:val="22"/>
          <w:szCs w:val="22"/>
        </w:rPr>
        <w:t xml:space="preserve"> return over risk-free rate</w:t>
      </w:r>
      <w:r w:rsidR="00ED124C" w:rsidRPr="00ED124C">
        <w:rPr>
          <w:sz w:val="22"/>
          <w:szCs w:val="22"/>
        </w:rPr>
        <w:t xml:space="preserve">, </w:t>
      </w:r>
      <w:r w:rsidR="00690CB7">
        <w:rPr>
          <w:sz w:val="22"/>
          <w:szCs w:val="22"/>
        </w:rPr>
        <w:t xml:space="preserve">the </w:t>
      </w:r>
      <w:r w:rsidR="00ED124C" w:rsidRPr="00ED124C">
        <w:rPr>
          <w:sz w:val="22"/>
          <w:szCs w:val="22"/>
        </w:rPr>
        <w:t xml:space="preserve">size, </w:t>
      </w:r>
      <w:r w:rsidR="00690CB7">
        <w:rPr>
          <w:sz w:val="22"/>
          <w:szCs w:val="22"/>
        </w:rPr>
        <w:t xml:space="preserve">the </w:t>
      </w:r>
      <w:r w:rsidR="004C06FF" w:rsidRPr="00ED124C">
        <w:rPr>
          <w:sz w:val="22"/>
          <w:szCs w:val="22"/>
        </w:rPr>
        <w:t>book-to-market equity</w:t>
      </w:r>
      <w:r w:rsidR="00ED124C" w:rsidRPr="00ED124C">
        <w:rPr>
          <w:sz w:val="22"/>
          <w:szCs w:val="22"/>
        </w:rPr>
        <w:t xml:space="preserve">, and </w:t>
      </w:r>
      <w:r w:rsidR="00690CB7">
        <w:rPr>
          <w:sz w:val="22"/>
          <w:szCs w:val="22"/>
        </w:rPr>
        <w:t xml:space="preserve">the </w:t>
      </w:r>
      <w:r w:rsidR="004C06FF" w:rsidRPr="00ED124C">
        <w:rPr>
          <w:sz w:val="22"/>
          <w:szCs w:val="22"/>
        </w:rPr>
        <w:t>momentum</w:t>
      </w:r>
      <w:r w:rsidR="00ED124C" w:rsidRPr="00ED124C">
        <w:rPr>
          <w:sz w:val="22"/>
          <w:szCs w:val="22"/>
        </w:rPr>
        <w:t xml:space="preserve"> factors</w:t>
      </w:r>
      <w:r w:rsidR="004C06FF" w:rsidRPr="00ED124C">
        <w:rPr>
          <w:sz w:val="22"/>
          <w:szCs w:val="22"/>
        </w:rPr>
        <w:t xml:space="preserve">. Alpha is the intercept of the </w:t>
      </w:r>
      <w:r w:rsidR="00ED124C" w:rsidRPr="00ED124C">
        <w:rPr>
          <w:sz w:val="22"/>
          <w:szCs w:val="22"/>
        </w:rPr>
        <w:t>regression</w:t>
      </w:r>
      <w:r w:rsidR="004C06FF" w:rsidRPr="00ED124C">
        <w:rPr>
          <w:sz w:val="22"/>
          <w:szCs w:val="22"/>
        </w:rPr>
        <w:t>s. The t-statistics are in parentheses.</w:t>
      </w:r>
    </w:p>
    <w:p w:rsidR="00E55878" w:rsidRPr="00ED124C" w:rsidRDefault="00E55878" w:rsidP="004C06FF">
      <w:pPr>
        <w:rPr>
          <w:sz w:val="22"/>
          <w:szCs w:val="22"/>
        </w:rPr>
      </w:pPr>
    </w:p>
    <w:tbl>
      <w:tblPr>
        <w:tblW w:w="13155" w:type="dxa"/>
        <w:tblInd w:w="93" w:type="dxa"/>
        <w:tblLayout w:type="fixed"/>
        <w:tblLook w:val="0000" w:firstRow="0" w:lastRow="0" w:firstColumn="0" w:lastColumn="0" w:noHBand="0" w:noVBand="0"/>
      </w:tblPr>
      <w:tblGrid>
        <w:gridCol w:w="927"/>
        <w:gridCol w:w="927"/>
        <w:gridCol w:w="794"/>
        <w:gridCol w:w="33"/>
        <w:gridCol w:w="761"/>
        <w:gridCol w:w="66"/>
        <w:gridCol w:w="827"/>
        <w:gridCol w:w="792"/>
        <w:gridCol w:w="792"/>
        <w:gridCol w:w="792"/>
        <w:gridCol w:w="792"/>
        <w:gridCol w:w="792"/>
        <w:gridCol w:w="810"/>
        <w:gridCol w:w="810"/>
        <w:gridCol w:w="810"/>
        <w:gridCol w:w="810"/>
        <w:gridCol w:w="810"/>
        <w:gridCol w:w="810"/>
      </w:tblGrid>
      <w:tr w:rsidR="00C6339D" w:rsidRPr="00763A9A">
        <w:trPr>
          <w:trHeight w:val="270"/>
        </w:trPr>
        <w:tc>
          <w:tcPr>
            <w:tcW w:w="927" w:type="dxa"/>
            <w:vMerge w:val="restart"/>
            <w:tcBorders>
              <w:top w:val="single" w:sz="4" w:space="0" w:color="auto"/>
              <w:left w:val="nil"/>
              <w:bottom w:val="single" w:sz="8" w:space="0" w:color="000000"/>
              <w:right w:val="nil"/>
            </w:tcBorders>
            <w:shd w:val="clear" w:color="auto" w:fill="auto"/>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Ranking Period (Months)</w:t>
            </w:r>
          </w:p>
        </w:tc>
        <w:tc>
          <w:tcPr>
            <w:tcW w:w="927" w:type="dxa"/>
            <w:vMerge w:val="restart"/>
            <w:tcBorders>
              <w:top w:val="single" w:sz="4" w:space="0" w:color="auto"/>
              <w:left w:val="nil"/>
              <w:bottom w:val="single" w:sz="8" w:space="0" w:color="000000"/>
              <w:right w:val="nil"/>
            </w:tcBorders>
            <w:shd w:val="clear" w:color="auto" w:fill="auto"/>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Holding Period (Months)</w:t>
            </w:r>
          </w:p>
        </w:tc>
        <w:tc>
          <w:tcPr>
            <w:tcW w:w="2481" w:type="dxa"/>
            <w:gridSpan w:val="5"/>
            <w:tcBorders>
              <w:top w:val="single" w:sz="4" w:space="0" w:color="auto"/>
              <w:left w:val="nil"/>
              <w:bottom w:val="single" w:sz="4"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CAPM</w:t>
            </w:r>
          </w:p>
        </w:tc>
        <w:tc>
          <w:tcPr>
            <w:tcW w:w="3960" w:type="dxa"/>
            <w:gridSpan w:val="5"/>
            <w:tcBorders>
              <w:top w:val="single" w:sz="4" w:space="0" w:color="auto"/>
              <w:left w:val="nil"/>
              <w:bottom w:val="single" w:sz="4" w:space="0" w:color="auto"/>
              <w:right w:val="nil"/>
            </w:tcBorders>
            <w:shd w:val="clear" w:color="auto" w:fill="auto"/>
            <w:noWrap/>
            <w:vAlign w:val="bottom"/>
          </w:tcPr>
          <w:p w:rsidR="00C6339D" w:rsidRPr="00763A9A" w:rsidRDefault="00586562" w:rsidP="00F92082">
            <w:pPr>
              <w:jc w:val="center"/>
              <w:rPr>
                <w:rFonts w:ascii="Arial" w:hAnsi="Arial" w:cs="Arial"/>
                <w:sz w:val="18"/>
                <w:szCs w:val="18"/>
              </w:rPr>
            </w:pPr>
            <w:proofErr w:type="spellStart"/>
            <w:r>
              <w:rPr>
                <w:rFonts w:ascii="Arial" w:hAnsi="Arial" w:cs="Arial"/>
                <w:sz w:val="18"/>
                <w:szCs w:val="18"/>
              </w:rPr>
              <w:t>Fama</w:t>
            </w:r>
            <w:proofErr w:type="spellEnd"/>
            <w:r w:rsidR="004C06FF">
              <w:rPr>
                <w:rFonts w:ascii="Arial" w:hAnsi="Arial" w:cs="Arial"/>
                <w:sz w:val="18"/>
                <w:szCs w:val="18"/>
              </w:rPr>
              <w:t xml:space="preserve"> and </w:t>
            </w:r>
            <w:r w:rsidR="00C6339D" w:rsidRPr="00763A9A">
              <w:rPr>
                <w:rFonts w:ascii="Arial" w:hAnsi="Arial" w:cs="Arial"/>
                <w:sz w:val="18"/>
                <w:szCs w:val="18"/>
              </w:rPr>
              <w:t>French 3-Factor Model</w:t>
            </w:r>
          </w:p>
        </w:tc>
        <w:tc>
          <w:tcPr>
            <w:tcW w:w="4860" w:type="dxa"/>
            <w:gridSpan w:val="6"/>
            <w:tcBorders>
              <w:top w:val="single" w:sz="4" w:space="0" w:color="auto"/>
              <w:left w:val="nil"/>
              <w:bottom w:val="single" w:sz="4"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proofErr w:type="spellStart"/>
            <w:r w:rsidRPr="00763A9A">
              <w:rPr>
                <w:rFonts w:ascii="Arial" w:hAnsi="Arial" w:cs="Arial"/>
                <w:sz w:val="18"/>
                <w:szCs w:val="18"/>
              </w:rPr>
              <w:t>Carhart</w:t>
            </w:r>
            <w:proofErr w:type="spellEnd"/>
            <w:r w:rsidRPr="00763A9A">
              <w:rPr>
                <w:rFonts w:ascii="Arial" w:hAnsi="Arial" w:cs="Arial"/>
                <w:sz w:val="18"/>
                <w:szCs w:val="18"/>
              </w:rPr>
              <w:t xml:space="preserve"> 4-Factor Model</w:t>
            </w:r>
          </w:p>
        </w:tc>
      </w:tr>
      <w:tr w:rsidR="00C6339D" w:rsidRPr="00763A9A">
        <w:trPr>
          <w:trHeight w:val="525"/>
        </w:trPr>
        <w:tc>
          <w:tcPr>
            <w:tcW w:w="927" w:type="dxa"/>
            <w:vMerge/>
            <w:tcBorders>
              <w:top w:val="nil"/>
              <w:left w:val="nil"/>
              <w:bottom w:val="single" w:sz="8" w:space="0" w:color="000000"/>
              <w:right w:val="nil"/>
            </w:tcBorders>
            <w:vAlign w:val="center"/>
          </w:tcPr>
          <w:p w:rsidR="00C6339D" w:rsidRPr="00763A9A" w:rsidRDefault="00C6339D" w:rsidP="00F92082">
            <w:pPr>
              <w:rPr>
                <w:rFonts w:ascii="Arial" w:hAnsi="Arial" w:cs="Arial"/>
                <w:sz w:val="18"/>
                <w:szCs w:val="18"/>
              </w:rPr>
            </w:pPr>
          </w:p>
        </w:tc>
        <w:tc>
          <w:tcPr>
            <w:tcW w:w="927" w:type="dxa"/>
            <w:vMerge/>
            <w:tcBorders>
              <w:top w:val="nil"/>
              <w:left w:val="nil"/>
              <w:bottom w:val="single" w:sz="8" w:space="0" w:color="000000"/>
              <w:right w:val="nil"/>
            </w:tcBorders>
            <w:vAlign w:val="center"/>
          </w:tcPr>
          <w:p w:rsidR="00C6339D" w:rsidRPr="00763A9A" w:rsidRDefault="00C6339D" w:rsidP="00F92082">
            <w:pPr>
              <w:rPr>
                <w:rFonts w:ascii="Arial" w:hAnsi="Arial" w:cs="Arial"/>
                <w:sz w:val="18"/>
                <w:szCs w:val="18"/>
              </w:rPr>
            </w:pPr>
          </w:p>
        </w:tc>
        <w:tc>
          <w:tcPr>
            <w:tcW w:w="794" w:type="dxa"/>
            <w:tcBorders>
              <w:top w:val="single" w:sz="4" w:space="0" w:color="auto"/>
              <w:left w:val="nil"/>
              <w:bottom w:val="single" w:sz="8" w:space="0" w:color="auto"/>
              <w:right w:val="nil"/>
            </w:tcBorders>
            <w:shd w:val="clear" w:color="auto" w:fill="auto"/>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Alpha</w:t>
            </w:r>
          </w:p>
        </w:tc>
        <w:tc>
          <w:tcPr>
            <w:tcW w:w="794" w:type="dxa"/>
            <w:gridSpan w:val="2"/>
            <w:tcBorders>
              <w:top w:val="single" w:sz="4" w:space="0" w:color="auto"/>
              <w:left w:val="nil"/>
              <w:bottom w:val="single" w:sz="8" w:space="0" w:color="auto"/>
              <w:right w:val="nil"/>
            </w:tcBorders>
            <w:shd w:val="clear" w:color="auto" w:fill="auto"/>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RMRF</w:t>
            </w:r>
          </w:p>
        </w:tc>
        <w:tc>
          <w:tcPr>
            <w:tcW w:w="893" w:type="dxa"/>
            <w:gridSpan w:val="2"/>
            <w:tcBorders>
              <w:top w:val="single" w:sz="4" w:space="0" w:color="auto"/>
              <w:left w:val="nil"/>
              <w:bottom w:val="single" w:sz="8" w:space="0" w:color="auto"/>
              <w:right w:val="nil"/>
            </w:tcBorders>
            <w:shd w:val="clear" w:color="auto" w:fill="auto"/>
            <w:vAlign w:val="bottom"/>
          </w:tcPr>
          <w:p w:rsidR="00C6339D" w:rsidRDefault="00C6339D" w:rsidP="00F92082">
            <w:pPr>
              <w:jc w:val="center"/>
              <w:rPr>
                <w:rFonts w:ascii="Arial" w:hAnsi="Arial" w:cs="Arial"/>
                <w:sz w:val="18"/>
                <w:szCs w:val="18"/>
              </w:rPr>
            </w:pPr>
            <w:proofErr w:type="spellStart"/>
            <w:r w:rsidRPr="00763A9A">
              <w:rPr>
                <w:rFonts w:ascii="Arial" w:hAnsi="Arial" w:cs="Arial"/>
                <w:sz w:val="18"/>
                <w:szCs w:val="18"/>
              </w:rPr>
              <w:t>Adj</w:t>
            </w:r>
            <w:proofErr w:type="spellEnd"/>
            <w:r w:rsidRPr="00763A9A">
              <w:rPr>
                <w:rFonts w:ascii="Arial" w:hAnsi="Arial" w:cs="Arial"/>
                <w:sz w:val="18"/>
                <w:szCs w:val="18"/>
              </w:rPr>
              <w:t xml:space="preserve"> </w:t>
            </w:r>
          </w:p>
          <w:p w:rsidR="00C6339D" w:rsidRPr="00763A9A" w:rsidRDefault="00C6339D" w:rsidP="00F92082">
            <w:pPr>
              <w:jc w:val="center"/>
              <w:rPr>
                <w:rFonts w:ascii="Arial" w:hAnsi="Arial" w:cs="Arial"/>
                <w:sz w:val="18"/>
                <w:szCs w:val="18"/>
              </w:rPr>
            </w:pPr>
            <w:r w:rsidRPr="00763A9A">
              <w:rPr>
                <w:rFonts w:ascii="Arial" w:hAnsi="Arial" w:cs="Arial"/>
                <w:sz w:val="18"/>
                <w:szCs w:val="18"/>
              </w:rPr>
              <w:t>R-sq</w:t>
            </w:r>
          </w:p>
        </w:tc>
        <w:tc>
          <w:tcPr>
            <w:tcW w:w="792" w:type="dxa"/>
            <w:tcBorders>
              <w:top w:val="single" w:sz="4" w:space="0" w:color="auto"/>
              <w:left w:val="nil"/>
              <w:bottom w:val="single" w:sz="8" w:space="0" w:color="auto"/>
              <w:right w:val="nil"/>
            </w:tcBorders>
            <w:shd w:val="clear" w:color="auto" w:fill="auto"/>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Alpha</w:t>
            </w:r>
          </w:p>
        </w:tc>
        <w:tc>
          <w:tcPr>
            <w:tcW w:w="792" w:type="dxa"/>
            <w:tcBorders>
              <w:top w:val="single" w:sz="4" w:space="0" w:color="auto"/>
              <w:left w:val="nil"/>
              <w:bottom w:val="single" w:sz="8" w:space="0" w:color="auto"/>
              <w:right w:val="nil"/>
            </w:tcBorders>
            <w:shd w:val="clear" w:color="auto" w:fill="auto"/>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RMRF</w:t>
            </w:r>
          </w:p>
        </w:tc>
        <w:tc>
          <w:tcPr>
            <w:tcW w:w="792" w:type="dxa"/>
            <w:tcBorders>
              <w:top w:val="single" w:sz="4" w:space="0" w:color="auto"/>
              <w:left w:val="nil"/>
              <w:bottom w:val="single" w:sz="8" w:space="0" w:color="auto"/>
              <w:right w:val="nil"/>
            </w:tcBorders>
            <w:shd w:val="clear" w:color="auto" w:fill="auto"/>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SMB</w:t>
            </w:r>
          </w:p>
        </w:tc>
        <w:tc>
          <w:tcPr>
            <w:tcW w:w="792" w:type="dxa"/>
            <w:tcBorders>
              <w:top w:val="single" w:sz="4" w:space="0" w:color="auto"/>
              <w:left w:val="nil"/>
              <w:bottom w:val="single" w:sz="8" w:space="0" w:color="auto"/>
              <w:right w:val="nil"/>
            </w:tcBorders>
            <w:shd w:val="clear" w:color="auto" w:fill="auto"/>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HML</w:t>
            </w:r>
          </w:p>
        </w:tc>
        <w:tc>
          <w:tcPr>
            <w:tcW w:w="792" w:type="dxa"/>
            <w:tcBorders>
              <w:top w:val="single" w:sz="4" w:space="0" w:color="auto"/>
              <w:left w:val="nil"/>
              <w:bottom w:val="single" w:sz="8" w:space="0" w:color="auto"/>
              <w:right w:val="nil"/>
            </w:tcBorders>
            <w:shd w:val="clear" w:color="auto" w:fill="auto"/>
            <w:vAlign w:val="bottom"/>
          </w:tcPr>
          <w:p w:rsidR="00C6339D" w:rsidRDefault="00C6339D" w:rsidP="00F92082">
            <w:pPr>
              <w:jc w:val="center"/>
              <w:rPr>
                <w:rFonts w:ascii="Arial" w:hAnsi="Arial" w:cs="Arial"/>
                <w:sz w:val="18"/>
                <w:szCs w:val="18"/>
              </w:rPr>
            </w:pPr>
            <w:proofErr w:type="spellStart"/>
            <w:r w:rsidRPr="00763A9A">
              <w:rPr>
                <w:rFonts w:ascii="Arial" w:hAnsi="Arial" w:cs="Arial"/>
                <w:sz w:val="18"/>
                <w:szCs w:val="18"/>
              </w:rPr>
              <w:t>Adj</w:t>
            </w:r>
            <w:proofErr w:type="spellEnd"/>
            <w:r w:rsidRPr="00763A9A">
              <w:rPr>
                <w:rFonts w:ascii="Arial" w:hAnsi="Arial" w:cs="Arial"/>
                <w:sz w:val="18"/>
                <w:szCs w:val="18"/>
              </w:rPr>
              <w:t xml:space="preserve"> </w:t>
            </w:r>
          </w:p>
          <w:p w:rsidR="00C6339D" w:rsidRPr="00763A9A" w:rsidRDefault="00C6339D" w:rsidP="00F92082">
            <w:pPr>
              <w:jc w:val="center"/>
              <w:rPr>
                <w:rFonts w:ascii="Arial" w:hAnsi="Arial" w:cs="Arial"/>
                <w:sz w:val="18"/>
                <w:szCs w:val="18"/>
              </w:rPr>
            </w:pPr>
            <w:r w:rsidRPr="00763A9A">
              <w:rPr>
                <w:rFonts w:ascii="Arial" w:hAnsi="Arial" w:cs="Arial"/>
                <w:sz w:val="18"/>
                <w:szCs w:val="18"/>
              </w:rPr>
              <w:t>R-sq</w:t>
            </w:r>
          </w:p>
        </w:tc>
        <w:tc>
          <w:tcPr>
            <w:tcW w:w="810" w:type="dxa"/>
            <w:tcBorders>
              <w:top w:val="single" w:sz="4" w:space="0" w:color="auto"/>
              <w:left w:val="nil"/>
              <w:bottom w:val="single" w:sz="8" w:space="0" w:color="auto"/>
              <w:right w:val="nil"/>
            </w:tcBorders>
            <w:shd w:val="clear" w:color="auto" w:fill="auto"/>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Alpha</w:t>
            </w:r>
          </w:p>
        </w:tc>
        <w:tc>
          <w:tcPr>
            <w:tcW w:w="810" w:type="dxa"/>
            <w:tcBorders>
              <w:top w:val="single" w:sz="4" w:space="0" w:color="auto"/>
              <w:left w:val="nil"/>
              <w:bottom w:val="single" w:sz="8" w:space="0" w:color="auto"/>
              <w:right w:val="nil"/>
            </w:tcBorders>
            <w:shd w:val="clear" w:color="auto" w:fill="auto"/>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RMRF</w:t>
            </w:r>
          </w:p>
        </w:tc>
        <w:tc>
          <w:tcPr>
            <w:tcW w:w="810" w:type="dxa"/>
            <w:tcBorders>
              <w:top w:val="single" w:sz="4" w:space="0" w:color="auto"/>
              <w:left w:val="nil"/>
              <w:bottom w:val="single" w:sz="8" w:space="0" w:color="auto"/>
              <w:right w:val="nil"/>
            </w:tcBorders>
            <w:shd w:val="clear" w:color="auto" w:fill="auto"/>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SMB</w:t>
            </w:r>
          </w:p>
        </w:tc>
        <w:tc>
          <w:tcPr>
            <w:tcW w:w="810" w:type="dxa"/>
            <w:tcBorders>
              <w:top w:val="single" w:sz="4" w:space="0" w:color="auto"/>
              <w:left w:val="nil"/>
              <w:bottom w:val="single" w:sz="8" w:space="0" w:color="auto"/>
              <w:right w:val="nil"/>
            </w:tcBorders>
            <w:shd w:val="clear" w:color="auto" w:fill="auto"/>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HML</w:t>
            </w:r>
          </w:p>
        </w:tc>
        <w:tc>
          <w:tcPr>
            <w:tcW w:w="810" w:type="dxa"/>
            <w:tcBorders>
              <w:top w:val="single" w:sz="4" w:space="0" w:color="auto"/>
              <w:left w:val="nil"/>
              <w:bottom w:val="single" w:sz="8" w:space="0" w:color="auto"/>
              <w:right w:val="nil"/>
            </w:tcBorders>
            <w:shd w:val="clear" w:color="auto" w:fill="auto"/>
            <w:vAlign w:val="bottom"/>
          </w:tcPr>
          <w:p w:rsidR="00C6339D" w:rsidRPr="00763A9A" w:rsidRDefault="00D50944" w:rsidP="00F92082">
            <w:pPr>
              <w:jc w:val="center"/>
              <w:rPr>
                <w:rFonts w:ascii="Arial" w:hAnsi="Arial" w:cs="Arial"/>
                <w:sz w:val="18"/>
                <w:szCs w:val="18"/>
              </w:rPr>
            </w:pPr>
            <w:r>
              <w:rPr>
                <w:rFonts w:ascii="Arial" w:hAnsi="Arial" w:cs="Arial"/>
                <w:sz w:val="18"/>
                <w:szCs w:val="18"/>
              </w:rPr>
              <w:t>U</w:t>
            </w:r>
            <w:r w:rsidR="00F07282">
              <w:rPr>
                <w:rFonts w:ascii="Arial" w:hAnsi="Arial" w:cs="Arial"/>
                <w:sz w:val="18"/>
                <w:szCs w:val="18"/>
              </w:rPr>
              <w:t>M</w:t>
            </w:r>
            <w:r>
              <w:rPr>
                <w:rFonts w:ascii="Arial" w:hAnsi="Arial" w:cs="Arial"/>
                <w:sz w:val="18"/>
                <w:szCs w:val="18"/>
              </w:rPr>
              <w:t>D</w:t>
            </w:r>
          </w:p>
        </w:tc>
        <w:tc>
          <w:tcPr>
            <w:tcW w:w="810" w:type="dxa"/>
            <w:tcBorders>
              <w:top w:val="single" w:sz="4" w:space="0" w:color="auto"/>
              <w:left w:val="nil"/>
              <w:bottom w:val="single" w:sz="8" w:space="0" w:color="auto"/>
              <w:right w:val="nil"/>
            </w:tcBorders>
            <w:shd w:val="clear" w:color="auto" w:fill="auto"/>
            <w:vAlign w:val="bottom"/>
          </w:tcPr>
          <w:p w:rsidR="00C6339D" w:rsidRDefault="00C6339D" w:rsidP="00F92082">
            <w:pPr>
              <w:jc w:val="center"/>
              <w:rPr>
                <w:rFonts w:ascii="Arial" w:hAnsi="Arial" w:cs="Arial"/>
                <w:sz w:val="18"/>
                <w:szCs w:val="18"/>
              </w:rPr>
            </w:pPr>
            <w:proofErr w:type="spellStart"/>
            <w:r w:rsidRPr="00763A9A">
              <w:rPr>
                <w:rFonts w:ascii="Arial" w:hAnsi="Arial" w:cs="Arial"/>
                <w:sz w:val="18"/>
                <w:szCs w:val="18"/>
              </w:rPr>
              <w:t>Adj</w:t>
            </w:r>
            <w:proofErr w:type="spellEnd"/>
            <w:r w:rsidRPr="00763A9A">
              <w:rPr>
                <w:rFonts w:ascii="Arial" w:hAnsi="Arial" w:cs="Arial"/>
                <w:sz w:val="18"/>
                <w:szCs w:val="18"/>
              </w:rPr>
              <w:t xml:space="preserve"> </w:t>
            </w:r>
          </w:p>
          <w:p w:rsidR="00C6339D" w:rsidRPr="00763A9A" w:rsidRDefault="00C6339D" w:rsidP="00F92082">
            <w:pPr>
              <w:jc w:val="center"/>
              <w:rPr>
                <w:rFonts w:ascii="Arial" w:hAnsi="Arial" w:cs="Arial"/>
                <w:sz w:val="18"/>
                <w:szCs w:val="18"/>
              </w:rPr>
            </w:pPr>
            <w:r w:rsidRPr="00763A9A">
              <w:rPr>
                <w:rFonts w:ascii="Arial" w:hAnsi="Arial" w:cs="Arial"/>
                <w:sz w:val="18"/>
                <w:szCs w:val="18"/>
              </w:rPr>
              <w:t>R-sq</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0.40%</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-0.27</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0.039</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0.35</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-0.03</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0.095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-0.01%</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-0.19</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0.23</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0.215</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(0.81)</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(-2.43)</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(0.75)</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(-2.88)</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(2.67)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(-1.54)</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(1.85)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(4.34)</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1.09%</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-0.10</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-0.003</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1.68%</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-0.45</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0.54</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-0.40</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0.189</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-0.20</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0.246</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(1.11)</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(-0.79)</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(1.81)</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(-3.46)</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(3.93)</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(-2.81)</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(0.48)</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(-1.92)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(3.52)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(-1.3)</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(3.11)</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3.04%</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-0.05</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-0.007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3.45%</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-0.30</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-0.26</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0.125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0.65%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-0.09</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0.49</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0.38</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0.203</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r w:rsidRPr="002D43BD">
              <w:rPr>
                <w:rFonts w:ascii="Arial" w:hAnsi="Arial" w:cs="Arial"/>
                <w:b/>
                <w:i/>
                <w:sz w:val="18"/>
                <w:szCs w:val="18"/>
              </w:rPr>
              <w:t>2.13</w:t>
            </w:r>
            <w:r w:rsidRPr="00763A9A">
              <w:rPr>
                <w:rFonts w:ascii="Arial" w:hAnsi="Arial" w:cs="Arial"/>
                <w:sz w:val="18"/>
                <w:szCs w:val="18"/>
              </w:rPr>
              <w:t>)</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(-0.41)</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r w:rsidRPr="002D43BD">
              <w:rPr>
                <w:rFonts w:ascii="Arial" w:hAnsi="Arial" w:cs="Arial"/>
                <w:b/>
                <w:i/>
                <w:sz w:val="18"/>
                <w:szCs w:val="18"/>
              </w:rPr>
              <w:t>2.34</w:t>
            </w:r>
            <w:r w:rsidRPr="00763A9A">
              <w:rPr>
                <w:rFonts w:ascii="Arial" w:hAnsi="Arial" w:cs="Arial"/>
                <w:sz w:val="18"/>
                <w:szCs w:val="18"/>
              </w:rPr>
              <w:t>)</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(-2.09)</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(3.78)</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(-1.97)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(3.39)</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(-0.13)</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(3.46)</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1.68%</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0.08</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-0.006</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4.41%</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-0.30</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0.50</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0.149</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-1.10%</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-0.06</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-0.23</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0.34</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0.179</w:t>
            </w:r>
          </w:p>
        </w:tc>
      </w:tr>
      <w:tr w:rsidR="00C6339D" w:rsidRPr="00763A9A">
        <w:trPr>
          <w:trHeight w:val="270"/>
        </w:trPr>
        <w:tc>
          <w:tcPr>
            <w:tcW w:w="927"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927"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827" w:type="dxa"/>
            <w:gridSpan w:val="2"/>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(0.7)</w:t>
            </w:r>
          </w:p>
        </w:tc>
        <w:tc>
          <w:tcPr>
            <w:tcW w:w="827" w:type="dxa"/>
            <w:gridSpan w:val="2"/>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(0.54)</w:t>
            </w:r>
          </w:p>
        </w:tc>
        <w:tc>
          <w:tcPr>
            <w:tcW w:w="827"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(1.63)</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(-1.85)</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(-3.41)</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(-0.28)</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(2.88)</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(-1.32)</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(2.21)</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1.24%</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-0.34</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0.067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1.06%</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-0.44</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0.60</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0.10</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0.235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0.50%</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0.56</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0.522</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r w:rsidRPr="002D43BD">
              <w:rPr>
                <w:rFonts w:ascii="Arial" w:hAnsi="Arial" w:cs="Arial"/>
                <w:b/>
                <w:i/>
                <w:sz w:val="18"/>
                <w:szCs w:val="18"/>
              </w:rPr>
              <w:t>2.5</w:t>
            </w:r>
            <w:r w:rsidRPr="00763A9A">
              <w:rPr>
                <w:rFonts w:ascii="Arial" w:hAnsi="Arial" w:cs="Arial"/>
                <w:sz w:val="18"/>
                <w:szCs w:val="18"/>
              </w:rPr>
              <w:t>)</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(-3.06)</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r w:rsidRPr="002D43BD">
              <w:rPr>
                <w:rFonts w:ascii="Arial" w:hAnsi="Arial" w:cs="Arial"/>
                <w:b/>
                <w:i/>
                <w:sz w:val="18"/>
                <w:szCs w:val="18"/>
              </w:rPr>
              <w:t>2.29</w:t>
            </w:r>
            <w:r w:rsidRPr="00763A9A">
              <w:rPr>
                <w:rFonts w:ascii="Arial" w:hAnsi="Arial" w:cs="Arial"/>
                <w:sz w:val="18"/>
                <w:szCs w:val="18"/>
              </w:rPr>
              <w:t>)</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(-3.73)</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(4.96)</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(0.65)</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(1.34)</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(-1.68)</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(4.26)</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(1.85)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(8.35)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3.49%</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-0.33</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0.058</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3.03%</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-0.55</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0.71</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0.04</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0.252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1.37%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0.60</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0.33</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0.389</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r w:rsidRPr="002D43BD">
              <w:rPr>
                <w:rFonts w:ascii="Arial" w:hAnsi="Arial" w:cs="Arial"/>
                <w:b/>
                <w:i/>
                <w:sz w:val="18"/>
                <w:szCs w:val="18"/>
              </w:rPr>
              <w:t>3.78</w:t>
            </w:r>
            <w:r w:rsidRPr="00763A9A">
              <w:rPr>
                <w:rFonts w:ascii="Arial" w:hAnsi="Arial" w:cs="Arial"/>
                <w:sz w:val="18"/>
                <w:szCs w:val="18"/>
              </w:rPr>
              <w:t>)</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(-2.85)</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r w:rsidRPr="002D43BD">
              <w:rPr>
                <w:rFonts w:ascii="Arial" w:hAnsi="Arial" w:cs="Arial"/>
                <w:b/>
                <w:i/>
                <w:sz w:val="18"/>
                <w:szCs w:val="18"/>
              </w:rPr>
              <w:t>3.49</w:t>
            </w:r>
            <w:r w:rsidRPr="00763A9A">
              <w:rPr>
                <w:rFonts w:ascii="Arial" w:hAnsi="Arial" w:cs="Arial"/>
                <w:sz w:val="18"/>
                <w:szCs w:val="18"/>
              </w:rPr>
              <w:t>)</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(-4.48)</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(5.55)</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(0.28)</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(1.61)</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r w:rsidRPr="00626F3F">
              <w:rPr>
                <w:rFonts w:ascii="Arial" w:hAnsi="Arial" w:cs="Arial"/>
                <w:sz w:val="18"/>
                <w:szCs w:val="18"/>
              </w:rPr>
              <w:t>-2.23</w:t>
            </w:r>
            <w:r w:rsidRPr="00763A9A">
              <w:rPr>
                <w:rFonts w:ascii="Arial" w:hAnsi="Arial" w:cs="Arial"/>
                <w:sz w:val="18"/>
                <w:szCs w:val="18"/>
              </w:rPr>
              <w:t>)</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(5.11)</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(2.49)</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(5.1</w:t>
            </w:r>
            <w:r w:rsidR="00F9189B">
              <w:rPr>
                <w:rFonts w:ascii="Arial" w:hAnsi="Arial" w:cs="Arial"/>
                <w:sz w:val="18"/>
                <w:szCs w:val="18"/>
              </w:rPr>
              <w:t>0</w:t>
            </w:r>
            <w:r w:rsidRPr="00763A9A">
              <w:rPr>
                <w:rFonts w:ascii="Arial" w:hAnsi="Arial" w:cs="Arial"/>
                <w:sz w:val="18"/>
                <w:szCs w:val="18"/>
              </w:rPr>
              <w:t>)</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5.19%</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-0.23</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0.022</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4.47%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-0.40</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0.62</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-0.06</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0.149</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2.52%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-0.23</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0.189</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r w:rsidRPr="002D43BD">
              <w:rPr>
                <w:rFonts w:ascii="Arial" w:hAnsi="Arial" w:cs="Arial"/>
                <w:b/>
                <w:i/>
                <w:sz w:val="18"/>
                <w:szCs w:val="18"/>
              </w:rPr>
              <w:t>3.82</w:t>
            </w:r>
            <w:r w:rsidRPr="00763A9A">
              <w:rPr>
                <w:rFonts w:ascii="Arial" w:hAnsi="Arial" w:cs="Arial"/>
                <w:sz w:val="18"/>
                <w:szCs w:val="18"/>
              </w:rPr>
              <w:t>)</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(-1.87)</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r w:rsidRPr="002D43BD">
              <w:rPr>
                <w:rFonts w:ascii="Arial" w:hAnsi="Arial" w:cs="Arial"/>
                <w:b/>
                <w:i/>
                <w:sz w:val="18"/>
                <w:szCs w:val="18"/>
              </w:rPr>
              <w:t>3.21</w:t>
            </w:r>
            <w:r w:rsidRPr="00763A9A">
              <w:rPr>
                <w:rFonts w:ascii="Arial" w:hAnsi="Arial" w:cs="Arial"/>
                <w:sz w:val="18"/>
                <w:szCs w:val="18"/>
              </w:rPr>
              <w:t>)</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(-2.83)</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(4.27)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(1.62)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(-1.49)</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(3.82)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(0.86)</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(2.53)</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4.18%</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-0.11</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-0.004</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8.19%</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-0.64</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-0.66</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0.267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2.36%</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-0.36</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-0.40</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0.307</w:t>
            </w:r>
          </w:p>
        </w:tc>
      </w:tr>
      <w:tr w:rsidR="00C6339D" w:rsidRPr="00763A9A">
        <w:trPr>
          <w:trHeight w:val="270"/>
        </w:trPr>
        <w:tc>
          <w:tcPr>
            <w:tcW w:w="927"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w:t>
            </w:r>
          </w:p>
        </w:tc>
        <w:tc>
          <w:tcPr>
            <w:tcW w:w="927"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827" w:type="dxa"/>
            <w:gridSpan w:val="2"/>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(1.73)</w:t>
            </w:r>
          </w:p>
        </w:tc>
        <w:tc>
          <w:tcPr>
            <w:tcW w:w="827" w:type="dxa"/>
            <w:gridSpan w:val="2"/>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(-0.77)</w:t>
            </w:r>
          </w:p>
        </w:tc>
        <w:tc>
          <w:tcPr>
            <w:tcW w:w="827"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r w:rsidRPr="002D43BD">
              <w:rPr>
                <w:rFonts w:ascii="Arial" w:hAnsi="Arial" w:cs="Arial"/>
                <w:b/>
                <w:i/>
                <w:sz w:val="18"/>
                <w:szCs w:val="18"/>
              </w:rPr>
              <w:t>3.15</w:t>
            </w:r>
            <w:r w:rsidRPr="00763A9A">
              <w:rPr>
                <w:rFonts w:ascii="Arial" w:hAnsi="Arial" w:cs="Arial"/>
                <w:sz w:val="18"/>
                <w:szCs w:val="18"/>
              </w:rPr>
              <w:t>)</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(-4.18)</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(3.4)</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(-5.19)</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(0.7)</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r w:rsidRPr="00626F3F">
              <w:rPr>
                <w:rFonts w:ascii="Arial" w:hAnsi="Arial" w:cs="Arial"/>
                <w:sz w:val="18"/>
                <w:szCs w:val="18"/>
              </w:rPr>
              <w:t>-2</w:t>
            </w:r>
            <w:r w:rsidR="00CB0F6F" w:rsidRPr="00626F3F">
              <w:rPr>
                <w:rFonts w:ascii="Arial" w:hAnsi="Arial" w:cs="Arial"/>
                <w:sz w:val="18"/>
                <w:szCs w:val="18"/>
              </w:rPr>
              <w:t>.0</w:t>
            </w:r>
            <w:r w:rsidRPr="00763A9A">
              <w:rPr>
                <w:rFonts w:ascii="Arial" w:hAnsi="Arial" w:cs="Arial"/>
                <w:sz w:val="18"/>
                <w:szCs w:val="18"/>
              </w:rPr>
              <w:t>)</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(3.15)</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(-2.51)</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(2.62)</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0.77%</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-0.17</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0.009</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0.69%</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-0.40</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0.58</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-0.18</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0.214</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0.08%</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-0.04</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0.33</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-0.03</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0.70</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0.636</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(1.4)</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(-1.42)</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(1.37)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(-3.13)</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(4.41)</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(-1.09)</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(0.23)</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(-0.46)</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(3.56)</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(-0.23)</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(11.23)</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1.32%</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0.03</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-0.009</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1.78%</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-0.51</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0.71</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-0.62</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0.341</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-0.04%</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0.53</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0.58</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0.525</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(1.22)</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(0.22)</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(1.91)</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(-3.81)</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(5.15)</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(-4.45)</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(-1.16)</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(4.37)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(-1.91)</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(6.47)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0.32%</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0.28</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0.023</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1.30%</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-0.35</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0.96</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-0.75</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0.459</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-1.70%</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0.78</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-0.44</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0.47</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0.558</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(0.19)</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(1.86)</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(0.92)</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(-2.56)</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(6.27)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(-6.26)</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(-0.34)</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(5.45)</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(-3.52)</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(4.9</w:t>
            </w:r>
            <w:r w:rsidR="00F9189B">
              <w:rPr>
                <w:rFonts w:ascii="Arial" w:hAnsi="Arial" w:cs="Arial"/>
                <w:sz w:val="18"/>
                <w:szCs w:val="18"/>
              </w:rPr>
              <w:t>0</w:t>
            </w:r>
            <w:r w:rsidRPr="00763A9A">
              <w:rPr>
                <w:rFonts w:ascii="Arial" w:hAnsi="Arial" w:cs="Arial"/>
                <w:sz w:val="18"/>
                <w:szCs w:val="18"/>
              </w:rPr>
              <w:t>)</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r>
      <w:tr w:rsidR="00C6339D" w:rsidRPr="00763A9A">
        <w:trPr>
          <w:trHeight w:val="255"/>
        </w:trPr>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9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-4.92%</w:t>
            </w:r>
          </w:p>
        </w:tc>
        <w:tc>
          <w:tcPr>
            <w:tcW w:w="827" w:type="dxa"/>
            <w:gridSpan w:val="2"/>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0.23</w:t>
            </w:r>
          </w:p>
        </w:tc>
        <w:tc>
          <w:tcPr>
            <w:tcW w:w="827"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0.016</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0.81%</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-0.28</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0.27</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-0.68</w:t>
            </w:r>
          </w:p>
        </w:tc>
        <w:tc>
          <w:tcPr>
            <w:tcW w:w="792"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0.228</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-0.74%</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-0.20</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0.24</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-0.61</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0.11</w:t>
            </w:r>
          </w:p>
        </w:tc>
        <w:tc>
          <w:tcPr>
            <w:tcW w:w="810" w:type="dxa"/>
            <w:tcBorders>
              <w:top w:val="nil"/>
              <w:left w:val="nil"/>
              <w:bottom w:val="nil"/>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0.224</w:t>
            </w:r>
          </w:p>
        </w:tc>
      </w:tr>
      <w:tr w:rsidR="00C6339D" w:rsidRPr="00763A9A">
        <w:trPr>
          <w:trHeight w:val="270"/>
        </w:trPr>
        <w:tc>
          <w:tcPr>
            <w:tcW w:w="927"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927"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w:t>
            </w:r>
          </w:p>
        </w:tc>
        <w:tc>
          <w:tcPr>
            <w:tcW w:w="827" w:type="dxa"/>
            <w:gridSpan w:val="2"/>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r w:rsidRPr="002D43BD">
              <w:rPr>
                <w:rFonts w:ascii="Arial" w:hAnsi="Arial" w:cs="Arial"/>
                <w:b/>
                <w:i/>
                <w:sz w:val="18"/>
                <w:szCs w:val="18"/>
              </w:rPr>
              <w:t>-1.98</w:t>
            </w:r>
            <w:r w:rsidRPr="00763A9A">
              <w:rPr>
                <w:rFonts w:ascii="Arial" w:hAnsi="Arial" w:cs="Arial"/>
                <w:sz w:val="18"/>
                <w:szCs w:val="18"/>
              </w:rPr>
              <w:t>)</w:t>
            </w:r>
          </w:p>
        </w:tc>
        <w:tc>
          <w:tcPr>
            <w:tcW w:w="827" w:type="dxa"/>
            <w:gridSpan w:val="2"/>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(1.62)</w:t>
            </w:r>
          </w:p>
        </w:tc>
        <w:tc>
          <w:tcPr>
            <w:tcW w:w="827"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(0.26)</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(-1.77)</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(1.24)</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(-4.87)</w:t>
            </w:r>
          </w:p>
        </w:tc>
        <w:tc>
          <w:tcPr>
            <w:tcW w:w="792"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(-0.19)</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(-1.01)</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(1.09)</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(-3.45)</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(0.7</w:t>
            </w:r>
            <w:r w:rsidR="00F9189B">
              <w:rPr>
                <w:rFonts w:ascii="Arial" w:hAnsi="Arial" w:cs="Arial"/>
                <w:sz w:val="18"/>
                <w:szCs w:val="18"/>
              </w:rPr>
              <w:t>0</w:t>
            </w:r>
            <w:r w:rsidRPr="00763A9A">
              <w:rPr>
                <w:rFonts w:ascii="Arial" w:hAnsi="Arial" w:cs="Arial"/>
                <w:sz w:val="18"/>
                <w:szCs w:val="18"/>
              </w:rPr>
              <w:t>)</w:t>
            </w:r>
          </w:p>
        </w:tc>
        <w:tc>
          <w:tcPr>
            <w:tcW w:w="810" w:type="dxa"/>
            <w:tcBorders>
              <w:top w:val="nil"/>
              <w:left w:val="nil"/>
              <w:bottom w:val="single" w:sz="8" w:space="0" w:color="auto"/>
              <w:right w:val="nil"/>
            </w:tcBorders>
            <w:shd w:val="clear" w:color="auto" w:fill="auto"/>
            <w:noWrap/>
            <w:vAlign w:val="bottom"/>
          </w:tcPr>
          <w:p w:rsidR="00C6339D" w:rsidRPr="00763A9A" w:rsidRDefault="00C6339D" w:rsidP="00F92082">
            <w:pPr>
              <w:jc w:val="center"/>
              <w:rPr>
                <w:rFonts w:ascii="Arial" w:hAnsi="Arial" w:cs="Arial"/>
                <w:sz w:val="18"/>
                <w:szCs w:val="18"/>
              </w:rPr>
            </w:pPr>
            <w:r w:rsidRPr="00763A9A">
              <w:rPr>
                <w:rFonts w:ascii="Arial" w:hAnsi="Arial" w:cs="Arial"/>
                <w:sz w:val="18"/>
                <w:szCs w:val="18"/>
              </w:rPr>
              <w:t>.</w:t>
            </w:r>
          </w:p>
        </w:tc>
      </w:tr>
    </w:tbl>
    <w:p w:rsidR="006D11C3" w:rsidRDefault="006D11C3" w:rsidP="00110455">
      <w:pPr>
        <w:tabs>
          <w:tab w:val="left" w:pos="7920"/>
        </w:tabs>
        <w:sectPr w:rsidR="006D11C3" w:rsidSect="00B047D9">
          <w:pgSz w:w="15840" w:h="12240" w:orient="landscape"/>
          <w:pgMar w:top="1728" w:right="1440" w:bottom="1728" w:left="1440" w:header="720" w:footer="720" w:gutter="0"/>
          <w:cols w:space="720"/>
          <w:docGrid w:linePitch="360"/>
        </w:sectPr>
      </w:pPr>
    </w:p>
    <w:p w:rsidR="00F84EEC" w:rsidRDefault="006D11C3" w:rsidP="00F84EEC">
      <w:r>
        <w:lastRenderedPageBreak/>
        <w:t xml:space="preserve">Table 6: </w:t>
      </w:r>
      <w:r w:rsidR="00F84EEC">
        <w:t>Returns of Morningstar Sector Index Portfolios Form</w:t>
      </w:r>
      <w:r w:rsidR="005B77C3">
        <w:t>ed on Lagged Return or Lagged SUE</w:t>
      </w:r>
    </w:p>
    <w:p w:rsidR="00F84EEC" w:rsidRDefault="00F84EEC" w:rsidP="00F84EEC"/>
    <w:p w:rsidR="00F84EEC" w:rsidRDefault="00F84EEC" w:rsidP="006D11C3">
      <w:r w:rsidRPr="002D7C64">
        <w:rPr>
          <w:sz w:val="22"/>
          <w:szCs w:val="22"/>
        </w:rPr>
        <w:t xml:space="preserve">At the beginning of each month, the indexes are ranked by their </w:t>
      </w:r>
      <w:r w:rsidR="00E35328">
        <w:t>cumulative</w:t>
      </w:r>
      <w:r w:rsidRPr="002D7C64">
        <w:rPr>
          <w:sz w:val="22"/>
          <w:szCs w:val="22"/>
        </w:rPr>
        <w:t xml:space="preserve"> returns or average SUEs over the past three, six, and twelve</w:t>
      </w:r>
      <w:r>
        <w:rPr>
          <w:sz w:val="22"/>
          <w:szCs w:val="22"/>
        </w:rPr>
        <w:t xml:space="preserve"> months</w:t>
      </w:r>
      <w:r w:rsidRPr="002D7C64">
        <w:rPr>
          <w:sz w:val="22"/>
          <w:szCs w:val="22"/>
        </w:rPr>
        <w:t>. Portfolio P1</w:t>
      </w:r>
      <w:r>
        <w:rPr>
          <w:sz w:val="22"/>
          <w:szCs w:val="22"/>
        </w:rPr>
        <w:t xml:space="preserve"> (P3)</w:t>
      </w:r>
      <w:r w:rsidRPr="002D7C64">
        <w:rPr>
          <w:sz w:val="22"/>
          <w:szCs w:val="22"/>
        </w:rPr>
        <w:t xml:space="preserve"> consists of </w:t>
      </w:r>
      <w:r>
        <w:rPr>
          <w:sz w:val="22"/>
          <w:szCs w:val="22"/>
        </w:rPr>
        <w:t>four sector</w:t>
      </w:r>
      <w:r w:rsidRPr="002D7C64">
        <w:rPr>
          <w:sz w:val="22"/>
          <w:szCs w:val="22"/>
        </w:rPr>
        <w:t xml:space="preserve"> indexes with the highest </w:t>
      </w:r>
      <w:r>
        <w:rPr>
          <w:sz w:val="22"/>
          <w:szCs w:val="22"/>
        </w:rPr>
        <w:t xml:space="preserve">(lowest) </w:t>
      </w:r>
      <w:r w:rsidRPr="002D7C64">
        <w:rPr>
          <w:sz w:val="22"/>
          <w:szCs w:val="22"/>
        </w:rPr>
        <w:t xml:space="preserve">past returns or SUEs. The remaining indexes are in portfolio P2. All portfolios are equally-weighted. The momentum portfolio (P1-P3) is a portfolio that </w:t>
      </w:r>
      <w:r>
        <w:rPr>
          <w:sz w:val="22"/>
          <w:szCs w:val="22"/>
        </w:rPr>
        <w:t xml:space="preserve">is long </w:t>
      </w:r>
      <w:r w:rsidRPr="002D7C64">
        <w:rPr>
          <w:sz w:val="22"/>
          <w:szCs w:val="22"/>
        </w:rPr>
        <w:t>in P1 and short in P3. The table reports the average h</w:t>
      </w:r>
      <w:r>
        <w:rPr>
          <w:sz w:val="22"/>
          <w:szCs w:val="22"/>
        </w:rPr>
        <w:t>olding period return, its t-statistic</w:t>
      </w:r>
      <w:r w:rsidRPr="002D7C64">
        <w:rPr>
          <w:sz w:val="22"/>
          <w:szCs w:val="22"/>
        </w:rPr>
        <w:t>, and the percentage of positive return (</w:t>
      </w:r>
      <w:proofErr w:type="gramStart"/>
      <w:r w:rsidRPr="002D7C64">
        <w:rPr>
          <w:sz w:val="22"/>
          <w:szCs w:val="22"/>
        </w:rPr>
        <w:t>+%</w:t>
      </w:r>
      <w:proofErr w:type="gramEnd"/>
      <w:r w:rsidRPr="002D7C64">
        <w:rPr>
          <w:sz w:val="22"/>
          <w:szCs w:val="22"/>
        </w:rPr>
        <w:t>) for each portfolio over our sample period.</w:t>
      </w:r>
    </w:p>
    <w:p w:rsidR="006D11C3" w:rsidRDefault="006D11C3" w:rsidP="006D11C3"/>
    <w:tbl>
      <w:tblPr>
        <w:tblW w:w="8835" w:type="dxa"/>
        <w:tblInd w:w="93" w:type="dxa"/>
        <w:tblLayout w:type="fixed"/>
        <w:tblLook w:val="0000" w:firstRow="0" w:lastRow="0" w:firstColumn="0" w:lastColumn="0" w:noHBand="0" w:noVBand="0"/>
      </w:tblPr>
      <w:tblGrid>
        <w:gridCol w:w="960"/>
        <w:gridCol w:w="960"/>
        <w:gridCol w:w="768"/>
        <w:gridCol w:w="768"/>
        <w:gridCol w:w="769"/>
        <w:gridCol w:w="768"/>
        <w:gridCol w:w="768"/>
        <w:gridCol w:w="769"/>
        <w:gridCol w:w="768"/>
        <w:gridCol w:w="768"/>
        <w:gridCol w:w="769"/>
      </w:tblGrid>
      <w:tr w:rsidR="006D11C3" w:rsidRPr="002335CE" w:rsidTr="006D11C3">
        <w:trPr>
          <w:trHeight w:val="255"/>
        </w:trPr>
        <w:tc>
          <w:tcPr>
            <w:tcW w:w="960" w:type="dxa"/>
            <w:vMerge w:val="restart"/>
            <w:tcBorders>
              <w:top w:val="single" w:sz="8" w:space="0" w:color="auto"/>
              <w:left w:val="nil"/>
              <w:bottom w:val="single" w:sz="8" w:space="0" w:color="000000"/>
              <w:right w:val="nil"/>
            </w:tcBorders>
            <w:shd w:val="clear" w:color="auto" w:fill="auto"/>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Holding Period (Month)</w:t>
            </w:r>
          </w:p>
        </w:tc>
        <w:tc>
          <w:tcPr>
            <w:tcW w:w="960" w:type="dxa"/>
            <w:vMerge w:val="restart"/>
            <w:tcBorders>
              <w:top w:val="single" w:sz="8" w:space="0" w:color="auto"/>
              <w:left w:val="nil"/>
              <w:bottom w:val="single" w:sz="8" w:space="0" w:color="000000"/>
              <w:right w:val="nil"/>
            </w:tcBorders>
            <w:shd w:val="clear" w:color="auto" w:fill="auto"/>
            <w:vAlign w:val="center"/>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Portfolio</w:t>
            </w:r>
          </w:p>
        </w:tc>
        <w:tc>
          <w:tcPr>
            <w:tcW w:w="6915" w:type="dxa"/>
            <w:gridSpan w:val="9"/>
            <w:tcBorders>
              <w:top w:val="single" w:sz="8" w:space="0" w:color="auto"/>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u w:val="single"/>
              </w:rPr>
            </w:pPr>
            <w:r w:rsidRPr="002335CE">
              <w:rPr>
                <w:rFonts w:ascii="MS Sans Serif" w:hAnsi="MS Sans Serif" w:cs="Arial"/>
                <w:sz w:val="18"/>
                <w:szCs w:val="18"/>
                <w:u w:val="single"/>
              </w:rPr>
              <w:t>Portfolio Formation Period</w:t>
            </w:r>
          </w:p>
        </w:tc>
      </w:tr>
      <w:tr w:rsidR="006D11C3" w:rsidRPr="002335CE" w:rsidTr="006D11C3">
        <w:trPr>
          <w:trHeight w:val="270"/>
        </w:trPr>
        <w:tc>
          <w:tcPr>
            <w:tcW w:w="960" w:type="dxa"/>
            <w:vMerge/>
            <w:tcBorders>
              <w:top w:val="single" w:sz="8" w:space="0" w:color="auto"/>
              <w:left w:val="nil"/>
              <w:bottom w:val="single" w:sz="8" w:space="0" w:color="000000"/>
              <w:right w:val="nil"/>
            </w:tcBorders>
            <w:vAlign w:val="center"/>
          </w:tcPr>
          <w:p w:rsidR="006D11C3" w:rsidRPr="002335CE" w:rsidRDefault="006D11C3" w:rsidP="006D11C3">
            <w:pPr>
              <w:rPr>
                <w:rFonts w:ascii="MS Sans Serif" w:hAnsi="MS Sans Serif" w:cs="Arial" w:hint="eastAsia"/>
                <w:sz w:val="18"/>
                <w:szCs w:val="18"/>
              </w:rPr>
            </w:pPr>
          </w:p>
        </w:tc>
        <w:tc>
          <w:tcPr>
            <w:tcW w:w="960" w:type="dxa"/>
            <w:vMerge/>
            <w:tcBorders>
              <w:top w:val="single" w:sz="8" w:space="0" w:color="auto"/>
              <w:left w:val="nil"/>
              <w:bottom w:val="single" w:sz="8" w:space="0" w:color="000000"/>
              <w:right w:val="nil"/>
            </w:tcBorders>
            <w:vAlign w:val="center"/>
          </w:tcPr>
          <w:p w:rsidR="006D11C3" w:rsidRPr="002335CE" w:rsidRDefault="006D11C3" w:rsidP="006D11C3">
            <w:pPr>
              <w:rPr>
                <w:rFonts w:ascii="MS Sans Serif" w:hAnsi="MS Sans Serif" w:cs="Arial" w:hint="eastAsia"/>
                <w:sz w:val="18"/>
                <w:szCs w:val="18"/>
              </w:rPr>
            </w:pPr>
          </w:p>
        </w:tc>
        <w:tc>
          <w:tcPr>
            <w:tcW w:w="2305" w:type="dxa"/>
            <w:gridSpan w:val="3"/>
            <w:tcBorders>
              <w:top w:val="nil"/>
              <w:left w:val="nil"/>
              <w:bottom w:val="single" w:sz="8"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 xml:space="preserve">Past 3-Month </w:t>
            </w:r>
            <w:r w:rsidR="00E62CEE">
              <w:rPr>
                <w:rFonts w:ascii="MS Sans Serif" w:hAnsi="MS Sans Serif" w:cs="Arial"/>
                <w:sz w:val="18"/>
                <w:szCs w:val="18"/>
              </w:rPr>
              <w:t>Return/</w:t>
            </w:r>
            <w:r>
              <w:rPr>
                <w:rFonts w:ascii="MS Sans Serif" w:hAnsi="MS Sans Serif" w:cs="Arial"/>
                <w:sz w:val="18"/>
                <w:szCs w:val="18"/>
              </w:rPr>
              <w:t>SUE</w:t>
            </w:r>
          </w:p>
        </w:tc>
        <w:tc>
          <w:tcPr>
            <w:tcW w:w="2305" w:type="dxa"/>
            <w:gridSpan w:val="3"/>
            <w:tcBorders>
              <w:top w:val="nil"/>
              <w:left w:val="nil"/>
              <w:bottom w:val="single" w:sz="8"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 xml:space="preserve">Past 6-Month </w:t>
            </w:r>
            <w:r w:rsidR="00E62CEE">
              <w:rPr>
                <w:rFonts w:ascii="MS Sans Serif" w:hAnsi="MS Sans Serif" w:cs="Arial"/>
                <w:sz w:val="18"/>
                <w:szCs w:val="18"/>
              </w:rPr>
              <w:t>Return/</w:t>
            </w:r>
            <w:r>
              <w:rPr>
                <w:rFonts w:ascii="MS Sans Serif" w:hAnsi="MS Sans Serif" w:cs="Arial"/>
                <w:sz w:val="18"/>
                <w:szCs w:val="18"/>
              </w:rPr>
              <w:t>SUE</w:t>
            </w:r>
          </w:p>
        </w:tc>
        <w:tc>
          <w:tcPr>
            <w:tcW w:w="2305" w:type="dxa"/>
            <w:gridSpan w:val="3"/>
            <w:tcBorders>
              <w:top w:val="nil"/>
              <w:left w:val="nil"/>
              <w:bottom w:val="single" w:sz="8"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 xml:space="preserve">Past 12-Month </w:t>
            </w:r>
            <w:r w:rsidR="00E62CEE">
              <w:rPr>
                <w:rFonts w:ascii="MS Sans Serif" w:hAnsi="MS Sans Serif" w:cs="Arial"/>
                <w:sz w:val="18"/>
                <w:szCs w:val="18"/>
              </w:rPr>
              <w:t>Return/</w:t>
            </w:r>
            <w:r>
              <w:rPr>
                <w:rFonts w:ascii="MS Sans Serif" w:hAnsi="MS Sans Serif" w:cs="Arial"/>
                <w:sz w:val="18"/>
                <w:szCs w:val="18"/>
              </w:rPr>
              <w:t>SUE</w:t>
            </w:r>
          </w:p>
        </w:tc>
      </w:tr>
      <w:tr w:rsidR="006D11C3" w:rsidRPr="002335CE" w:rsidTr="006D11C3">
        <w:trPr>
          <w:trHeight w:val="270"/>
        </w:trPr>
        <w:tc>
          <w:tcPr>
            <w:tcW w:w="960" w:type="dxa"/>
            <w:vMerge/>
            <w:tcBorders>
              <w:top w:val="single" w:sz="8" w:space="0" w:color="auto"/>
              <w:left w:val="nil"/>
              <w:bottom w:val="single" w:sz="8" w:space="0" w:color="000000"/>
              <w:right w:val="nil"/>
            </w:tcBorders>
            <w:vAlign w:val="center"/>
          </w:tcPr>
          <w:p w:rsidR="006D11C3" w:rsidRPr="002335CE" w:rsidRDefault="006D11C3" w:rsidP="006D11C3">
            <w:pPr>
              <w:rPr>
                <w:rFonts w:ascii="MS Sans Serif" w:hAnsi="MS Sans Serif" w:cs="Arial" w:hint="eastAsia"/>
                <w:sz w:val="18"/>
                <w:szCs w:val="18"/>
              </w:rPr>
            </w:pPr>
          </w:p>
        </w:tc>
        <w:tc>
          <w:tcPr>
            <w:tcW w:w="960" w:type="dxa"/>
            <w:vMerge/>
            <w:tcBorders>
              <w:top w:val="single" w:sz="8" w:space="0" w:color="auto"/>
              <w:left w:val="nil"/>
              <w:bottom w:val="single" w:sz="8" w:space="0" w:color="000000"/>
              <w:right w:val="nil"/>
            </w:tcBorders>
            <w:vAlign w:val="center"/>
          </w:tcPr>
          <w:p w:rsidR="006D11C3" w:rsidRPr="002335CE" w:rsidRDefault="006D11C3" w:rsidP="006D11C3">
            <w:pPr>
              <w:rPr>
                <w:rFonts w:ascii="MS Sans Serif" w:hAnsi="MS Sans Serif" w:cs="Arial" w:hint="eastAsia"/>
                <w:sz w:val="18"/>
                <w:szCs w:val="18"/>
              </w:rPr>
            </w:pPr>
          </w:p>
        </w:tc>
        <w:tc>
          <w:tcPr>
            <w:tcW w:w="768" w:type="dxa"/>
            <w:tcBorders>
              <w:top w:val="nil"/>
              <w:left w:val="nil"/>
              <w:bottom w:val="single" w:sz="8"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Mean</w:t>
            </w:r>
          </w:p>
        </w:tc>
        <w:tc>
          <w:tcPr>
            <w:tcW w:w="768" w:type="dxa"/>
            <w:tcBorders>
              <w:top w:val="nil"/>
              <w:left w:val="nil"/>
              <w:bottom w:val="single" w:sz="8"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T-Stat</w:t>
            </w:r>
          </w:p>
        </w:tc>
        <w:tc>
          <w:tcPr>
            <w:tcW w:w="769" w:type="dxa"/>
            <w:tcBorders>
              <w:top w:val="nil"/>
              <w:left w:val="nil"/>
              <w:bottom w:val="single" w:sz="8"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Pr>
                <w:rFonts w:ascii="MS Sans Serif" w:hAnsi="MS Sans Serif" w:cs="Arial"/>
                <w:sz w:val="18"/>
                <w:szCs w:val="18"/>
              </w:rPr>
              <w:t>+ %</w:t>
            </w:r>
          </w:p>
        </w:tc>
        <w:tc>
          <w:tcPr>
            <w:tcW w:w="768" w:type="dxa"/>
            <w:tcBorders>
              <w:top w:val="nil"/>
              <w:left w:val="nil"/>
              <w:bottom w:val="single" w:sz="8"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Mean</w:t>
            </w:r>
          </w:p>
        </w:tc>
        <w:tc>
          <w:tcPr>
            <w:tcW w:w="768" w:type="dxa"/>
            <w:tcBorders>
              <w:top w:val="nil"/>
              <w:left w:val="nil"/>
              <w:bottom w:val="single" w:sz="8"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T-Stat</w:t>
            </w:r>
          </w:p>
        </w:tc>
        <w:tc>
          <w:tcPr>
            <w:tcW w:w="769" w:type="dxa"/>
            <w:tcBorders>
              <w:top w:val="nil"/>
              <w:left w:val="nil"/>
              <w:bottom w:val="single" w:sz="8"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Pr>
                <w:rFonts w:ascii="MS Sans Serif" w:hAnsi="MS Sans Serif" w:cs="Arial"/>
                <w:sz w:val="18"/>
                <w:szCs w:val="18"/>
              </w:rPr>
              <w:t>+ %</w:t>
            </w:r>
          </w:p>
        </w:tc>
        <w:tc>
          <w:tcPr>
            <w:tcW w:w="768" w:type="dxa"/>
            <w:tcBorders>
              <w:top w:val="nil"/>
              <w:left w:val="nil"/>
              <w:bottom w:val="single" w:sz="8"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Mean</w:t>
            </w:r>
          </w:p>
        </w:tc>
        <w:tc>
          <w:tcPr>
            <w:tcW w:w="768" w:type="dxa"/>
            <w:tcBorders>
              <w:top w:val="nil"/>
              <w:left w:val="nil"/>
              <w:bottom w:val="single" w:sz="8"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T-Stat</w:t>
            </w:r>
          </w:p>
        </w:tc>
        <w:tc>
          <w:tcPr>
            <w:tcW w:w="769" w:type="dxa"/>
            <w:tcBorders>
              <w:top w:val="nil"/>
              <w:left w:val="nil"/>
              <w:bottom w:val="single" w:sz="8"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 (%)</w:t>
            </w:r>
          </w:p>
        </w:tc>
      </w:tr>
      <w:tr w:rsidR="006D11C3" w:rsidRPr="002335CE" w:rsidTr="006D11C3">
        <w:trPr>
          <w:trHeight w:val="255"/>
        </w:trPr>
        <w:tc>
          <w:tcPr>
            <w:tcW w:w="8835" w:type="dxa"/>
            <w:gridSpan w:val="11"/>
            <w:tcBorders>
              <w:top w:val="single" w:sz="8" w:space="0" w:color="auto"/>
              <w:left w:val="nil"/>
              <w:bottom w:val="dotted" w:sz="4" w:space="0" w:color="auto"/>
              <w:right w:val="nil"/>
            </w:tcBorders>
            <w:shd w:val="clear" w:color="auto" w:fill="auto"/>
            <w:noWrap/>
            <w:vAlign w:val="bottom"/>
          </w:tcPr>
          <w:p w:rsidR="006D11C3" w:rsidRPr="002335CE" w:rsidRDefault="006D11C3" w:rsidP="006D11C3">
            <w:pPr>
              <w:rPr>
                <w:rFonts w:ascii="Arial" w:hAnsi="Arial" w:cs="Arial"/>
                <w:sz w:val="20"/>
                <w:szCs w:val="20"/>
              </w:rPr>
            </w:pPr>
            <w:r w:rsidRPr="002335CE">
              <w:rPr>
                <w:rFonts w:ascii="Arial" w:hAnsi="Arial" w:cs="Arial"/>
                <w:sz w:val="20"/>
                <w:szCs w:val="20"/>
              </w:rPr>
              <w:t xml:space="preserve">Panel A: </w:t>
            </w:r>
            <w:r>
              <w:rPr>
                <w:rFonts w:ascii="Arial" w:hAnsi="Arial" w:cs="Arial"/>
                <w:sz w:val="20"/>
                <w:szCs w:val="20"/>
              </w:rPr>
              <w:t>Price momentum</w:t>
            </w:r>
          </w:p>
        </w:tc>
      </w:tr>
      <w:tr w:rsidR="006D11C3" w:rsidRPr="002335CE" w:rsidTr="006D11C3">
        <w:trPr>
          <w:trHeight w:val="255"/>
        </w:trPr>
        <w:tc>
          <w:tcPr>
            <w:tcW w:w="960" w:type="dxa"/>
            <w:vMerge w:val="restart"/>
            <w:tcBorders>
              <w:top w:val="nil"/>
              <w:left w:val="nil"/>
              <w:bottom w:val="dotted" w:sz="4" w:space="0" w:color="000000"/>
              <w:right w:val="nil"/>
            </w:tcBorders>
            <w:shd w:val="clear" w:color="auto" w:fill="auto"/>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1</w:t>
            </w: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0.009</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2.211</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0.603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2.087</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0.576</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0.009</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1.871</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0.607</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0.007</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1.715</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0.628</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0.006</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1.699</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0.593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0.007</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1.706</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0.607</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0.007</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1.297</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0.554</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0.007</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1.231</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0.585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0.004</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0.767</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0.545</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dotted" w:sz="4"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0.002</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0.482</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0.488</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0.003</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0.571</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0.568</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0.005</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0.848</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0.545</w:t>
            </w:r>
          </w:p>
        </w:tc>
      </w:tr>
      <w:tr w:rsidR="006D11C3" w:rsidRPr="002335CE" w:rsidTr="006D11C3">
        <w:trPr>
          <w:trHeight w:val="255"/>
        </w:trPr>
        <w:tc>
          <w:tcPr>
            <w:tcW w:w="960" w:type="dxa"/>
            <w:vMerge w:val="restart"/>
            <w:tcBorders>
              <w:top w:val="nil"/>
              <w:left w:val="nil"/>
              <w:bottom w:val="dotted" w:sz="4" w:space="0" w:color="000000"/>
              <w:right w:val="nil"/>
            </w:tcBorders>
            <w:shd w:val="clear" w:color="auto" w:fill="auto"/>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3</w:t>
            </w: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0.028</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3.642</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0.706</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0.029</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3.715</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0.733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0.027</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3.243</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0.655</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2.805</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0.655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0.021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2.884</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0.612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0.022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2.954</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0.618</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0.021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2.399</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0.622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0.015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1.627</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0.595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0.014</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1.571</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0.627</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dotted" w:sz="4"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0.007</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1.042</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0.529</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0.014</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1.747</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0.595</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0.013</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1.635</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0.555</w:t>
            </w:r>
          </w:p>
        </w:tc>
      </w:tr>
      <w:tr w:rsidR="006D11C3" w:rsidRPr="002335CE" w:rsidTr="006D11C3">
        <w:trPr>
          <w:trHeight w:val="255"/>
        </w:trPr>
        <w:tc>
          <w:tcPr>
            <w:tcW w:w="960" w:type="dxa"/>
            <w:vMerge w:val="restart"/>
            <w:tcBorders>
              <w:top w:val="nil"/>
              <w:left w:val="nil"/>
              <w:bottom w:val="dotted" w:sz="4" w:space="0" w:color="000000"/>
              <w:right w:val="nil"/>
            </w:tcBorders>
            <w:shd w:val="clear" w:color="auto" w:fill="auto"/>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6</w:t>
            </w: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0.058</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5.296</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0.058</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5.406</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0.761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0.053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4.073</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0.701</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0.042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4.081</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0.655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0.04</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3.78</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0.655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0.043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4.375</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0.71</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0.034</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2.982</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0.698</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0.025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2.175</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0.655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0.029</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2.439</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0.682</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dotted" w:sz="4"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0.024</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b/>
                <w:bCs/>
                <w:i/>
                <w:sz w:val="18"/>
                <w:szCs w:val="18"/>
              </w:rPr>
            </w:pPr>
            <w:r w:rsidRPr="002D1DA9">
              <w:rPr>
                <w:rFonts w:ascii="MS Sans Serif" w:hAnsi="MS Sans Serif" w:cs="Arial"/>
                <w:b/>
                <w:bCs/>
                <w:i/>
                <w:sz w:val="18"/>
                <w:szCs w:val="18"/>
              </w:rPr>
              <w:t>2.355</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0.526</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0.033</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b/>
                <w:bCs/>
                <w:i/>
                <w:sz w:val="18"/>
                <w:szCs w:val="18"/>
              </w:rPr>
            </w:pPr>
            <w:r w:rsidRPr="002D1DA9">
              <w:rPr>
                <w:rFonts w:ascii="MS Sans Serif" w:hAnsi="MS Sans Serif" w:cs="Arial"/>
                <w:b/>
                <w:bCs/>
                <w:i/>
                <w:sz w:val="18"/>
                <w:szCs w:val="18"/>
              </w:rPr>
              <w:t>3.286</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0.584</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0.024</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b/>
                <w:bCs/>
                <w:i/>
                <w:sz w:val="18"/>
                <w:szCs w:val="18"/>
              </w:rPr>
            </w:pPr>
            <w:r w:rsidRPr="002D1DA9">
              <w:rPr>
                <w:rFonts w:ascii="MS Sans Serif" w:hAnsi="MS Sans Serif" w:cs="Arial"/>
                <w:b/>
                <w:bCs/>
                <w:i/>
                <w:sz w:val="18"/>
                <w:szCs w:val="18"/>
              </w:rPr>
              <w:t>2.012</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0.514</w:t>
            </w:r>
          </w:p>
        </w:tc>
      </w:tr>
      <w:tr w:rsidR="006D11C3" w:rsidRPr="002335CE" w:rsidTr="006D11C3">
        <w:trPr>
          <w:trHeight w:val="255"/>
        </w:trPr>
        <w:tc>
          <w:tcPr>
            <w:tcW w:w="960" w:type="dxa"/>
            <w:vMerge w:val="restart"/>
            <w:tcBorders>
              <w:top w:val="nil"/>
              <w:left w:val="nil"/>
              <w:bottom w:val="dotted" w:sz="4" w:space="0" w:color="000000"/>
              <w:right w:val="nil"/>
            </w:tcBorders>
            <w:shd w:val="clear" w:color="auto" w:fill="auto"/>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12</w:t>
            </w: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0.111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5.868</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0.736</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0.112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5.661</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0.088</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4.065</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0.693</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0.082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5.307</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0.727</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0.086</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5.556</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0.079</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5.538</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0.733</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0.072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3.958</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0.736</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0.06</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3.075</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0.729</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0.064</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3.096</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0.713</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dotted" w:sz="4"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0.039</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b/>
                <w:bCs/>
                <w:i/>
                <w:sz w:val="18"/>
                <w:szCs w:val="18"/>
              </w:rPr>
            </w:pPr>
            <w:r w:rsidRPr="002D1DA9">
              <w:rPr>
                <w:rFonts w:ascii="MS Sans Serif" w:hAnsi="MS Sans Serif" w:cs="Arial"/>
                <w:b/>
                <w:bCs/>
                <w:i/>
                <w:sz w:val="18"/>
                <w:szCs w:val="18"/>
              </w:rPr>
              <w:t>2.255</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0.545</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0.052</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b/>
                <w:bCs/>
                <w:i/>
                <w:sz w:val="18"/>
                <w:szCs w:val="18"/>
              </w:rPr>
            </w:pPr>
            <w:r w:rsidRPr="002D1DA9">
              <w:rPr>
                <w:rFonts w:ascii="MS Sans Serif" w:hAnsi="MS Sans Serif" w:cs="Arial"/>
                <w:b/>
                <w:bCs/>
                <w:i/>
                <w:sz w:val="18"/>
                <w:szCs w:val="18"/>
              </w:rPr>
              <w:t>2.727</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0.617</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0.024</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b/>
                <w:bCs/>
                <w:i/>
                <w:sz w:val="18"/>
                <w:szCs w:val="18"/>
              </w:rPr>
            </w:pPr>
            <w:r w:rsidRPr="002335CE">
              <w:rPr>
                <w:rFonts w:ascii="MS Sans Serif" w:hAnsi="MS Sans Serif" w:cs="Arial"/>
                <w:i/>
                <w:iCs/>
                <w:sz w:val="18"/>
                <w:szCs w:val="18"/>
              </w:rPr>
              <w:t>1.166</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0.525</w:t>
            </w:r>
          </w:p>
        </w:tc>
      </w:tr>
      <w:tr w:rsidR="006D11C3" w:rsidRPr="002335CE" w:rsidTr="006D11C3">
        <w:trPr>
          <w:trHeight w:val="255"/>
        </w:trPr>
        <w:tc>
          <w:tcPr>
            <w:tcW w:w="960" w:type="dxa"/>
            <w:tcBorders>
              <w:top w:val="nil"/>
              <w:left w:val="nil"/>
              <w:bottom w:val="nil"/>
              <w:right w:val="nil"/>
            </w:tcBorders>
            <w:shd w:val="clear" w:color="auto" w:fill="auto"/>
            <w:noWrap/>
            <w:vAlign w:val="bottom"/>
          </w:tcPr>
          <w:p w:rsidR="006D11C3" w:rsidRPr="002335CE" w:rsidRDefault="006D11C3" w:rsidP="006D11C3">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D11C3" w:rsidRPr="002335CE" w:rsidRDefault="006D11C3" w:rsidP="006D11C3">
            <w:pPr>
              <w:rPr>
                <w:rFonts w:ascii="Arial" w:hAnsi="Arial" w:cs="Arial"/>
                <w:sz w:val="20"/>
                <w:szCs w:val="20"/>
              </w:rPr>
            </w:pPr>
          </w:p>
        </w:tc>
        <w:tc>
          <w:tcPr>
            <w:tcW w:w="768" w:type="dxa"/>
            <w:tcBorders>
              <w:top w:val="nil"/>
              <w:left w:val="nil"/>
              <w:bottom w:val="nil"/>
              <w:right w:val="nil"/>
            </w:tcBorders>
            <w:shd w:val="clear" w:color="auto" w:fill="auto"/>
            <w:noWrap/>
            <w:vAlign w:val="bottom"/>
          </w:tcPr>
          <w:p w:rsidR="006D11C3" w:rsidRPr="00907C27" w:rsidRDefault="006D11C3" w:rsidP="006D11C3">
            <w:pPr>
              <w:rPr>
                <w:rFonts w:ascii="MS Sans Serif" w:hAnsi="MS Sans Serif" w:cs="Arial" w:hint="eastAsia"/>
                <w:sz w:val="18"/>
                <w:szCs w:val="18"/>
              </w:rPr>
            </w:pPr>
          </w:p>
        </w:tc>
        <w:tc>
          <w:tcPr>
            <w:tcW w:w="768" w:type="dxa"/>
            <w:tcBorders>
              <w:top w:val="nil"/>
              <w:left w:val="nil"/>
              <w:bottom w:val="nil"/>
              <w:right w:val="nil"/>
            </w:tcBorders>
            <w:shd w:val="clear" w:color="auto" w:fill="auto"/>
            <w:noWrap/>
            <w:vAlign w:val="bottom"/>
          </w:tcPr>
          <w:p w:rsidR="006D11C3" w:rsidRPr="00907C27" w:rsidRDefault="006D11C3" w:rsidP="006D11C3">
            <w:pPr>
              <w:rPr>
                <w:rFonts w:ascii="MS Sans Serif" w:hAnsi="MS Sans Serif" w:cs="Arial" w:hint="eastAsia"/>
                <w:sz w:val="18"/>
                <w:szCs w:val="18"/>
              </w:rPr>
            </w:pPr>
          </w:p>
        </w:tc>
        <w:tc>
          <w:tcPr>
            <w:tcW w:w="769" w:type="dxa"/>
            <w:tcBorders>
              <w:top w:val="nil"/>
              <w:left w:val="nil"/>
              <w:bottom w:val="nil"/>
              <w:right w:val="nil"/>
            </w:tcBorders>
            <w:shd w:val="clear" w:color="auto" w:fill="auto"/>
            <w:noWrap/>
            <w:vAlign w:val="bottom"/>
          </w:tcPr>
          <w:p w:rsidR="006D11C3" w:rsidRPr="00907C27" w:rsidRDefault="006D11C3" w:rsidP="006D11C3">
            <w:pPr>
              <w:rPr>
                <w:rFonts w:ascii="MS Sans Serif" w:hAnsi="MS Sans Serif" w:cs="Arial" w:hint="eastAsia"/>
                <w:sz w:val="18"/>
                <w:szCs w:val="18"/>
              </w:rPr>
            </w:pPr>
          </w:p>
        </w:tc>
        <w:tc>
          <w:tcPr>
            <w:tcW w:w="768" w:type="dxa"/>
            <w:tcBorders>
              <w:top w:val="nil"/>
              <w:left w:val="nil"/>
              <w:bottom w:val="nil"/>
              <w:right w:val="nil"/>
            </w:tcBorders>
            <w:shd w:val="clear" w:color="auto" w:fill="auto"/>
            <w:noWrap/>
            <w:vAlign w:val="bottom"/>
          </w:tcPr>
          <w:p w:rsidR="006D11C3" w:rsidRPr="00907C27" w:rsidRDefault="006D11C3" w:rsidP="006D11C3">
            <w:pPr>
              <w:rPr>
                <w:rFonts w:ascii="MS Sans Serif" w:hAnsi="MS Sans Serif" w:cs="Arial" w:hint="eastAsia"/>
                <w:sz w:val="18"/>
                <w:szCs w:val="18"/>
              </w:rPr>
            </w:pPr>
          </w:p>
        </w:tc>
        <w:tc>
          <w:tcPr>
            <w:tcW w:w="768" w:type="dxa"/>
            <w:tcBorders>
              <w:top w:val="nil"/>
              <w:left w:val="nil"/>
              <w:bottom w:val="nil"/>
              <w:right w:val="nil"/>
            </w:tcBorders>
            <w:shd w:val="clear" w:color="auto" w:fill="auto"/>
            <w:noWrap/>
            <w:vAlign w:val="bottom"/>
          </w:tcPr>
          <w:p w:rsidR="006D11C3" w:rsidRPr="00907C27" w:rsidRDefault="006D11C3" w:rsidP="006D11C3">
            <w:pPr>
              <w:rPr>
                <w:rFonts w:ascii="MS Sans Serif" w:hAnsi="MS Sans Serif" w:cs="Arial" w:hint="eastAsia"/>
                <w:sz w:val="18"/>
                <w:szCs w:val="18"/>
              </w:rPr>
            </w:pPr>
          </w:p>
        </w:tc>
        <w:tc>
          <w:tcPr>
            <w:tcW w:w="769" w:type="dxa"/>
            <w:tcBorders>
              <w:top w:val="nil"/>
              <w:left w:val="nil"/>
              <w:bottom w:val="nil"/>
              <w:right w:val="nil"/>
            </w:tcBorders>
            <w:shd w:val="clear" w:color="auto" w:fill="auto"/>
            <w:noWrap/>
            <w:vAlign w:val="bottom"/>
          </w:tcPr>
          <w:p w:rsidR="006D11C3" w:rsidRPr="00907C27" w:rsidRDefault="006D11C3" w:rsidP="006D11C3">
            <w:pPr>
              <w:rPr>
                <w:rFonts w:ascii="MS Sans Serif" w:hAnsi="MS Sans Serif" w:cs="Arial" w:hint="eastAsia"/>
                <w:sz w:val="18"/>
                <w:szCs w:val="18"/>
              </w:rPr>
            </w:pPr>
          </w:p>
        </w:tc>
        <w:tc>
          <w:tcPr>
            <w:tcW w:w="768" w:type="dxa"/>
            <w:tcBorders>
              <w:top w:val="nil"/>
              <w:left w:val="nil"/>
              <w:bottom w:val="nil"/>
              <w:right w:val="nil"/>
            </w:tcBorders>
            <w:shd w:val="clear" w:color="auto" w:fill="auto"/>
            <w:noWrap/>
            <w:vAlign w:val="bottom"/>
          </w:tcPr>
          <w:p w:rsidR="006D11C3" w:rsidRPr="00907C27" w:rsidRDefault="006D11C3" w:rsidP="006D11C3">
            <w:pPr>
              <w:rPr>
                <w:rFonts w:ascii="MS Sans Serif" w:hAnsi="MS Sans Serif" w:cs="Arial" w:hint="eastAsia"/>
                <w:sz w:val="18"/>
                <w:szCs w:val="18"/>
              </w:rPr>
            </w:pPr>
          </w:p>
        </w:tc>
        <w:tc>
          <w:tcPr>
            <w:tcW w:w="768" w:type="dxa"/>
            <w:tcBorders>
              <w:top w:val="nil"/>
              <w:left w:val="nil"/>
              <w:bottom w:val="nil"/>
              <w:right w:val="nil"/>
            </w:tcBorders>
            <w:shd w:val="clear" w:color="auto" w:fill="auto"/>
            <w:noWrap/>
            <w:vAlign w:val="bottom"/>
          </w:tcPr>
          <w:p w:rsidR="006D11C3" w:rsidRPr="00907C27" w:rsidRDefault="006D11C3" w:rsidP="006D11C3">
            <w:pPr>
              <w:rPr>
                <w:rFonts w:ascii="MS Sans Serif" w:hAnsi="MS Sans Serif" w:cs="Arial" w:hint="eastAsia"/>
                <w:sz w:val="18"/>
                <w:szCs w:val="18"/>
              </w:rPr>
            </w:pPr>
          </w:p>
        </w:tc>
        <w:tc>
          <w:tcPr>
            <w:tcW w:w="769" w:type="dxa"/>
            <w:tcBorders>
              <w:top w:val="nil"/>
              <w:left w:val="nil"/>
              <w:bottom w:val="nil"/>
              <w:right w:val="nil"/>
            </w:tcBorders>
            <w:shd w:val="clear" w:color="auto" w:fill="auto"/>
            <w:noWrap/>
            <w:vAlign w:val="bottom"/>
          </w:tcPr>
          <w:p w:rsidR="006D11C3" w:rsidRPr="00907C27" w:rsidRDefault="006D11C3" w:rsidP="006D11C3">
            <w:pPr>
              <w:rPr>
                <w:rFonts w:ascii="MS Sans Serif" w:hAnsi="MS Sans Serif" w:cs="Arial" w:hint="eastAsia"/>
                <w:sz w:val="18"/>
                <w:szCs w:val="18"/>
              </w:rPr>
            </w:pPr>
          </w:p>
        </w:tc>
      </w:tr>
      <w:tr w:rsidR="006D11C3" w:rsidRPr="002335CE" w:rsidTr="006D11C3">
        <w:trPr>
          <w:trHeight w:val="255"/>
        </w:trPr>
        <w:tc>
          <w:tcPr>
            <w:tcW w:w="8835" w:type="dxa"/>
            <w:gridSpan w:val="11"/>
            <w:tcBorders>
              <w:top w:val="nil"/>
              <w:left w:val="nil"/>
              <w:bottom w:val="dotted" w:sz="4" w:space="0" w:color="auto"/>
              <w:right w:val="nil"/>
            </w:tcBorders>
            <w:shd w:val="clear" w:color="auto" w:fill="auto"/>
            <w:noWrap/>
            <w:vAlign w:val="bottom"/>
          </w:tcPr>
          <w:p w:rsidR="006D11C3" w:rsidRPr="00E11AE0" w:rsidRDefault="006D11C3" w:rsidP="006D11C3">
            <w:pPr>
              <w:rPr>
                <w:rFonts w:ascii="Arial" w:hAnsi="Arial" w:cs="Arial"/>
                <w:sz w:val="20"/>
                <w:szCs w:val="20"/>
              </w:rPr>
            </w:pPr>
            <w:r w:rsidRPr="00E11AE0">
              <w:rPr>
                <w:rFonts w:ascii="Arial" w:hAnsi="Arial" w:cs="Arial"/>
                <w:sz w:val="20"/>
                <w:szCs w:val="20"/>
              </w:rPr>
              <w:t xml:space="preserve">Panel B: </w:t>
            </w:r>
            <w:r>
              <w:rPr>
                <w:rFonts w:ascii="Arial" w:hAnsi="Arial" w:cs="Arial"/>
                <w:sz w:val="20"/>
                <w:szCs w:val="20"/>
              </w:rPr>
              <w:t>Earnings momentum</w:t>
            </w:r>
          </w:p>
        </w:tc>
      </w:tr>
      <w:tr w:rsidR="006D11C3" w:rsidRPr="002335CE" w:rsidTr="006D11C3">
        <w:trPr>
          <w:trHeight w:val="255"/>
        </w:trPr>
        <w:tc>
          <w:tcPr>
            <w:tcW w:w="960" w:type="dxa"/>
            <w:vMerge w:val="restart"/>
            <w:tcBorders>
              <w:top w:val="nil"/>
              <w:left w:val="nil"/>
              <w:bottom w:val="dotted" w:sz="4" w:space="0" w:color="000000"/>
              <w:right w:val="nil"/>
            </w:tcBorders>
            <w:shd w:val="clear" w:color="auto" w:fill="auto"/>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1</w:t>
            </w: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0.009</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2.451</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0.638</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0.008</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2.052</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0.602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0.010</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2.444</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0.598</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0.008</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1.859</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0.629</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0.008</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1.962</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0.584</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0.007</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1.629</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0.589</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0.006</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1.178</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0.552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0.007</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1.294</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0.593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0.003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0.594</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0.551</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dotted" w:sz="4"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907C27">
              <w:rPr>
                <w:rFonts w:ascii="MS Sans Serif" w:hAnsi="MS Sans Serif"/>
                <w:i/>
                <w:sz w:val="18"/>
                <w:szCs w:val="18"/>
              </w:rPr>
              <w:t>0.003</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907C27">
              <w:rPr>
                <w:rFonts w:ascii="MS Sans Serif" w:hAnsi="MS Sans Serif"/>
                <w:i/>
                <w:sz w:val="18"/>
                <w:szCs w:val="18"/>
              </w:rPr>
              <w:t>0.774</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907C27">
              <w:rPr>
                <w:rFonts w:ascii="MS Sans Serif" w:hAnsi="MS Sans Serif"/>
                <w:i/>
                <w:sz w:val="18"/>
                <w:szCs w:val="18"/>
              </w:rPr>
              <w:t>0.552</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907C27">
              <w:rPr>
                <w:rFonts w:ascii="MS Sans Serif" w:hAnsi="MS Sans Serif"/>
                <w:i/>
                <w:sz w:val="18"/>
                <w:szCs w:val="18"/>
              </w:rPr>
              <w:t>0.001</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907C27">
              <w:rPr>
                <w:rFonts w:ascii="MS Sans Serif" w:hAnsi="MS Sans Serif"/>
                <w:i/>
                <w:sz w:val="18"/>
                <w:szCs w:val="18"/>
              </w:rPr>
              <w:t>0.299</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907C27">
              <w:rPr>
                <w:rFonts w:ascii="MS Sans Serif" w:hAnsi="MS Sans Serif"/>
                <w:i/>
                <w:sz w:val="18"/>
                <w:szCs w:val="18"/>
              </w:rPr>
              <w:t>0.540</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907C27">
              <w:rPr>
                <w:rFonts w:ascii="MS Sans Serif" w:hAnsi="MS Sans Serif"/>
                <w:i/>
                <w:sz w:val="18"/>
                <w:szCs w:val="18"/>
              </w:rPr>
              <w:t>0.007</w:t>
            </w:r>
          </w:p>
        </w:tc>
        <w:tc>
          <w:tcPr>
            <w:tcW w:w="768"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907C27">
              <w:rPr>
                <w:rFonts w:ascii="MS Sans Serif" w:hAnsi="MS Sans Serif"/>
                <w:i/>
                <w:sz w:val="18"/>
                <w:szCs w:val="18"/>
              </w:rPr>
              <w:t>1.687</w:t>
            </w:r>
          </w:p>
        </w:tc>
        <w:tc>
          <w:tcPr>
            <w:tcW w:w="769" w:type="dxa"/>
            <w:tcBorders>
              <w:top w:val="nil"/>
              <w:left w:val="nil"/>
              <w:bottom w:val="dotted" w:sz="4" w:space="0" w:color="auto"/>
              <w:right w:val="nil"/>
            </w:tcBorders>
            <w:shd w:val="clear" w:color="auto" w:fill="auto"/>
            <w:noWrap/>
            <w:vAlign w:val="bottom"/>
          </w:tcPr>
          <w:p w:rsidR="006D11C3" w:rsidRPr="00907C27" w:rsidRDefault="006D11C3" w:rsidP="006D11C3">
            <w:pPr>
              <w:jc w:val="center"/>
              <w:rPr>
                <w:rFonts w:ascii="MS Sans Serif" w:hAnsi="MS Sans Serif" w:cs="Arial" w:hint="eastAsia"/>
                <w:i/>
                <w:iCs/>
                <w:sz w:val="18"/>
                <w:szCs w:val="18"/>
              </w:rPr>
            </w:pPr>
            <w:r w:rsidRPr="00907C27">
              <w:rPr>
                <w:rFonts w:ascii="MS Sans Serif" w:hAnsi="MS Sans Serif"/>
                <w:i/>
                <w:sz w:val="18"/>
                <w:szCs w:val="18"/>
              </w:rPr>
              <w:t>0.607</w:t>
            </w:r>
          </w:p>
        </w:tc>
      </w:tr>
      <w:tr w:rsidR="006D11C3" w:rsidRPr="002335CE" w:rsidTr="006D11C3">
        <w:trPr>
          <w:trHeight w:val="255"/>
        </w:trPr>
        <w:tc>
          <w:tcPr>
            <w:tcW w:w="960" w:type="dxa"/>
            <w:vMerge w:val="restart"/>
            <w:tcBorders>
              <w:top w:val="nil"/>
              <w:left w:val="nil"/>
              <w:bottom w:val="dotted" w:sz="4" w:space="0" w:color="000000"/>
              <w:right w:val="nil"/>
            </w:tcBorders>
            <w:shd w:val="clear" w:color="auto" w:fill="auto"/>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3</w:t>
            </w: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0.030</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3.994</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0.675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0.028</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3.564</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0.676</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0.029</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3.838</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0.686</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0.020</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2.859</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0.667</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0.020</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2.840</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0.658</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0.022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2.908</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0.657</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0.019</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2.176</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0.640</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0.017</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1.930</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0.604</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0.012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1.287</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0.543</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dotted" w:sz="4"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68"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0.011</w:t>
            </w:r>
          </w:p>
        </w:tc>
        <w:tc>
          <w:tcPr>
            <w:tcW w:w="768"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1.927</w:t>
            </w:r>
          </w:p>
        </w:tc>
        <w:tc>
          <w:tcPr>
            <w:tcW w:w="769"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0.623</w:t>
            </w:r>
          </w:p>
        </w:tc>
        <w:tc>
          <w:tcPr>
            <w:tcW w:w="768"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0.011</w:t>
            </w:r>
          </w:p>
        </w:tc>
        <w:tc>
          <w:tcPr>
            <w:tcW w:w="768"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1.927</w:t>
            </w:r>
          </w:p>
        </w:tc>
        <w:tc>
          <w:tcPr>
            <w:tcW w:w="769"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0.613</w:t>
            </w:r>
          </w:p>
        </w:tc>
        <w:tc>
          <w:tcPr>
            <w:tcW w:w="768"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0.017</w:t>
            </w:r>
          </w:p>
        </w:tc>
        <w:tc>
          <w:tcPr>
            <w:tcW w:w="768"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b/>
                <w:i/>
                <w:iCs/>
                <w:sz w:val="18"/>
                <w:szCs w:val="18"/>
              </w:rPr>
            </w:pPr>
            <w:r w:rsidRPr="00AB17EA">
              <w:rPr>
                <w:rFonts w:ascii="MS Sans Serif" w:hAnsi="MS Sans Serif"/>
                <w:b/>
                <w:i/>
                <w:sz w:val="18"/>
                <w:szCs w:val="18"/>
              </w:rPr>
              <w:t>2.559</w:t>
            </w:r>
          </w:p>
        </w:tc>
        <w:tc>
          <w:tcPr>
            <w:tcW w:w="769"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0.619</w:t>
            </w:r>
          </w:p>
        </w:tc>
      </w:tr>
      <w:tr w:rsidR="006D11C3" w:rsidRPr="002335CE" w:rsidTr="006D11C3">
        <w:trPr>
          <w:trHeight w:val="255"/>
        </w:trPr>
        <w:tc>
          <w:tcPr>
            <w:tcW w:w="960" w:type="dxa"/>
            <w:vMerge w:val="restart"/>
            <w:tcBorders>
              <w:top w:val="nil"/>
              <w:left w:val="nil"/>
              <w:bottom w:val="dotted" w:sz="4" w:space="0" w:color="000000"/>
              <w:right w:val="nil"/>
            </w:tcBorders>
            <w:shd w:val="clear" w:color="auto" w:fill="auto"/>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6</w:t>
            </w: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0.060</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5.089</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0.721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0.053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4.571</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0.713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0.054</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4.979</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0.745</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0.038</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3.998</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0.676</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0.043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4.586</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0.704</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0.045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4.255</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0.686</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0.033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3.016</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0.667</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0.023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2.025</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0.630</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0.022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1.758</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0.637</w:t>
            </w:r>
          </w:p>
        </w:tc>
      </w:tr>
      <w:tr w:rsidR="006D11C3" w:rsidRPr="002335CE" w:rsidTr="006D11C3">
        <w:trPr>
          <w:trHeight w:val="255"/>
        </w:trPr>
        <w:tc>
          <w:tcPr>
            <w:tcW w:w="960" w:type="dxa"/>
            <w:vMerge/>
            <w:tcBorders>
              <w:top w:val="nil"/>
              <w:left w:val="nil"/>
              <w:bottom w:val="dotted" w:sz="4"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dotted" w:sz="4"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68"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0.026</w:t>
            </w:r>
          </w:p>
        </w:tc>
        <w:tc>
          <w:tcPr>
            <w:tcW w:w="768" w:type="dxa"/>
            <w:tcBorders>
              <w:top w:val="nil"/>
              <w:left w:val="nil"/>
              <w:bottom w:val="dotted" w:sz="4" w:space="0" w:color="auto"/>
              <w:right w:val="nil"/>
            </w:tcBorders>
            <w:shd w:val="clear" w:color="auto" w:fill="auto"/>
            <w:noWrap/>
            <w:vAlign w:val="bottom"/>
          </w:tcPr>
          <w:p w:rsidR="006D11C3" w:rsidRPr="00C54906" w:rsidRDefault="006D11C3" w:rsidP="006D11C3">
            <w:pPr>
              <w:jc w:val="center"/>
              <w:rPr>
                <w:rFonts w:ascii="MS Sans Serif" w:hAnsi="MS Sans Serif" w:cs="Arial" w:hint="eastAsia"/>
                <w:b/>
                <w:i/>
                <w:iCs/>
                <w:sz w:val="18"/>
                <w:szCs w:val="18"/>
              </w:rPr>
            </w:pPr>
            <w:r w:rsidRPr="00C54906">
              <w:rPr>
                <w:rFonts w:ascii="MS Sans Serif" w:hAnsi="MS Sans Serif"/>
                <w:b/>
                <w:i/>
                <w:sz w:val="18"/>
                <w:szCs w:val="18"/>
              </w:rPr>
              <w:t>3.675</w:t>
            </w:r>
          </w:p>
        </w:tc>
        <w:tc>
          <w:tcPr>
            <w:tcW w:w="769"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0.649</w:t>
            </w:r>
          </w:p>
        </w:tc>
        <w:tc>
          <w:tcPr>
            <w:tcW w:w="768"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0.030</w:t>
            </w:r>
          </w:p>
        </w:tc>
        <w:tc>
          <w:tcPr>
            <w:tcW w:w="768"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b/>
                <w:i/>
                <w:iCs/>
                <w:sz w:val="18"/>
                <w:szCs w:val="18"/>
              </w:rPr>
            </w:pPr>
            <w:r w:rsidRPr="00AB17EA">
              <w:rPr>
                <w:rFonts w:ascii="MS Sans Serif" w:hAnsi="MS Sans Serif"/>
                <w:b/>
                <w:i/>
                <w:sz w:val="18"/>
                <w:szCs w:val="18"/>
              </w:rPr>
              <w:t>3.533</w:t>
            </w:r>
          </w:p>
        </w:tc>
        <w:tc>
          <w:tcPr>
            <w:tcW w:w="769"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0.639</w:t>
            </w:r>
          </w:p>
        </w:tc>
        <w:tc>
          <w:tcPr>
            <w:tcW w:w="768"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0.032</w:t>
            </w:r>
          </w:p>
        </w:tc>
        <w:tc>
          <w:tcPr>
            <w:tcW w:w="768"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b/>
                <w:i/>
                <w:iCs/>
                <w:sz w:val="18"/>
                <w:szCs w:val="18"/>
              </w:rPr>
            </w:pPr>
            <w:r w:rsidRPr="00AB17EA">
              <w:rPr>
                <w:rFonts w:ascii="MS Sans Serif" w:hAnsi="MS Sans Serif"/>
                <w:b/>
                <w:i/>
                <w:sz w:val="18"/>
                <w:szCs w:val="18"/>
              </w:rPr>
              <w:t>3.604</w:t>
            </w:r>
          </w:p>
        </w:tc>
        <w:tc>
          <w:tcPr>
            <w:tcW w:w="769" w:type="dxa"/>
            <w:tcBorders>
              <w:top w:val="nil"/>
              <w:left w:val="nil"/>
              <w:bottom w:val="dotted" w:sz="4"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0.647</w:t>
            </w:r>
          </w:p>
        </w:tc>
      </w:tr>
      <w:tr w:rsidR="006D11C3" w:rsidRPr="002335CE" w:rsidTr="006D11C3">
        <w:trPr>
          <w:trHeight w:val="255"/>
        </w:trPr>
        <w:tc>
          <w:tcPr>
            <w:tcW w:w="960" w:type="dxa"/>
            <w:vMerge w:val="restart"/>
            <w:tcBorders>
              <w:top w:val="nil"/>
              <w:left w:val="nil"/>
              <w:bottom w:val="single" w:sz="8" w:space="0" w:color="000000"/>
              <w:right w:val="nil"/>
            </w:tcBorders>
            <w:shd w:val="clear" w:color="auto" w:fill="auto"/>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12</w:t>
            </w: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0.107</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6.380</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0.762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0.096</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5.933</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0.794</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0.081</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5.191</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0.708</w:t>
            </w:r>
          </w:p>
        </w:tc>
      </w:tr>
      <w:tr w:rsidR="006D11C3" w:rsidRPr="002335CE" w:rsidTr="006D11C3">
        <w:trPr>
          <w:trHeight w:val="255"/>
        </w:trPr>
        <w:tc>
          <w:tcPr>
            <w:tcW w:w="960" w:type="dxa"/>
            <w:vMerge/>
            <w:tcBorders>
              <w:top w:val="nil"/>
              <w:left w:val="nil"/>
              <w:bottom w:val="single" w:sz="8"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0.085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5.190</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0.705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0.093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5.417</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0.725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0.072</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4.480</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0.729</w:t>
            </w:r>
          </w:p>
        </w:tc>
      </w:tr>
      <w:tr w:rsidR="006D11C3" w:rsidRPr="002335CE" w:rsidTr="006D11C3">
        <w:trPr>
          <w:trHeight w:val="255"/>
        </w:trPr>
        <w:tc>
          <w:tcPr>
            <w:tcW w:w="960" w:type="dxa"/>
            <w:vMerge/>
            <w:tcBorders>
              <w:top w:val="nil"/>
              <w:left w:val="nil"/>
              <w:bottom w:val="single" w:sz="8"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nil"/>
              <w:right w:val="nil"/>
            </w:tcBorders>
            <w:shd w:val="clear" w:color="auto" w:fill="auto"/>
            <w:noWrap/>
            <w:vAlign w:val="bottom"/>
          </w:tcPr>
          <w:p w:rsidR="006D11C3" w:rsidRPr="002335CE" w:rsidRDefault="006D11C3" w:rsidP="006D11C3">
            <w:pPr>
              <w:jc w:val="center"/>
              <w:rPr>
                <w:rFonts w:ascii="MS Sans Serif" w:hAnsi="MS Sans Serif" w:cs="Arial" w:hint="eastAsia"/>
                <w:sz w:val="18"/>
                <w:szCs w:val="18"/>
              </w:rPr>
            </w:pPr>
            <w:r w:rsidRPr="002335CE">
              <w:rPr>
                <w:rFonts w:ascii="MS Sans Serif" w:hAnsi="MS Sans Serif" w:cs="Arial"/>
                <w:sz w:val="18"/>
                <w:szCs w:val="18"/>
              </w:rPr>
              <w:t>P3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0.059</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3.156</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0.695</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0.053</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2.669</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0.667</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0.059</w:t>
            </w:r>
          </w:p>
        </w:tc>
        <w:tc>
          <w:tcPr>
            <w:tcW w:w="768"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2.666</w:t>
            </w:r>
          </w:p>
        </w:tc>
        <w:tc>
          <w:tcPr>
            <w:tcW w:w="769" w:type="dxa"/>
            <w:tcBorders>
              <w:top w:val="nil"/>
              <w:left w:val="nil"/>
              <w:bottom w:val="nil"/>
              <w:right w:val="nil"/>
            </w:tcBorders>
            <w:shd w:val="clear" w:color="auto" w:fill="auto"/>
            <w:noWrap/>
            <w:vAlign w:val="bottom"/>
          </w:tcPr>
          <w:p w:rsidR="006D11C3" w:rsidRPr="00907C27" w:rsidRDefault="006D11C3" w:rsidP="006D11C3">
            <w:pPr>
              <w:jc w:val="center"/>
              <w:rPr>
                <w:rFonts w:ascii="MS Sans Serif" w:hAnsi="MS Sans Serif" w:cs="Arial" w:hint="eastAsia"/>
                <w:sz w:val="18"/>
                <w:szCs w:val="18"/>
              </w:rPr>
            </w:pPr>
            <w:r w:rsidRPr="00907C27">
              <w:rPr>
                <w:rFonts w:ascii="MS Sans Serif" w:hAnsi="MS Sans Serif"/>
                <w:sz w:val="18"/>
                <w:szCs w:val="18"/>
              </w:rPr>
              <w:t>0.677</w:t>
            </w:r>
          </w:p>
        </w:tc>
      </w:tr>
      <w:tr w:rsidR="006D11C3" w:rsidRPr="002335CE" w:rsidTr="006D11C3">
        <w:trPr>
          <w:trHeight w:val="270"/>
        </w:trPr>
        <w:tc>
          <w:tcPr>
            <w:tcW w:w="960" w:type="dxa"/>
            <w:vMerge/>
            <w:tcBorders>
              <w:top w:val="nil"/>
              <w:left w:val="nil"/>
              <w:bottom w:val="single" w:sz="8" w:space="0" w:color="000000"/>
              <w:right w:val="nil"/>
            </w:tcBorders>
            <w:vAlign w:val="bottom"/>
          </w:tcPr>
          <w:p w:rsidR="006D11C3" w:rsidRPr="002335CE" w:rsidRDefault="006D11C3" w:rsidP="006D11C3">
            <w:pPr>
              <w:rPr>
                <w:rFonts w:ascii="MS Sans Serif" w:hAnsi="MS Sans Serif" w:cs="Arial" w:hint="eastAsia"/>
                <w:sz w:val="18"/>
                <w:szCs w:val="18"/>
              </w:rPr>
            </w:pPr>
          </w:p>
        </w:tc>
        <w:tc>
          <w:tcPr>
            <w:tcW w:w="960" w:type="dxa"/>
            <w:tcBorders>
              <w:top w:val="nil"/>
              <w:left w:val="nil"/>
              <w:bottom w:val="single" w:sz="8" w:space="0" w:color="auto"/>
              <w:right w:val="nil"/>
            </w:tcBorders>
            <w:shd w:val="clear" w:color="auto" w:fill="auto"/>
            <w:noWrap/>
            <w:vAlign w:val="bottom"/>
          </w:tcPr>
          <w:p w:rsidR="006D11C3" w:rsidRPr="002335CE" w:rsidRDefault="006D11C3" w:rsidP="006D11C3">
            <w:pPr>
              <w:jc w:val="center"/>
              <w:rPr>
                <w:rFonts w:ascii="MS Sans Serif" w:hAnsi="MS Sans Serif" w:cs="Arial" w:hint="eastAsia"/>
                <w:i/>
                <w:iCs/>
                <w:sz w:val="18"/>
                <w:szCs w:val="18"/>
              </w:rPr>
            </w:pPr>
            <w:r w:rsidRPr="002335CE">
              <w:rPr>
                <w:rFonts w:ascii="MS Sans Serif" w:hAnsi="MS Sans Serif" w:cs="Arial"/>
                <w:i/>
                <w:iCs/>
                <w:sz w:val="18"/>
                <w:szCs w:val="18"/>
              </w:rPr>
              <w:t>P1 – P3</w:t>
            </w:r>
          </w:p>
        </w:tc>
        <w:tc>
          <w:tcPr>
            <w:tcW w:w="768" w:type="dxa"/>
            <w:tcBorders>
              <w:top w:val="nil"/>
              <w:left w:val="nil"/>
              <w:bottom w:val="single" w:sz="8"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0.048</w:t>
            </w:r>
          </w:p>
        </w:tc>
        <w:tc>
          <w:tcPr>
            <w:tcW w:w="768" w:type="dxa"/>
            <w:tcBorders>
              <w:top w:val="nil"/>
              <w:left w:val="nil"/>
              <w:bottom w:val="single" w:sz="8"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b/>
                <w:i/>
                <w:iCs/>
                <w:sz w:val="18"/>
                <w:szCs w:val="18"/>
              </w:rPr>
            </w:pPr>
            <w:r w:rsidRPr="00AB17EA">
              <w:rPr>
                <w:rFonts w:ascii="MS Sans Serif" w:hAnsi="MS Sans Serif"/>
                <w:b/>
                <w:i/>
                <w:sz w:val="18"/>
                <w:szCs w:val="18"/>
              </w:rPr>
              <w:t>3.896</w:t>
            </w:r>
          </w:p>
        </w:tc>
        <w:tc>
          <w:tcPr>
            <w:tcW w:w="769" w:type="dxa"/>
            <w:tcBorders>
              <w:top w:val="nil"/>
              <w:left w:val="nil"/>
              <w:bottom w:val="single" w:sz="8"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0.638</w:t>
            </w:r>
          </w:p>
        </w:tc>
        <w:tc>
          <w:tcPr>
            <w:tcW w:w="768" w:type="dxa"/>
            <w:tcBorders>
              <w:top w:val="nil"/>
              <w:left w:val="nil"/>
              <w:bottom w:val="single" w:sz="8"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0.043</w:t>
            </w:r>
          </w:p>
        </w:tc>
        <w:tc>
          <w:tcPr>
            <w:tcW w:w="768" w:type="dxa"/>
            <w:tcBorders>
              <w:top w:val="nil"/>
              <w:left w:val="nil"/>
              <w:bottom w:val="single" w:sz="8"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b/>
                <w:i/>
                <w:iCs/>
                <w:sz w:val="18"/>
                <w:szCs w:val="18"/>
              </w:rPr>
            </w:pPr>
            <w:r w:rsidRPr="00AB17EA">
              <w:rPr>
                <w:rFonts w:ascii="MS Sans Serif" w:hAnsi="MS Sans Serif"/>
                <w:b/>
                <w:i/>
                <w:sz w:val="18"/>
                <w:szCs w:val="18"/>
              </w:rPr>
              <w:t>3.326</w:t>
            </w:r>
          </w:p>
        </w:tc>
        <w:tc>
          <w:tcPr>
            <w:tcW w:w="769" w:type="dxa"/>
            <w:tcBorders>
              <w:top w:val="nil"/>
              <w:left w:val="nil"/>
              <w:bottom w:val="single" w:sz="8"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0.667</w:t>
            </w:r>
          </w:p>
        </w:tc>
        <w:tc>
          <w:tcPr>
            <w:tcW w:w="768" w:type="dxa"/>
            <w:tcBorders>
              <w:top w:val="nil"/>
              <w:left w:val="nil"/>
              <w:bottom w:val="single" w:sz="8"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0.022</w:t>
            </w:r>
          </w:p>
        </w:tc>
        <w:tc>
          <w:tcPr>
            <w:tcW w:w="768" w:type="dxa"/>
            <w:tcBorders>
              <w:top w:val="nil"/>
              <w:left w:val="nil"/>
              <w:bottom w:val="single" w:sz="8"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b/>
                <w:bCs/>
                <w:i/>
                <w:sz w:val="18"/>
                <w:szCs w:val="18"/>
              </w:rPr>
            </w:pPr>
            <w:r w:rsidRPr="00AB17EA">
              <w:rPr>
                <w:rFonts w:ascii="MS Sans Serif" w:hAnsi="MS Sans Serif"/>
                <w:i/>
                <w:sz w:val="18"/>
                <w:szCs w:val="18"/>
              </w:rPr>
              <w:t>1.618</w:t>
            </w:r>
          </w:p>
        </w:tc>
        <w:tc>
          <w:tcPr>
            <w:tcW w:w="769" w:type="dxa"/>
            <w:tcBorders>
              <w:top w:val="nil"/>
              <w:left w:val="nil"/>
              <w:bottom w:val="single" w:sz="8" w:space="0" w:color="auto"/>
              <w:right w:val="nil"/>
            </w:tcBorders>
            <w:shd w:val="clear" w:color="auto" w:fill="auto"/>
            <w:noWrap/>
            <w:vAlign w:val="bottom"/>
          </w:tcPr>
          <w:p w:rsidR="006D11C3" w:rsidRPr="00AB17EA" w:rsidRDefault="006D11C3" w:rsidP="006D11C3">
            <w:pPr>
              <w:jc w:val="center"/>
              <w:rPr>
                <w:rFonts w:ascii="MS Sans Serif" w:hAnsi="MS Sans Serif" w:cs="Arial" w:hint="eastAsia"/>
                <w:i/>
                <w:iCs/>
                <w:sz w:val="18"/>
                <w:szCs w:val="18"/>
              </w:rPr>
            </w:pPr>
            <w:r w:rsidRPr="00AB17EA">
              <w:rPr>
                <w:rFonts w:ascii="MS Sans Serif" w:hAnsi="MS Sans Serif"/>
                <w:i/>
                <w:sz w:val="18"/>
                <w:szCs w:val="18"/>
              </w:rPr>
              <w:t>0.615</w:t>
            </w:r>
          </w:p>
        </w:tc>
      </w:tr>
    </w:tbl>
    <w:p w:rsidR="00B07630" w:rsidRDefault="00B07630" w:rsidP="00B07630">
      <w:r>
        <w:lastRenderedPageBreak/>
        <w:t>Table 7: Return</w:t>
      </w:r>
      <w:r w:rsidR="00781F21">
        <w:t>s</w:t>
      </w:r>
      <w:r>
        <w:t xml:space="preserve"> of Morningstar Sector Index</w:t>
      </w:r>
      <w:r w:rsidR="00781F21">
        <w:t xml:space="preserve"> Portfolios </w:t>
      </w:r>
      <w:r w:rsidR="004C0795">
        <w:t>D</w:t>
      </w:r>
      <w:r w:rsidR="00781F21">
        <w:t xml:space="preserve">ouble </w:t>
      </w:r>
      <w:r w:rsidR="004C0795">
        <w:t>S</w:t>
      </w:r>
      <w:r w:rsidR="00781F21">
        <w:t xml:space="preserve">orted </w:t>
      </w:r>
      <w:r>
        <w:t xml:space="preserve">on </w:t>
      </w:r>
      <w:r w:rsidR="004C0795">
        <w:t>P</w:t>
      </w:r>
      <w:r w:rsidR="00781F21">
        <w:t xml:space="preserve">ast SUE and Lagged Returns </w:t>
      </w:r>
    </w:p>
    <w:p w:rsidR="00781F21" w:rsidRDefault="00781F21" w:rsidP="00B07630"/>
    <w:p w:rsidR="00B07630" w:rsidRDefault="00B07630" w:rsidP="00B07630">
      <w:pPr>
        <w:rPr>
          <w:sz w:val="22"/>
          <w:szCs w:val="22"/>
        </w:rPr>
      </w:pPr>
      <w:r w:rsidRPr="00781F21">
        <w:rPr>
          <w:sz w:val="22"/>
          <w:szCs w:val="22"/>
        </w:rPr>
        <w:t xml:space="preserve">At the end of each month, indexes are sorted on </w:t>
      </w:r>
      <w:r w:rsidR="000822C5" w:rsidRPr="00781F21">
        <w:rPr>
          <w:sz w:val="22"/>
          <w:szCs w:val="22"/>
        </w:rPr>
        <w:t xml:space="preserve">past </w:t>
      </w:r>
      <w:r w:rsidRPr="00781F21">
        <w:rPr>
          <w:sz w:val="22"/>
          <w:szCs w:val="22"/>
        </w:rPr>
        <w:t>SUE</w:t>
      </w:r>
      <w:r w:rsidR="000822C5" w:rsidRPr="00781F21">
        <w:rPr>
          <w:sz w:val="22"/>
          <w:szCs w:val="22"/>
        </w:rPr>
        <w:t>s</w:t>
      </w:r>
      <w:r w:rsidRPr="00781F21">
        <w:rPr>
          <w:sz w:val="22"/>
          <w:szCs w:val="22"/>
        </w:rPr>
        <w:t xml:space="preserve"> </w:t>
      </w:r>
      <w:r w:rsidR="00781F21">
        <w:rPr>
          <w:sz w:val="22"/>
          <w:szCs w:val="22"/>
        </w:rPr>
        <w:t>in</w:t>
      </w:r>
      <w:r w:rsidRPr="00781F21">
        <w:rPr>
          <w:sz w:val="22"/>
          <w:szCs w:val="22"/>
        </w:rPr>
        <w:t xml:space="preserve">to </w:t>
      </w:r>
      <w:r w:rsidR="00754C55" w:rsidRPr="00781F21">
        <w:rPr>
          <w:sz w:val="22"/>
          <w:szCs w:val="22"/>
        </w:rPr>
        <w:t>3</w:t>
      </w:r>
      <w:r w:rsidRPr="00781F21">
        <w:rPr>
          <w:sz w:val="22"/>
          <w:szCs w:val="22"/>
        </w:rPr>
        <w:t xml:space="preserve"> groups. Group 1 consists of </w:t>
      </w:r>
      <w:r w:rsidR="00754C55" w:rsidRPr="00781F21">
        <w:rPr>
          <w:sz w:val="22"/>
          <w:szCs w:val="22"/>
        </w:rPr>
        <w:t>4</w:t>
      </w:r>
      <w:r w:rsidRPr="00781F21">
        <w:rPr>
          <w:sz w:val="22"/>
          <w:szCs w:val="22"/>
        </w:rPr>
        <w:t xml:space="preserve"> indexes </w:t>
      </w:r>
      <w:r w:rsidR="000822C5" w:rsidRPr="00781F21">
        <w:rPr>
          <w:sz w:val="22"/>
          <w:szCs w:val="22"/>
        </w:rPr>
        <w:t>with</w:t>
      </w:r>
      <w:r w:rsidRPr="00781F21">
        <w:rPr>
          <w:sz w:val="22"/>
          <w:szCs w:val="22"/>
        </w:rPr>
        <w:t xml:space="preserve"> the highest</w:t>
      </w:r>
      <w:r w:rsidR="000822C5" w:rsidRPr="00781F21">
        <w:rPr>
          <w:sz w:val="22"/>
          <w:szCs w:val="22"/>
        </w:rPr>
        <w:t xml:space="preserve"> past</w:t>
      </w:r>
      <w:r w:rsidRPr="00781F21">
        <w:rPr>
          <w:sz w:val="22"/>
          <w:szCs w:val="22"/>
        </w:rPr>
        <w:t xml:space="preserve"> SUEs and group </w:t>
      </w:r>
      <w:r w:rsidR="00754C55" w:rsidRPr="00781F21">
        <w:rPr>
          <w:sz w:val="22"/>
          <w:szCs w:val="22"/>
        </w:rPr>
        <w:t>3</w:t>
      </w:r>
      <w:r w:rsidRPr="00781F21">
        <w:rPr>
          <w:sz w:val="22"/>
          <w:szCs w:val="22"/>
        </w:rPr>
        <w:t xml:space="preserve"> consists of </w:t>
      </w:r>
      <w:r w:rsidR="00754C55" w:rsidRPr="00781F21">
        <w:rPr>
          <w:sz w:val="22"/>
          <w:szCs w:val="22"/>
        </w:rPr>
        <w:t>4</w:t>
      </w:r>
      <w:r w:rsidRPr="00781F21">
        <w:rPr>
          <w:sz w:val="22"/>
          <w:szCs w:val="22"/>
        </w:rPr>
        <w:t xml:space="preserve"> indexes </w:t>
      </w:r>
      <w:r w:rsidR="000822C5" w:rsidRPr="00781F21">
        <w:rPr>
          <w:sz w:val="22"/>
          <w:szCs w:val="22"/>
        </w:rPr>
        <w:t xml:space="preserve">with </w:t>
      </w:r>
      <w:r w:rsidRPr="00781F21">
        <w:rPr>
          <w:sz w:val="22"/>
          <w:szCs w:val="22"/>
        </w:rPr>
        <w:t>the lowest</w:t>
      </w:r>
      <w:r w:rsidR="000822C5" w:rsidRPr="00781F21">
        <w:rPr>
          <w:sz w:val="22"/>
          <w:szCs w:val="22"/>
        </w:rPr>
        <w:t xml:space="preserve"> past</w:t>
      </w:r>
      <w:r w:rsidRPr="00781F21">
        <w:rPr>
          <w:sz w:val="22"/>
          <w:szCs w:val="22"/>
        </w:rPr>
        <w:t xml:space="preserve"> SUEs. The </w:t>
      </w:r>
      <w:r w:rsidR="00AC66BC" w:rsidRPr="00781F21">
        <w:rPr>
          <w:sz w:val="22"/>
          <w:szCs w:val="22"/>
        </w:rPr>
        <w:t>remaining 4</w:t>
      </w:r>
      <w:r w:rsidRPr="00781F21">
        <w:rPr>
          <w:sz w:val="22"/>
          <w:szCs w:val="22"/>
        </w:rPr>
        <w:t xml:space="preserve"> indexes </w:t>
      </w:r>
      <w:r w:rsidR="00196316" w:rsidRPr="00781F21">
        <w:rPr>
          <w:sz w:val="22"/>
          <w:szCs w:val="22"/>
        </w:rPr>
        <w:t>are in</w:t>
      </w:r>
      <w:r w:rsidRPr="00781F21">
        <w:rPr>
          <w:sz w:val="22"/>
          <w:szCs w:val="22"/>
        </w:rPr>
        <w:t xml:space="preserve"> group 2. Within each SUE group, </w:t>
      </w:r>
      <w:r w:rsidR="000822C5" w:rsidRPr="00781F21">
        <w:rPr>
          <w:sz w:val="22"/>
          <w:szCs w:val="22"/>
        </w:rPr>
        <w:t xml:space="preserve">4 </w:t>
      </w:r>
      <w:r w:rsidRPr="00781F21">
        <w:rPr>
          <w:sz w:val="22"/>
          <w:szCs w:val="22"/>
        </w:rPr>
        <w:t xml:space="preserve">indexes are further </w:t>
      </w:r>
      <w:r w:rsidR="00AC66BC" w:rsidRPr="00781F21">
        <w:rPr>
          <w:sz w:val="22"/>
          <w:szCs w:val="22"/>
        </w:rPr>
        <w:t>assigned to one of</w:t>
      </w:r>
      <w:r w:rsidRPr="00781F21">
        <w:rPr>
          <w:sz w:val="22"/>
          <w:szCs w:val="22"/>
        </w:rPr>
        <w:t xml:space="preserve"> </w:t>
      </w:r>
      <w:r w:rsidR="00754C55" w:rsidRPr="00781F21">
        <w:rPr>
          <w:sz w:val="22"/>
          <w:szCs w:val="22"/>
        </w:rPr>
        <w:t>4</w:t>
      </w:r>
      <w:r w:rsidRPr="00781F21">
        <w:rPr>
          <w:sz w:val="22"/>
          <w:szCs w:val="22"/>
        </w:rPr>
        <w:t xml:space="preserve"> </w:t>
      </w:r>
      <w:r w:rsidR="00781F21">
        <w:rPr>
          <w:sz w:val="22"/>
          <w:szCs w:val="22"/>
        </w:rPr>
        <w:t>sub-</w:t>
      </w:r>
      <w:r w:rsidRPr="00781F21">
        <w:rPr>
          <w:sz w:val="22"/>
          <w:szCs w:val="22"/>
        </w:rPr>
        <w:t xml:space="preserve">portfolios based on their past cumulative returns. </w:t>
      </w:r>
      <w:r w:rsidR="00AC66BC" w:rsidRPr="00781F21">
        <w:rPr>
          <w:sz w:val="22"/>
          <w:szCs w:val="22"/>
        </w:rPr>
        <w:t>T</w:t>
      </w:r>
      <w:r w:rsidR="000822C5" w:rsidRPr="00781F21">
        <w:rPr>
          <w:sz w:val="22"/>
          <w:szCs w:val="22"/>
        </w:rPr>
        <w:t>he index with</w:t>
      </w:r>
      <w:r w:rsidRPr="00781F21">
        <w:rPr>
          <w:sz w:val="22"/>
          <w:szCs w:val="22"/>
        </w:rPr>
        <w:t xml:space="preserve"> the highest return</w:t>
      </w:r>
      <w:r w:rsidR="00AC66BC" w:rsidRPr="00781F21">
        <w:rPr>
          <w:sz w:val="22"/>
          <w:szCs w:val="22"/>
        </w:rPr>
        <w:t xml:space="preserve"> is </w:t>
      </w:r>
      <w:r w:rsidR="00781F21">
        <w:rPr>
          <w:sz w:val="22"/>
          <w:szCs w:val="22"/>
        </w:rPr>
        <w:t>sub-</w:t>
      </w:r>
      <w:r w:rsidR="00AC66BC" w:rsidRPr="00781F21">
        <w:rPr>
          <w:sz w:val="22"/>
          <w:szCs w:val="22"/>
        </w:rPr>
        <w:t>portfolio 1</w:t>
      </w:r>
      <w:r w:rsidRPr="00781F21">
        <w:rPr>
          <w:sz w:val="22"/>
          <w:szCs w:val="22"/>
        </w:rPr>
        <w:t xml:space="preserve"> and </w:t>
      </w:r>
      <w:r w:rsidR="00AC66BC" w:rsidRPr="00781F21">
        <w:rPr>
          <w:sz w:val="22"/>
          <w:szCs w:val="22"/>
        </w:rPr>
        <w:t>t</w:t>
      </w:r>
      <w:r w:rsidR="000822C5" w:rsidRPr="00781F21">
        <w:rPr>
          <w:sz w:val="22"/>
          <w:szCs w:val="22"/>
        </w:rPr>
        <w:t xml:space="preserve">he </w:t>
      </w:r>
      <w:r w:rsidR="00AC66BC" w:rsidRPr="00781F21">
        <w:rPr>
          <w:sz w:val="22"/>
          <w:szCs w:val="22"/>
        </w:rPr>
        <w:t>index</w:t>
      </w:r>
      <w:r w:rsidR="000822C5" w:rsidRPr="00781F21">
        <w:rPr>
          <w:sz w:val="22"/>
          <w:szCs w:val="22"/>
        </w:rPr>
        <w:t xml:space="preserve"> with</w:t>
      </w:r>
      <w:r w:rsidRPr="00781F21">
        <w:rPr>
          <w:sz w:val="22"/>
          <w:szCs w:val="22"/>
        </w:rPr>
        <w:t xml:space="preserve"> the lowest</w:t>
      </w:r>
      <w:r w:rsidR="000822C5" w:rsidRPr="00781F21">
        <w:rPr>
          <w:sz w:val="22"/>
          <w:szCs w:val="22"/>
        </w:rPr>
        <w:t xml:space="preserve"> return</w:t>
      </w:r>
      <w:r w:rsidR="00AC66BC" w:rsidRPr="00781F21">
        <w:rPr>
          <w:sz w:val="22"/>
          <w:szCs w:val="22"/>
        </w:rPr>
        <w:t xml:space="preserve"> is </w:t>
      </w:r>
      <w:r w:rsidR="00781F21">
        <w:rPr>
          <w:sz w:val="22"/>
          <w:szCs w:val="22"/>
        </w:rPr>
        <w:t>sub-</w:t>
      </w:r>
      <w:r w:rsidR="00AC66BC" w:rsidRPr="00781F21">
        <w:rPr>
          <w:sz w:val="22"/>
          <w:szCs w:val="22"/>
        </w:rPr>
        <w:t>portfolio 4</w:t>
      </w:r>
      <w:r w:rsidRPr="00781F21">
        <w:rPr>
          <w:sz w:val="22"/>
          <w:szCs w:val="22"/>
        </w:rPr>
        <w:t xml:space="preserve">. </w:t>
      </w:r>
      <w:r w:rsidR="00196316" w:rsidRPr="00781F21">
        <w:rPr>
          <w:sz w:val="22"/>
          <w:szCs w:val="22"/>
        </w:rPr>
        <w:t>The t</w:t>
      </w:r>
      <w:r w:rsidRPr="00781F21">
        <w:rPr>
          <w:sz w:val="22"/>
          <w:szCs w:val="22"/>
        </w:rPr>
        <w:t xml:space="preserve">able reports the time series means of the monthly returns </w:t>
      </w:r>
      <w:r w:rsidR="00781F21">
        <w:rPr>
          <w:sz w:val="22"/>
          <w:szCs w:val="22"/>
        </w:rPr>
        <w:t>for each of the sub-</w:t>
      </w:r>
      <w:r w:rsidRPr="00781F21">
        <w:rPr>
          <w:sz w:val="22"/>
          <w:szCs w:val="22"/>
        </w:rPr>
        <w:t>portfolios</w:t>
      </w:r>
      <w:r w:rsidR="00781F21">
        <w:rPr>
          <w:sz w:val="22"/>
          <w:szCs w:val="22"/>
        </w:rPr>
        <w:t xml:space="preserve"> as well as their </w:t>
      </w:r>
      <w:r w:rsidR="00781F21" w:rsidRPr="00781F21">
        <w:rPr>
          <w:sz w:val="22"/>
          <w:szCs w:val="22"/>
        </w:rPr>
        <w:t>averages across SUE groups</w:t>
      </w:r>
      <w:r w:rsidR="00781F21">
        <w:rPr>
          <w:sz w:val="22"/>
          <w:szCs w:val="22"/>
        </w:rPr>
        <w:t xml:space="preserve"> (in the last row of each panel). The</w:t>
      </w:r>
      <w:r w:rsidRPr="00781F21">
        <w:rPr>
          <w:sz w:val="22"/>
          <w:szCs w:val="22"/>
        </w:rPr>
        <w:t xml:space="preserve"> average returns of the momentum portfolios, i.e. portfolio 1 minus portfolio </w:t>
      </w:r>
      <w:r w:rsidR="00CF60A3" w:rsidRPr="00781F21">
        <w:rPr>
          <w:sz w:val="22"/>
          <w:szCs w:val="22"/>
        </w:rPr>
        <w:t>4</w:t>
      </w:r>
      <w:r w:rsidRPr="00781F21">
        <w:rPr>
          <w:sz w:val="22"/>
          <w:szCs w:val="22"/>
        </w:rPr>
        <w:t>, and their t-statistics</w:t>
      </w:r>
      <w:r w:rsidR="00781F21">
        <w:rPr>
          <w:sz w:val="22"/>
          <w:szCs w:val="22"/>
        </w:rPr>
        <w:t xml:space="preserve"> are also calculated and reported</w:t>
      </w:r>
      <w:r w:rsidRPr="00781F21">
        <w:rPr>
          <w:sz w:val="22"/>
          <w:szCs w:val="22"/>
        </w:rPr>
        <w:t xml:space="preserve">. The holding period for </w:t>
      </w:r>
      <w:r w:rsidR="00DF7785">
        <w:rPr>
          <w:sz w:val="22"/>
          <w:szCs w:val="22"/>
        </w:rPr>
        <w:t>all</w:t>
      </w:r>
      <w:r w:rsidRPr="00781F21">
        <w:rPr>
          <w:sz w:val="22"/>
          <w:szCs w:val="22"/>
        </w:rPr>
        <w:t xml:space="preserve"> portfolios is set </w:t>
      </w:r>
      <w:r w:rsidR="00781F21">
        <w:rPr>
          <w:sz w:val="22"/>
          <w:szCs w:val="22"/>
        </w:rPr>
        <w:t xml:space="preserve">equal </w:t>
      </w:r>
      <w:r w:rsidRPr="00781F21">
        <w:rPr>
          <w:sz w:val="22"/>
          <w:szCs w:val="22"/>
        </w:rPr>
        <w:t>to 6 months. The ranking periods are set to be same for SUE and past returns. The results in Panel A</w:t>
      </w:r>
      <w:r w:rsidR="007A1685" w:rsidRPr="00781F21">
        <w:rPr>
          <w:sz w:val="22"/>
          <w:szCs w:val="22"/>
        </w:rPr>
        <w:t>, B, and C</w:t>
      </w:r>
      <w:r w:rsidRPr="00781F21">
        <w:rPr>
          <w:sz w:val="22"/>
          <w:szCs w:val="22"/>
        </w:rPr>
        <w:t xml:space="preserve"> are based on 3-month</w:t>
      </w:r>
      <w:r w:rsidR="007A1685" w:rsidRPr="00781F21">
        <w:rPr>
          <w:sz w:val="22"/>
          <w:szCs w:val="22"/>
        </w:rPr>
        <w:t>,</w:t>
      </w:r>
      <w:r w:rsidRPr="00781F21">
        <w:rPr>
          <w:sz w:val="22"/>
          <w:szCs w:val="22"/>
        </w:rPr>
        <w:t xml:space="preserve"> 6-month</w:t>
      </w:r>
      <w:r w:rsidR="007A1685" w:rsidRPr="00781F21">
        <w:rPr>
          <w:sz w:val="22"/>
          <w:szCs w:val="22"/>
        </w:rPr>
        <w:t>, and</w:t>
      </w:r>
      <w:r w:rsidRPr="00781F21">
        <w:rPr>
          <w:sz w:val="22"/>
          <w:szCs w:val="22"/>
        </w:rPr>
        <w:t xml:space="preserve"> 12-month ranking period</w:t>
      </w:r>
      <w:r w:rsidR="007A1685" w:rsidRPr="00781F21">
        <w:rPr>
          <w:sz w:val="22"/>
          <w:szCs w:val="22"/>
        </w:rPr>
        <w:t>s, respectively</w:t>
      </w:r>
      <w:r w:rsidRPr="00781F21">
        <w:rPr>
          <w:sz w:val="22"/>
          <w:szCs w:val="22"/>
        </w:rPr>
        <w:t xml:space="preserve">. </w:t>
      </w:r>
    </w:p>
    <w:p w:rsidR="00781F21" w:rsidRPr="00781F21" w:rsidRDefault="00781F21" w:rsidP="00B07630">
      <w:pPr>
        <w:rPr>
          <w:sz w:val="22"/>
          <w:szCs w:val="22"/>
        </w:rPr>
      </w:pPr>
    </w:p>
    <w:tbl>
      <w:tblPr>
        <w:tblW w:w="8240" w:type="dxa"/>
        <w:tblInd w:w="93" w:type="dxa"/>
        <w:tblLook w:val="04A0" w:firstRow="1" w:lastRow="0" w:firstColumn="1" w:lastColumn="0" w:noHBand="0" w:noVBand="1"/>
      </w:tblPr>
      <w:tblGrid>
        <w:gridCol w:w="1698"/>
        <w:gridCol w:w="593"/>
        <w:gridCol w:w="763"/>
        <w:gridCol w:w="261"/>
        <w:gridCol w:w="858"/>
        <w:gridCol w:w="260"/>
        <w:gridCol w:w="762"/>
        <w:gridCol w:w="260"/>
        <w:gridCol w:w="762"/>
        <w:gridCol w:w="260"/>
        <w:gridCol w:w="1168"/>
        <w:gridCol w:w="260"/>
        <w:gridCol w:w="858"/>
      </w:tblGrid>
      <w:tr w:rsidR="009D7788" w:rsidRPr="000D3E91" w:rsidTr="009D7788">
        <w:trPr>
          <w:trHeight w:val="300"/>
        </w:trPr>
        <w:tc>
          <w:tcPr>
            <w:tcW w:w="8240" w:type="dxa"/>
            <w:gridSpan w:val="13"/>
            <w:tcBorders>
              <w:top w:val="single" w:sz="4" w:space="0" w:color="auto"/>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u w:val="single"/>
              </w:rPr>
            </w:pPr>
            <w:r w:rsidRPr="000D3E91">
              <w:rPr>
                <w:rFonts w:ascii="Calibri" w:eastAsia="Times New Roman" w:hAnsi="Calibri"/>
                <w:color w:val="000000"/>
                <w:sz w:val="20"/>
                <w:szCs w:val="20"/>
                <w:u w:val="single"/>
              </w:rPr>
              <w:t>Panel A: Average returns of portfolios sorted on past 3-month SUE and 3-month return</w:t>
            </w:r>
          </w:p>
        </w:tc>
      </w:tr>
      <w:tr w:rsidR="009D7788" w:rsidRPr="000D3E91" w:rsidTr="009D7788">
        <w:trPr>
          <w:trHeight w:val="30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u w:val="single"/>
              </w:rPr>
            </w:pP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3574" w:type="dxa"/>
            <w:gridSpan w:val="7"/>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Ranks of past return</w:t>
            </w:r>
            <w:r w:rsidR="00183675" w:rsidRPr="000D3E91">
              <w:rPr>
                <w:rFonts w:ascii="Calibri" w:eastAsia="Times New Roman" w:hAnsi="Calibri"/>
                <w:color w:val="000000"/>
                <w:sz w:val="20"/>
                <w:szCs w:val="20"/>
              </w:rPr>
              <w:t>s</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r>
      <w:tr w:rsidR="009D7788" w:rsidRPr="000D3E91" w:rsidTr="009D7788">
        <w:trPr>
          <w:trHeight w:val="30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781"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1 (H)</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2</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3</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4(L)</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1(H)-4(L)</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t-Stat.</w:t>
            </w:r>
          </w:p>
        </w:tc>
      </w:tr>
      <w:tr w:rsidR="009D7788" w:rsidRPr="000D3E91" w:rsidTr="009D7788">
        <w:trPr>
          <w:trHeight w:val="39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Ranks of SUE</w:t>
            </w: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1(H)</w:t>
            </w: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0.095</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0.066</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0.048</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0.029</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0.066</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3.457</w:t>
            </w:r>
          </w:p>
        </w:tc>
      </w:tr>
      <w:tr w:rsidR="009D7788" w:rsidRPr="000D3E91" w:rsidTr="009D7788">
        <w:trPr>
          <w:trHeight w:val="30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2</w:t>
            </w: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0.037</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0.049</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0.036</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0.037</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-0.001</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-0.052</w:t>
            </w:r>
          </w:p>
        </w:tc>
      </w:tr>
      <w:tr w:rsidR="009D7788" w:rsidRPr="000D3E91" w:rsidTr="009D7788">
        <w:trPr>
          <w:trHeight w:val="30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3(L)</w:t>
            </w: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0.051</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0.023</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0.037</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0.027</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0.024</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1.375</w:t>
            </w:r>
          </w:p>
        </w:tc>
      </w:tr>
      <w:tr w:rsidR="009D7788" w:rsidRPr="000D3E91" w:rsidTr="009D7788">
        <w:trPr>
          <w:trHeight w:val="375"/>
        </w:trPr>
        <w:tc>
          <w:tcPr>
            <w:tcW w:w="2352" w:type="dxa"/>
            <w:gridSpan w:val="2"/>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Controlling for SUE</w:t>
            </w: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0.061</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0.046</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0.040</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0.031</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0.030</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1.890</w:t>
            </w:r>
          </w:p>
        </w:tc>
      </w:tr>
      <w:tr w:rsidR="009D7788" w:rsidRPr="000D3E91" w:rsidTr="009D7788">
        <w:trPr>
          <w:trHeight w:val="30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r>
      <w:tr w:rsidR="009D7788" w:rsidRPr="000D3E91" w:rsidTr="009D7788">
        <w:trPr>
          <w:trHeight w:val="300"/>
        </w:trPr>
        <w:tc>
          <w:tcPr>
            <w:tcW w:w="8240" w:type="dxa"/>
            <w:gridSpan w:val="13"/>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u w:val="single"/>
              </w:rPr>
            </w:pPr>
            <w:r w:rsidRPr="000D3E91">
              <w:rPr>
                <w:rFonts w:ascii="Calibri" w:eastAsia="Times New Roman" w:hAnsi="Calibri"/>
                <w:color w:val="000000"/>
                <w:sz w:val="20"/>
                <w:szCs w:val="20"/>
                <w:u w:val="single"/>
              </w:rPr>
              <w:t>Panel B: Average returns of portfolios sorted on past 6-month SUE and 6-month return</w:t>
            </w:r>
          </w:p>
        </w:tc>
      </w:tr>
      <w:tr w:rsidR="009D7788" w:rsidRPr="000D3E91" w:rsidTr="009D7788">
        <w:trPr>
          <w:trHeight w:val="30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u w:val="single"/>
              </w:rPr>
            </w:pP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3574" w:type="dxa"/>
            <w:gridSpan w:val="7"/>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Ranks of past return</w:t>
            </w:r>
            <w:r w:rsidR="00183675" w:rsidRPr="000D3E91">
              <w:rPr>
                <w:rFonts w:ascii="Calibri" w:eastAsia="Times New Roman" w:hAnsi="Calibri"/>
                <w:color w:val="000000"/>
                <w:sz w:val="20"/>
                <w:szCs w:val="20"/>
              </w:rPr>
              <w:t>s</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r>
      <w:tr w:rsidR="009D7788" w:rsidRPr="000D3E91" w:rsidTr="009D7788">
        <w:trPr>
          <w:trHeight w:val="30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781"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1 (H)</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2</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3</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4(L)</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1(H)-4(L)</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t-Stat.</w:t>
            </w:r>
          </w:p>
        </w:tc>
      </w:tr>
      <w:tr w:rsidR="009D7788" w:rsidRPr="000D3E91" w:rsidTr="009D7788">
        <w:trPr>
          <w:trHeight w:val="39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Ranks of SUE</w:t>
            </w: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1(H)</w:t>
            </w: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0.087</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0.069</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0.023</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0.033</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0.054</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2.806</w:t>
            </w:r>
          </w:p>
        </w:tc>
      </w:tr>
      <w:tr w:rsidR="009D7788" w:rsidRPr="000D3E91" w:rsidTr="009D7788">
        <w:trPr>
          <w:trHeight w:val="30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2</w:t>
            </w: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0.054</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0.050</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0.042</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0.038</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0.016</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1.077</w:t>
            </w:r>
          </w:p>
        </w:tc>
      </w:tr>
      <w:tr w:rsidR="009D7788" w:rsidRPr="000D3E91" w:rsidTr="009D7788">
        <w:trPr>
          <w:trHeight w:val="30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3(L)</w:t>
            </w: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0.045</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0.018</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0.013</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0.021</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0.024</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1.512</w:t>
            </w:r>
          </w:p>
        </w:tc>
      </w:tr>
      <w:tr w:rsidR="009D7788" w:rsidRPr="000D3E91" w:rsidTr="009D7788">
        <w:trPr>
          <w:trHeight w:val="360"/>
        </w:trPr>
        <w:tc>
          <w:tcPr>
            <w:tcW w:w="2352" w:type="dxa"/>
            <w:gridSpan w:val="2"/>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Controlling for SUE</w:t>
            </w: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0.062</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0.045</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0.026</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0.031</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0.031</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1.770</w:t>
            </w:r>
          </w:p>
        </w:tc>
      </w:tr>
      <w:tr w:rsidR="009D7788" w:rsidRPr="000D3E91" w:rsidTr="009D7788">
        <w:trPr>
          <w:trHeight w:val="30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r>
      <w:tr w:rsidR="009D7788" w:rsidRPr="000D3E91" w:rsidTr="009D7788">
        <w:trPr>
          <w:trHeight w:val="300"/>
        </w:trPr>
        <w:tc>
          <w:tcPr>
            <w:tcW w:w="8240" w:type="dxa"/>
            <w:gridSpan w:val="13"/>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u w:val="single"/>
              </w:rPr>
            </w:pPr>
            <w:r w:rsidRPr="000D3E91">
              <w:rPr>
                <w:rFonts w:ascii="Calibri" w:eastAsia="Times New Roman" w:hAnsi="Calibri"/>
                <w:color w:val="000000"/>
                <w:sz w:val="20"/>
                <w:szCs w:val="20"/>
                <w:u w:val="single"/>
              </w:rPr>
              <w:t>Panel C: Average returns of portfolios sorted on past 12-month SUE and 12-month return</w:t>
            </w:r>
          </w:p>
        </w:tc>
      </w:tr>
      <w:tr w:rsidR="009D7788" w:rsidRPr="000D3E91" w:rsidTr="009D7788">
        <w:trPr>
          <w:trHeight w:val="30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u w:val="single"/>
              </w:rPr>
            </w:pP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3574" w:type="dxa"/>
            <w:gridSpan w:val="7"/>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Ranks of past return</w:t>
            </w:r>
            <w:r w:rsidR="00183675" w:rsidRPr="000D3E91">
              <w:rPr>
                <w:rFonts w:ascii="Calibri" w:eastAsia="Times New Roman" w:hAnsi="Calibri"/>
                <w:color w:val="000000"/>
                <w:sz w:val="20"/>
                <w:szCs w:val="20"/>
              </w:rPr>
              <w:t>s</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r>
      <w:tr w:rsidR="009D7788" w:rsidRPr="000D3E91" w:rsidTr="009D7788">
        <w:trPr>
          <w:trHeight w:val="30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781"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1 (H)</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2</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3</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4(L)</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1(H)-4(L)</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t-Stat.</w:t>
            </w:r>
          </w:p>
        </w:tc>
      </w:tr>
      <w:tr w:rsidR="009D7788" w:rsidRPr="000D3E91" w:rsidTr="009D7788">
        <w:trPr>
          <w:trHeight w:val="375"/>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Ranks of SUE</w:t>
            </w: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1(H)</w:t>
            </w: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0.069</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0.074</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0.051</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0.023</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0.046</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2.354</w:t>
            </w:r>
          </w:p>
        </w:tc>
      </w:tr>
      <w:tr w:rsidR="009D7788" w:rsidRPr="000D3E91" w:rsidTr="009D7788">
        <w:trPr>
          <w:trHeight w:val="30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2</w:t>
            </w: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0.052</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0.050</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0.043</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0.045</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0.007</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0.328</w:t>
            </w:r>
          </w:p>
        </w:tc>
      </w:tr>
      <w:tr w:rsidR="009D7788" w:rsidRPr="000D3E91" w:rsidTr="009D7788">
        <w:trPr>
          <w:trHeight w:val="300"/>
        </w:trPr>
        <w:tc>
          <w:tcPr>
            <w:tcW w:w="174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605"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3(L)</w:t>
            </w: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0.034</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-0.002</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0.032</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781"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0.028</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p>
        </w:tc>
        <w:tc>
          <w:tcPr>
            <w:tcW w:w="120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0.006</w:t>
            </w:r>
          </w:p>
        </w:tc>
        <w:tc>
          <w:tcPr>
            <w:tcW w:w="117"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p>
        </w:tc>
        <w:tc>
          <w:tcPr>
            <w:tcW w:w="880" w:type="dxa"/>
            <w:tcBorders>
              <w:top w:val="nil"/>
              <w:left w:val="nil"/>
              <w:bottom w:val="nil"/>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0.346</w:t>
            </w:r>
          </w:p>
        </w:tc>
      </w:tr>
      <w:tr w:rsidR="009D7788" w:rsidRPr="000D3E91" w:rsidTr="009D7788">
        <w:trPr>
          <w:trHeight w:val="405"/>
        </w:trPr>
        <w:tc>
          <w:tcPr>
            <w:tcW w:w="2352" w:type="dxa"/>
            <w:gridSpan w:val="2"/>
            <w:tcBorders>
              <w:top w:val="nil"/>
              <w:left w:val="nil"/>
              <w:bottom w:val="single" w:sz="4" w:space="0" w:color="auto"/>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Controlling for SUE</w:t>
            </w:r>
          </w:p>
        </w:tc>
        <w:tc>
          <w:tcPr>
            <w:tcW w:w="781"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0.052</w:t>
            </w:r>
          </w:p>
        </w:tc>
        <w:tc>
          <w:tcPr>
            <w:tcW w:w="117"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 </w:t>
            </w:r>
          </w:p>
        </w:tc>
        <w:tc>
          <w:tcPr>
            <w:tcW w:w="880"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0.041</w:t>
            </w:r>
          </w:p>
        </w:tc>
        <w:tc>
          <w:tcPr>
            <w:tcW w:w="117"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 </w:t>
            </w:r>
          </w:p>
        </w:tc>
        <w:tc>
          <w:tcPr>
            <w:tcW w:w="781"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0.042</w:t>
            </w:r>
          </w:p>
        </w:tc>
        <w:tc>
          <w:tcPr>
            <w:tcW w:w="117"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 </w:t>
            </w:r>
          </w:p>
        </w:tc>
        <w:tc>
          <w:tcPr>
            <w:tcW w:w="781"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0.032</w:t>
            </w:r>
          </w:p>
        </w:tc>
        <w:tc>
          <w:tcPr>
            <w:tcW w:w="117" w:type="dxa"/>
            <w:tcBorders>
              <w:top w:val="nil"/>
              <w:left w:val="nil"/>
              <w:bottom w:val="single" w:sz="4" w:space="0" w:color="auto"/>
              <w:right w:val="nil"/>
            </w:tcBorders>
            <w:shd w:val="clear" w:color="auto" w:fill="auto"/>
            <w:noWrap/>
            <w:vAlign w:val="bottom"/>
            <w:hideMark/>
          </w:tcPr>
          <w:p w:rsidR="009D7788" w:rsidRPr="000D3E91" w:rsidRDefault="009D7788" w:rsidP="009D7788">
            <w:pPr>
              <w:rPr>
                <w:rFonts w:ascii="Calibri" w:eastAsia="Times New Roman" w:hAnsi="Calibri"/>
                <w:color w:val="000000"/>
                <w:sz w:val="20"/>
                <w:szCs w:val="20"/>
              </w:rPr>
            </w:pPr>
            <w:r w:rsidRPr="000D3E91">
              <w:rPr>
                <w:rFonts w:ascii="Calibri" w:eastAsia="Times New Roman" w:hAnsi="Calibri"/>
                <w:color w:val="000000"/>
                <w:sz w:val="20"/>
                <w:szCs w:val="20"/>
              </w:rPr>
              <w:t> </w:t>
            </w:r>
          </w:p>
        </w:tc>
        <w:tc>
          <w:tcPr>
            <w:tcW w:w="1200"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0.019</w:t>
            </w:r>
          </w:p>
        </w:tc>
        <w:tc>
          <w:tcPr>
            <w:tcW w:w="117"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 </w:t>
            </w:r>
          </w:p>
        </w:tc>
        <w:tc>
          <w:tcPr>
            <w:tcW w:w="880" w:type="dxa"/>
            <w:tcBorders>
              <w:top w:val="nil"/>
              <w:left w:val="nil"/>
              <w:bottom w:val="single" w:sz="4" w:space="0" w:color="auto"/>
              <w:right w:val="nil"/>
            </w:tcBorders>
            <w:shd w:val="clear" w:color="auto" w:fill="auto"/>
            <w:noWrap/>
            <w:vAlign w:val="bottom"/>
            <w:hideMark/>
          </w:tcPr>
          <w:p w:rsidR="009D7788" w:rsidRPr="000D3E91" w:rsidRDefault="009D7788" w:rsidP="009D7788">
            <w:pPr>
              <w:jc w:val="center"/>
              <w:rPr>
                <w:rFonts w:ascii="Calibri" w:eastAsia="Times New Roman" w:hAnsi="Calibri"/>
                <w:color w:val="000000"/>
                <w:sz w:val="20"/>
                <w:szCs w:val="20"/>
              </w:rPr>
            </w:pPr>
            <w:r w:rsidRPr="000D3E91">
              <w:rPr>
                <w:rFonts w:ascii="Calibri" w:eastAsia="Times New Roman" w:hAnsi="Calibri"/>
                <w:color w:val="000000"/>
                <w:sz w:val="20"/>
                <w:szCs w:val="20"/>
              </w:rPr>
              <w:t>0.630</w:t>
            </w:r>
          </w:p>
        </w:tc>
      </w:tr>
    </w:tbl>
    <w:p w:rsidR="00B07630" w:rsidRDefault="00B07630" w:rsidP="00B07630"/>
    <w:p w:rsidR="000D3E91" w:rsidRDefault="000D3E91">
      <w:r>
        <w:br w:type="page"/>
      </w:r>
    </w:p>
    <w:p w:rsidR="0034055D" w:rsidRDefault="004717EC" w:rsidP="0034055D">
      <w:r>
        <w:lastRenderedPageBreak/>
        <w:t xml:space="preserve">Figure </w:t>
      </w:r>
      <w:r w:rsidR="004C0795">
        <w:t>1</w:t>
      </w:r>
      <w:r w:rsidRPr="0002672E">
        <w:t xml:space="preserve">: </w:t>
      </w:r>
      <w:r w:rsidR="0034055D">
        <w:t>Performance of Dynamic Momentum Portfolios Based on Morningstar Style Indexes – with 6-Month Ranking Period</w:t>
      </w:r>
    </w:p>
    <w:p w:rsidR="0034055D" w:rsidRDefault="0034055D" w:rsidP="0034055D">
      <w:r>
        <w:t xml:space="preserve"> </w:t>
      </w:r>
    </w:p>
    <w:p w:rsidR="00686840" w:rsidRDefault="0034055D" w:rsidP="00745D33">
      <w:r w:rsidRPr="0034055D">
        <w:rPr>
          <w:sz w:val="22"/>
          <w:szCs w:val="22"/>
        </w:rPr>
        <w:t xml:space="preserve">The figure plots the performance of various dynamic momentum portfolios, together with that of the passive equally-weighted benchmark portfolio (denoted by EWP) of the style indexes. The ranking period for the dynamic portfolios </w:t>
      </w:r>
      <w:r w:rsidR="00745D33">
        <w:rPr>
          <w:sz w:val="22"/>
          <w:szCs w:val="22"/>
        </w:rPr>
        <w:t>is 6</w:t>
      </w:r>
      <w:r w:rsidRPr="0034055D">
        <w:rPr>
          <w:sz w:val="22"/>
          <w:szCs w:val="22"/>
        </w:rPr>
        <w:t xml:space="preserve"> months and holding periods are one, three, six, and twelve months. All portfolios are assumed to start at one dollar. Relative to the passive equally-weighted benchmark portfolio, the dynamic portfolio over-weights (under-weights) indexes in P1 (P3) by 10 percent. The notation RPXHPY denotes a portfolio with X-month ranking period (RP) and Y-month holding period (HP). </w:t>
      </w:r>
      <w:r w:rsidR="004C0795">
        <w:rPr>
          <w:sz w:val="22"/>
          <w:szCs w:val="22"/>
        </w:rPr>
        <w:t xml:space="preserve">Panel </w:t>
      </w:r>
      <w:r w:rsidRPr="0034055D">
        <w:rPr>
          <w:sz w:val="22"/>
          <w:szCs w:val="22"/>
        </w:rPr>
        <w:t xml:space="preserve">1A plots the performance of dynamic portfolios with no transaction costs and </w:t>
      </w:r>
      <w:r w:rsidR="004C0795">
        <w:rPr>
          <w:sz w:val="22"/>
          <w:szCs w:val="22"/>
        </w:rPr>
        <w:t xml:space="preserve">Panel </w:t>
      </w:r>
      <w:r w:rsidRPr="0034055D">
        <w:rPr>
          <w:sz w:val="22"/>
          <w:szCs w:val="22"/>
        </w:rPr>
        <w:t>1B with transaction costs.</w:t>
      </w:r>
    </w:p>
    <w:p w:rsidR="00686840" w:rsidRDefault="00686840" w:rsidP="00686840"/>
    <w:p w:rsidR="004717EC" w:rsidRPr="00E329F8" w:rsidRDefault="004C0795" w:rsidP="004717EC">
      <w:r>
        <w:t>Panel 1</w:t>
      </w:r>
      <w:r w:rsidR="00686840">
        <w:t xml:space="preserve">A: </w:t>
      </w:r>
      <w:r w:rsidR="00745D33">
        <w:t>Performances</w:t>
      </w:r>
      <w:r w:rsidR="00686840">
        <w:t xml:space="preserve"> of </w:t>
      </w:r>
      <w:r w:rsidR="00A360D2">
        <w:t>Dynamic</w:t>
      </w:r>
      <w:r w:rsidR="00686840">
        <w:t xml:space="preserve"> Portfolios with </w:t>
      </w:r>
      <w:r w:rsidR="00A360D2">
        <w:t>No</w:t>
      </w:r>
      <w:r w:rsidR="00686840">
        <w:t xml:space="preserve"> Transaction Cost</w:t>
      </w:r>
      <w:r w:rsidR="00A360D2">
        <w:t>s</w:t>
      </w:r>
    </w:p>
    <w:p w:rsidR="00E329F8" w:rsidRPr="00C76EEC" w:rsidRDefault="00DC21D6" w:rsidP="004717EC">
      <w:r>
        <w:rPr>
          <w:noProof/>
          <w:lang w:eastAsia="en-US"/>
        </w:rPr>
        <w:drawing>
          <wp:inline distT="0" distB="0" distL="0" distR="0">
            <wp:extent cx="5486400" cy="270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5486400" cy="2705100"/>
                    </a:xfrm>
                    <a:prstGeom prst="rect">
                      <a:avLst/>
                    </a:prstGeom>
                    <a:noFill/>
                    <a:ln w="9525">
                      <a:noFill/>
                      <a:miter lim="800000"/>
                      <a:headEnd/>
                      <a:tailEnd/>
                    </a:ln>
                  </pic:spPr>
                </pic:pic>
              </a:graphicData>
            </a:graphic>
          </wp:inline>
        </w:drawing>
      </w:r>
    </w:p>
    <w:p w:rsidR="00E329F8" w:rsidRDefault="00E329F8" w:rsidP="004717EC"/>
    <w:p w:rsidR="00E329F8" w:rsidRDefault="004C0795" w:rsidP="004717EC">
      <w:r>
        <w:t>Panel 1</w:t>
      </w:r>
      <w:r w:rsidR="00686840">
        <w:t xml:space="preserve">B: </w:t>
      </w:r>
      <w:r w:rsidR="00745D33">
        <w:t>Performances</w:t>
      </w:r>
      <w:r w:rsidR="00686840">
        <w:t xml:space="preserve"> of </w:t>
      </w:r>
      <w:r w:rsidR="00A360D2">
        <w:t>Dynamic</w:t>
      </w:r>
      <w:r w:rsidR="00686840">
        <w:t xml:space="preserve"> Portfolios with Transaction Cost</w:t>
      </w:r>
      <w:r w:rsidR="00A360D2">
        <w:t>s</w:t>
      </w:r>
    </w:p>
    <w:p w:rsidR="00E329F8" w:rsidRPr="00C76EEC" w:rsidRDefault="00DC21D6" w:rsidP="004717EC">
      <w:r>
        <w:rPr>
          <w:noProof/>
          <w:lang w:eastAsia="en-US"/>
        </w:rPr>
        <w:drawing>
          <wp:inline distT="0" distB="0" distL="0" distR="0">
            <wp:extent cx="5486400" cy="2804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5486400" cy="2804160"/>
                    </a:xfrm>
                    <a:prstGeom prst="rect">
                      <a:avLst/>
                    </a:prstGeom>
                    <a:noFill/>
                    <a:ln w="9525">
                      <a:noFill/>
                      <a:miter lim="800000"/>
                      <a:headEnd/>
                      <a:tailEnd/>
                    </a:ln>
                  </pic:spPr>
                </pic:pic>
              </a:graphicData>
            </a:graphic>
          </wp:inline>
        </w:drawing>
      </w:r>
    </w:p>
    <w:p w:rsidR="004717EC" w:rsidRPr="00AA21F5" w:rsidRDefault="004717EC" w:rsidP="004717EC"/>
    <w:sectPr w:rsidR="004717EC" w:rsidRPr="00AA21F5" w:rsidSect="00C6339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8F2" w:rsidRDefault="002078F2">
      <w:r>
        <w:separator/>
      </w:r>
    </w:p>
  </w:endnote>
  <w:endnote w:type="continuationSeparator" w:id="0">
    <w:p w:rsidR="002078F2" w:rsidRDefault="0020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B5" w:rsidRDefault="000C03B5" w:rsidP="00232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03B5" w:rsidRDefault="000C03B5" w:rsidP="00E958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B5" w:rsidRDefault="000C03B5" w:rsidP="00232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5099">
      <w:rPr>
        <w:rStyle w:val="PageNumber"/>
        <w:noProof/>
      </w:rPr>
      <w:t>25</w:t>
    </w:r>
    <w:r>
      <w:rPr>
        <w:rStyle w:val="PageNumber"/>
      </w:rPr>
      <w:fldChar w:fldCharType="end"/>
    </w:r>
  </w:p>
  <w:p w:rsidR="000C03B5" w:rsidRDefault="000C03B5" w:rsidP="00E958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8F2" w:rsidRDefault="002078F2">
      <w:r>
        <w:separator/>
      </w:r>
    </w:p>
  </w:footnote>
  <w:footnote w:type="continuationSeparator" w:id="0">
    <w:p w:rsidR="002078F2" w:rsidRDefault="002078F2">
      <w:r>
        <w:continuationSeparator/>
      </w:r>
    </w:p>
  </w:footnote>
  <w:footnote w:id="1">
    <w:p w:rsidR="000C03B5" w:rsidRPr="00242C5C" w:rsidRDefault="000C03B5" w:rsidP="001745BF">
      <w:pPr>
        <w:pStyle w:val="FootnoteText"/>
        <w:ind w:left="-540" w:right="-720"/>
        <w:rPr>
          <w:rStyle w:val="FooterChar"/>
          <w:sz w:val="20"/>
          <w:szCs w:val="20"/>
        </w:rPr>
      </w:pPr>
      <w:r>
        <w:rPr>
          <w:rStyle w:val="FootnoteReference"/>
        </w:rPr>
        <w:footnoteRef/>
      </w:r>
      <w:r>
        <w:t xml:space="preserve"> </w:t>
      </w:r>
      <w:r w:rsidRPr="00242C5C">
        <w:t xml:space="preserve">Linda H. Chen, </w:t>
      </w:r>
      <w:r w:rsidRPr="00242C5C">
        <w:rPr>
          <w:iCs/>
        </w:rPr>
        <w:t xml:space="preserve">Department of Accounting &amp; Finance, </w:t>
      </w:r>
      <w:r w:rsidRPr="00242C5C">
        <w:t xml:space="preserve">College of Management, University of Massachusetts Boston, Boston, MA02125. </w:t>
      </w:r>
      <w:r w:rsidRPr="00242C5C">
        <w:rPr>
          <w:iCs/>
        </w:rPr>
        <w:t xml:space="preserve">E-mail: </w:t>
      </w:r>
      <w:hyperlink r:id="rId1" w:history="1">
        <w:r w:rsidRPr="00242C5C">
          <w:rPr>
            <w:rStyle w:val="Hyperlink"/>
            <w:iCs/>
            <w:color w:val="auto"/>
            <w:u w:val="none"/>
          </w:rPr>
          <w:t>linda.chen@umb.edu</w:t>
        </w:r>
      </w:hyperlink>
      <w:r w:rsidRPr="00242C5C">
        <w:t>. George J. Jiang, Finance Department, Eller College of Management, University of Arizona, Tucson, Arizona 85721-0108. Phone: 520.621.3373. Fax: 520.621.1261. E-</w:t>
      </w:r>
      <w:r>
        <w:t xml:space="preserve">mail: gjiang@eller.arizona.edu. </w:t>
      </w:r>
      <w:proofErr w:type="gramStart"/>
      <w:r w:rsidRPr="00242C5C">
        <w:t>Kev</w:t>
      </w:r>
      <w:r>
        <w:t xml:space="preserve">in X. Zhu, School of Accounting </w:t>
      </w:r>
      <w:r w:rsidRPr="00242C5C">
        <w:t xml:space="preserve">and Finance, </w:t>
      </w:r>
      <w:bookmarkStart w:id="1" w:name="OLE_LINK1"/>
      <w:bookmarkStart w:id="2" w:name="OLE_LINK2"/>
      <w:r w:rsidRPr="00242C5C">
        <w:t>Hong Kong Polytechnic Universit</w:t>
      </w:r>
      <w:bookmarkEnd w:id="1"/>
      <w:bookmarkEnd w:id="2"/>
      <w:r>
        <w:t>y,</w:t>
      </w:r>
      <w:r w:rsidRPr="00242C5C">
        <w:t xml:space="preserve"> Hung </w:t>
      </w:r>
      <w:proofErr w:type="spellStart"/>
      <w:r w:rsidRPr="00242C5C">
        <w:t>Hom</w:t>
      </w:r>
      <w:proofErr w:type="spellEnd"/>
      <w:r w:rsidRPr="00242C5C">
        <w:t>, Kowloon, Hong Kong.</w:t>
      </w:r>
      <w:proofErr w:type="gramEnd"/>
      <w:r w:rsidRPr="00242C5C">
        <w:t xml:space="preserve"> E-mail: afkzhu@inet.polyu.edu.hk. </w:t>
      </w:r>
      <w:r w:rsidRPr="00242C5C">
        <w:rPr>
          <w:rStyle w:val="FooterChar"/>
          <w:rFonts w:hint="eastAsia"/>
          <w:sz w:val="20"/>
          <w:szCs w:val="20"/>
          <w:lang w:eastAsia="ko-KR"/>
        </w:rPr>
        <w:t>We would like to thank</w:t>
      </w:r>
      <w:r>
        <w:rPr>
          <w:rStyle w:val="FooterChar"/>
          <w:sz w:val="20"/>
          <w:szCs w:val="20"/>
          <w:lang w:eastAsia="ko-KR"/>
        </w:rPr>
        <w:t xml:space="preserve"> Laura Cheney, </w:t>
      </w:r>
      <w:proofErr w:type="spellStart"/>
      <w:r>
        <w:t>Kuan</w:t>
      </w:r>
      <w:proofErr w:type="spellEnd"/>
      <w:r>
        <w:t>-Hui Lee</w:t>
      </w:r>
      <w:r w:rsidRPr="00242C5C">
        <w:rPr>
          <w:rStyle w:val="FooterChar"/>
          <w:sz w:val="20"/>
          <w:szCs w:val="20"/>
          <w:lang w:eastAsia="ko-KR"/>
        </w:rPr>
        <w:t xml:space="preserve">, </w:t>
      </w:r>
      <w:r>
        <w:rPr>
          <w:rStyle w:val="FooterChar"/>
          <w:sz w:val="20"/>
          <w:szCs w:val="20"/>
          <w:lang w:eastAsia="ko-KR"/>
        </w:rPr>
        <w:t xml:space="preserve">Nancy Su, Wilson Tong, Flora Zhu </w:t>
      </w:r>
      <w:r w:rsidRPr="00242C5C">
        <w:rPr>
          <w:rStyle w:val="FooterChar"/>
          <w:rFonts w:hint="eastAsia"/>
          <w:sz w:val="20"/>
          <w:szCs w:val="20"/>
          <w:lang w:eastAsia="ko-KR"/>
        </w:rPr>
        <w:t>and other seminar participants at</w:t>
      </w:r>
      <w:r>
        <w:rPr>
          <w:rStyle w:val="FooterChar"/>
          <w:sz w:val="20"/>
          <w:szCs w:val="20"/>
          <w:lang w:eastAsia="ko-KR"/>
        </w:rPr>
        <w:t xml:space="preserve"> the</w:t>
      </w:r>
      <w:r w:rsidRPr="00242C5C">
        <w:rPr>
          <w:rStyle w:val="FooterChar"/>
          <w:rFonts w:hint="eastAsia"/>
          <w:sz w:val="20"/>
          <w:szCs w:val="20"/>
          <w:lang w:eastAsia="ko-KR"/>
        </w:rPr>
        <w:t xml:space="preserve"> </w:t>
      </w:r>
      <w:r>
        <w:rPr>
          <w:rStyle w:val="FooterChar"/>
          <w:sz w:val="20"/>
          <w:szCs w:val="20"/>
          <w:lang w:eastAsia="ko-KR"/>
        </w:rPr>
        <w:t>4</w:t>
      </w:r>
      <w:r w:rsidRPr="00B77FC4">
        <w:rPr>
          <w:rStyle w:val="FooterChar"/>
          <w:sz w:val="20"/>
          <w:szCs w:val="20"/>
          <w:vertAlign w:val="superscript"/>
          <w:lang w:eastAsia="ko-KR"/>
        </w:rPr>
        <w:t>th</w:t>
      </w:r>
      <w:r>
        <w:rPr>
          <w:rStyle w:val="FooterChar"/>
          <w:sz w:val="20"/>
          <w:szCs w:val="20"/>
          <w:lang w:eastAsia="ko-KR"/>
        </w:rPr>
        <w:t xml:space="preserve"> International </w:t>
      </w:r>
      <w:r w:rsidRPr="00242C5C">
        <w:rPr>
          <w:rStyle w:val="FooterChar"/>
          <w:rFonts w:hint="eastAsia"/>
          <w:sz w:val="20"/>
          <w:szCs w:val="20"/>
          <w:lang w:eastAsia="ko-KR"/>
        </w:rPr>
        <w:t xml:space="preserve">CAFM </w:t>
      </w:r>
      <w:r>
        <w:rPr>
          <w:rStyle w:val="FooterChar"/>
          <w:sz w:val="20"/>
          <w:szCs w:val="20"/>
          <w:lang w:eastAsia="ko-KR"/>
        </w:rPr>
        <w:t xml:space="preserve">Conference in </w:t>
      </w:r>
      <w:r w:rsidR="0093640F">
        <w:rPr>
          <w:rStyle w:val="FooterChar"/>
          <w:rFonts w:hint="eastAsia"/>
          <w:sz w:val="20"/>
          <w:szCs w:val="20"/>
          <w:lang w:eastAsia="ko-KR"/>
        </w:rPr>
        <w:t>Seoul</w:t>
      </w:r>
      <w:r>
        <w:rPr>
          <w:rStyle w:val="FooterChar"/>
          <w:sz w:val="20"/>
          <w:szCs w:val="20"/>
          <w:lang w:eastAsia="ko-KR"/>
        </w:rPr>
        <w:t xml:space="preserve">, and </w:t>
      </w:r>
      <w:r w:rsidRPr="00242C5C">
        <w:t>Hong Kong Polytechnic University</w:t>
      </w:r>
      <w:r w:rsidRPr="00242C5C">
        <w:rPr>
          <w:rStyle w:val="FootnoteTextChar"/>
          <w:rFonts w:hint="eastAsia"/>
        </w:rPr>
        <w:t xml:space="preserve"> for helpful</w:t>
      </w:r>
      <w:r w:rsidRPr="00242C5C">
        <w:rPr>
          <w:rStyle w:val="FooterChar"/>
          <w:rFonts w:hint="eastAsia"/>
          <w:sz w:val="20"/>
          <w:szCs w:val="20"/>
          <w:lang w:eastAsia="ko-KR"/>
        </w:rPr>
        <w:t xml:space="preserve"> comments</w:t>
      </w:r>
      <w:r>
        <w:rPr>
          <w:rStyle w:val="FooterChar"/>
          <w:sz w:val="20"/>
          <w:szCs w:val="20"/>
          <w:lang w:eastAsia="ko-KR"/>
        </w:rPr>
        <w:t xml:space="preserve"> and suggestions</w:t>
      </w:r>
      <w:r w:rsidRPr="00242C5C">
        <w:rPr>
          <w:rStyle w:val="FooterChar"/>
          <w:rFonts w:hint="eastAsia"/>
          <w:sz w:val="20"/>
          <w:szCs w:val="20"/>
          <w:lang w:eastAsia="ko-KR"/>
        </w:rPr>
        <w:t>.</w:t>
      </w:r>
    </w:p>
    <w:p w:rsidR="000C03B5" w:rsidRPr="00242C5C" w:rsidRDefault="000C03B5" w:rsidP="00242C5C">
      <w:pPr>
        <w:pStyle w:val="FootnoteText"/>
      </w:pPr>
    </w:p>
  </w:footnote>
  <w:footnote w:id="2">
    <w:p w:rsidR="000C03B5" w:rsidRPr="00913B2D" w:rsidRDefault="000C03B5" w:rsidP="008A7CBB">
      <w:pPr>
        <w:pStyle w:val="FootnoteText"/>
        <w:ind w:left="-540" w:right="-720"/>
      </w:pPr>
      <w:r>
        <w:rPr>
          <w:rStyle w:val="FootnoteReference"/>
        </w:rPr>
        <w:footnoteRef/>
      </w:r>
      <w:r>
        <w:t xml:space="preserve"> We note that some studies also construct SUE based on analyst earnings forecasts. However, the data is only available for a subset of stocks. For the purpose of our study, we use the SUE measure constructed from historical earnings</w:t>
      </w:r>
      <w:r w:rsidRPr="00913B2D">
        <w:t>.</w:t>
      </w:r>
    </w:p>
  </w:footnote>
  <w:footnote w:id="3">
    <w:p w:rsidR="000C03B5" w:rsidRPr="00854BD7" w:rsidRDefault="000C03B5" w:rsidP="008A7CBB">
      <w:pPr>
        <w:autoSpaceDE w:val="0"/>
        <w:autoSpaceDN w:val="0"/>
        <w:adjustRightInd w:val="0"/>
        <w:ind w:left="-540" w:right="-720"/>
      </w:pPr>
      <w:r>
        <w:rPr>
          <w:rStyle w:val="FootnoteReference"/>
        </w:rPr>
        <w:footnoteRef/>
      </w:r>
      <w:r>
        <w:t xml:space="preserve"> </w:t>
      </w:r>
      <w:r w:rsidRPr="00854BD7">
        <w:rPr>
          <w:sz w:val="20"/>
          <w:szCs w:val="20"/>
        </w:rPr>
        <w:t>Morningstar assigns a value orientation score and growth orientation score to each stock. The value orientation is based on five value factors, namely earnings price ratio, dividend yields, sales, cash flow, and book-market ratio, and the growth orientation is based on four growth factors, namely the growth rates of earnings, sales, cash flow, and book value. The value orientation score and growth orientation score are weighted averages of their respective factors. For details, please refer to “</w:t>
      </w:r>
      <w:r w:rsidRPr="00854BD7">
        <w:rPr>
          <w:bCs/>
          <w:sz w:val="20"/>
          <w:szCs w:val="20"/>
        </w:rPr>
        <w:t xml:space="preserve">Construction Rules for Morningstar Indexes”, Morningstar, May 2004. </w:t>
      </w:r>
      <w:r w:rsidRPr="00854BD7">
        <w:t xml:space="preserve"> </w:t>
      </w:r>
    </w:p>
  </w:footnote>
  <w:footnote w:id="4">
    <w:p w:rsidR="000C03B5" w:rsidRPr="00913B2D" w:rsidRDefault="000C03B5" w:rsidP="008A7CBB">
      <w:pPr>
        <w:pStyle w:val="FootnoteText"/>
        <w:ind w:left="-540" w:right="-720"/>
      </w:pPr>
      <w:r>
        <w:rPr>
          <w:rStyle w:val="FootnoteReference"/>
        </w:rPr>
        <w:footnoteRef/>
      </w:r>
      <w:r>
        <w:t xml:space="preserve"> </w:t>
      </w:r>
      <w:proofErr w:type="spellStart"/>
      <w:proofErr w:type="gramStart"/>
      <w:r w:rsidRPr="0040588F">
        <w:t>Bhardwaj</w:t>
      </w:r>
      <w:proofErr w:type="spellEnd"/>
      <w:r w:rsidRPr="0040588F">
        <w:t xml:space="preserve"> and Brooks (1992) report that when the dollar volume (V) is between $50,001 and $50</w:t>
      </w:r>
      <w:r>
        <w:t xml:space="preserve">0,000, the typical commission can be estimated by </w:t>
      </w:r>
      <w:r w:rsidRPr="0040588F">
        <w:t xml:space="preserve">$134 + </w:t>
      </w:r>
      <w:r>
        <w:t>$</w:t>
      </w:r>
      <w:r w:rsidRPr="0040588F">
        <w:t>0.001V.</w:t>
      </w:r>
      <w:proofErr w:type="gramEnd"/>
      <w:r>
        <w:t xml:space="preserve"> </w:t>
      </w:r>
      <w:r w:rsidRPr="00913B2D">
        <w:t>In other words, the variable cost is 0.1 percent. For on-line investors, the cost is even lower.</w:t>
      </w:r>
      <w:r>
        <w:t xml:space="preserve"> Note that the style indexes can be traded just like stocks through their corresponding index funds.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84EB3"/>
    <w:multiLevelType w:val="hybridMultilevel"/>
    <w:tmpl w:val="615EBA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4A303D"/>
    <w:multiLevelType w:val="hybridMultilevel"/>
    <w:tmpl w:val="10E6C5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691845"/>
    <w:multiLevelType w:val="hybridMultilevel"/>
    <w:tmpl w:val="97E0ED00"/>
    <w:lvl w:ilvl="0" w:tplc="0409000F">
      <w:start w:val="1"/>
      <w:numFmt w:val="decimal"/>
      <w:lvlText w:val="%1."/>
      <w:lvlJc w:val="left"/>
      <w:pPr>
        <w:tabs>
          <w:tab w:val="num" w:pos="720"/>
        </w:tabs>
        <w:ind w:left="720" w:hanging="360"/>
      </w:pPr>
      <w:rPr>
        <w:rFonts w:hint="default"/>
      </w:rPr>
    </w:lvl>
    <w:lvl w:ilvl="1" w:tplc="DE528F1E">
      <w:start w:val="1"/>
      <w:numFmt w:val="decimal"/>
      <w:lvlText w:val="%2."/>
      <w:lvlJc w:val="left"/>
      <w:pPr>
        <w:tabs>
          <w:tab w:val="num" w:pos="1440"/>
        </w:tabs>
        <w:ind w:left="1440" w:hanging="360"/>
      </w:pPr>
      <w:rPr>
        <w:rFonts w:ascii="Arial" w:eastAsia="SimSun" w:hAnsi="Arial" w:cs="Aria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2C61E7"/>
    <w:multiLevelType w:val="multilevel"/>
    <w:tmpl w:val="6C58E6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DF85012"/>
    <w:multiLevelType w:val="hybridMultilevel"/>
    <w:tmpl w:val="CF08F6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A77627"/>
    <w:multiLevelType w:val="hybridMultilevel"/>
    <w:tmpl w:val="AF54A9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550"/>
    <w:rsid w:val="00002374"/>
    <w:rsid w:val="00002F0E"/>
    <w:rsid w:val="00003D7A"/>
    <w:rsid w:val="000047E4"/>
    <w:rsid w:val="00004992"/>
    <w:rsid w:val="000050DF"/>
    <w:rsid w:val="00005C3D"/>
    <w:rsid w:val="00005FCA"/>
    <w:rsid w:val="00006B28"/>
    <w:rsid w:val="00006D57"/>
    <w:rsid w:val="00007D0D"/>
    <w:rsid w:val="00010039"/>
    <w:rsid w:val="000100C9"/>
    <w:rsid w:val="0001010A"/>
    <w:rsid w:val="000117D4"/>
    <w:rsid w:val="000118E6"/>
    <w:rsid w:val="000119C3"/>
    <w:rsid w:val="0001299F"/>
    <w:rsid w:val="00012DB8"/>
    <w:rsid w:val="00013347"/>
    <w:rsid w:val="00013BA2"/>
    <w:rsid w:val="0001477A"/>
    <w:rsid w:val="0001579B"/>
    <w:rsid w:val="00015EA9"/>
    <w:rsid w:val="00016931"/>
    <w:rsid w:val="00016E6F"/>
    <w:rsid w:val="00017C23"/>
    <w:rsid w:val="0002025B"/>
    <w:rsid w:val="00020D82"/>
    <w:rsid w:val="0002258F"/>
    <w:rsid w:val="000238F6"/>
    <w:rsid w:val="00023C47"/>
    <w:rsid w:val="00023C51"/>
    <w:rsid w:val="000241C0"/>
    <w:rsid w:val="000243A1"/>
    <w:rsid w:val="0002496C"/>
    <w:rsid w:val="00025225"/>
    <w:rsid w:val="00025C1F"/>
    <w:rsid w:val="0002672E"/>
    <w:rsid w:val="00027276"/>
    <w:rsid w:val="0003019B"/>
    <w:rsid w:val="0003214C"/>
    <w:rsid w:val="00033D65"/>
    <w:rsid w:val="00034B80"/>
    <w:rsid w:val="00035338"/>
    <w:rsid w:val="000353E1"/>
    <w:rsid w:val="000362FF"/>
    <w:rsid w:val="0003657F"/>
    <w:rsid w:val="00037235"/>
    <w:rsid w:val="0003758B"/>
    <w:rsid w:val="00040706"/>
    <w:rsid w:val="00040734"/>
    <w:rsid w:val="000410AE"/>
    <w:rsid w:val="00041B5D"/>
    <w:rsid w:val="0004465B"/>
    <w:rsid w:val="00044AD0"/>
    <w:rsid w:val="00044E68"/>
    <w:rsid w:val="00045B1D"/>
    <w:rsid w:val="00046463"/>
    <w:rsid w:val="0005006A"/>
    <w:rsid w:val="000501DA"/>
    <w:rsid w:val="00050B4D"/>
    <w:rsid w:val="00051602"/>
    <w:rsid w:val="00052A6F"/>
    <w:rsid w:val="000536C3"/>
    <w:rsid w:val="000538CD"/>
    <w:rsid w:val="00056752"/>
    <w:rsid w:val="00056A5D"/>
    <w:rsid w:val="000576A2"/>
    <w:rsid w:val="0005786D"/>
    <w:rsid w:val="00061588"/>
    <w:rsid w:val="00062174"/>
    <w:rsid w:val="0006274F"/>
    <w:rsid w:val="00063DCB"/>
    <w:rsid w:val="00064245"/>
    <w:rsid w:val="00066134"/>
    <w:rsid w:val="00070A68"/>
    <w:rsid w:val="00070FAB"/>
    <w:rsid w:val="00070FB3"/>
    <w:rsid w:val="00072893"/>
    <w:rsid w:val="00073AD6"/>
    <w:rsid w:val="000744AB"/>
    <w:rsid w:val="00074786"/>
    <w:rsid w:val="00074BBE"/>
    <w:rsid w:val="000755E0"/>
    <w:rsid w:val="0007572F"/>
    <w:rsid w:val="00075799"/>
    <w:rsid w:val="0007582B"/>
    <w:rsid w:val="00075A12"/>
    <w:rsid w:val="000767EC"/>
    <w:rsid w:val="00077323"/>
    <w:rsid w:val="000773DB"/>
    <w:rsid w:val="00077688"/>
    <w:rsid w:val="0007777D"/>
    <w:rsid w:val="00077918"/>
    <w:rsid w:val="00077BD7"/>
    <w:rsid w:val="00077FC8"/>
    <w:rsid w:val="000802DA"/>
    <w:rsid w:val="00081DAB"/>
    <w:rsid w:val="000822C5"/>
    <w:rsid w:val="00082917"/>
    <w:rsid w:val="00083ECA"/>
    <w:rsid w:val="00084AD0"/>
    <w:rsid w:val="00085728"/>
    <w:rsid w:val="000858D7"/>
    <w:rsid w:val="00086551"/>
    <w:rsid w:val="00086E27"/>
    <w:rsid w:val="000870FA"/>
    <w:rsid w:val="000872D2"/>
    <w:rsid w:val="00087D01"/>
    <w:rsid w:val="00087F48"/>
    <w:rsid w:val="000901FB"/>
    <w:rsid w:val="000922EC"/>
    <w:rsid w:val="00092433"/>
    <w:rsid w:val="000925F4"/>
    <w:rsid w:val="00092B11"/>
    <w:rsid w:val="00092B82"/>
    <w:rsid w:val="000932F9"/>
    <w:rsid w:val="0009405D"/>
    <w:rsid w:val="000948E1"/>
    <w:rsid w:val="00095165"/>
    <w:rsid w:val="00097691"/>
    <w:rsid w:val="000A0174"/>
    <w:rsid w:val="000A0500"/>
    <w:rsid w:val="000A0E52"/>
    <w:rsid w:val="000A136A"/>
    <w:rsid w:val="000A1574"/>
    <w:rsid w:val="000A2163"/>
    <w:rsid w:val="000A2456"/>
    <w:rsid w:val="000A3F71"/>
    <w:rsid w:val="000A44B3"/>
    <w:rsid w:val="000A4AC0"/>
    <w:rsid w:val="000A65A7"/>
    <w:rsid w:val="000B055D"/>
    <w:rsid w:val="000B085B"/>
    <w:rsid w:val="000B0B17"/>
    <w:rsid w:val="000B0C8B"/>
    <w:rsid w:val="000B10F9"/>
    <w:rsid w:val="000B1606"/>
    <w:rsid w:val="000B31E1"/>
    <w:rsid w:val="000B38CD"/>
    <w:rsid w:val="000B50AD"/>
    <w:rsid w:val="000B57B0"/>
    <w:rsid w:val="000B5B35"/>
    <w:rsid w:val="000B617D"/>
    <w:rsid w:val="000B65C8"/>
    <w:rsid w:val="000B6674"/>
    <w:rsid w:val="000B66E8"/>
    <w:rsid w:val="000B6BC7"/>
    <w:rsid w:val="000B6E79"/>
    <w:rsid w:val="000B6EC9"/>
    <w:rsid w:val="000B70BA"/>
    <w:rsid w:val="000B7186"/>
    <w:rsid w:val="000B7507"/>
    <w:rsid w:val="000B7EC1"/>
    <w:rsid w:val="000C03B5"/>
    <w:rsid w:val="000C055F"/>
    <w:rsid w:val="000C0C03"/>
    <w:rsid w:val="000C0C4F"/>
    <w:rsid w:val="000C176D"/>
    <w:rsid w:val="000C1AB5"/>
    <w:rsid w:val="000C1DE6"/>
    <w:rsid w:val="000C1F50"/>
    <w:rsid w:val="000C3E13"/>
    <w:rsid w:val="000C41EE"/>
    <w:rsid w:val="000C4BF1"/>
    <w:rsid w:val="000C5227"/>
    <w:rsid w:val="000C741B"/>
    <w:rsid w:val="000C791A"/>
    <w:rsid w:val="000C7BFA"/>
    <w:rsid w:val="000C7C46"/>
    <w:rsid w:val="000D0001"/>
    <w:rsid w:val="000D05F8"/>
    <w:rsid w:val="000D0DE6"/>
    <w:rsid w:val="000D236D"/>
    <w:rsid w:val="000D2B05"/>
    <w:rsid w:val="000D2FD1"/>
    <w:rsid w:val="000D3C96"/>
    <w:rsid w:val="000D3E91"/>
    <w:rsid w:val="000D454E"/>
    <w:rsid w:val="000D5350"/>
    <w:rsid w:val="000D6E89"/>
    <w:rsid w:val="000D6EEF"/>
    <w:rsid w:val="000D6F8C"/>
    <w:rsid w:val="000E048F"/>
    <w:rsid w:val="000E06AD"/>
    <w:rsid w:val="000E1236"/>
    <w:rsid w:val="000E152D"/>
    <w:rsid w:val="000E2A18"/>
    <w:rsid w:val="000E2DAB"/>
    <w:rsid w:val="000E2FD7"/>
    <w:rsid w:val="000E376F"/>
    <w:rsid w:val="000E427B"/>
    <w:rsid w:val="000E4CE5"/>
    <w:rsid w:val="000E5712"/>
    <w:rsid w:val="000E5864"/>
    <w:rsid w:val="000E5AC4"/>
    <w:rsid w:val="000E6074"/>
    <w:rsid w:val="000E6256"/>
    <w:rsid w:val="000F0293"/>
    <w:rsid w:val="000F0780"/>
    <w:rsid w:val="000F0D0E"/>
    <w:rsid w:val="000F2E85"/>
    <w:rsid w:val="000F3BAB"/>
    <w:rsid w:val="000F3BBB"/>
    <w:rsid w:val="000F49BB"/>
    <w:rsid w:val="000F5759"/>
    <w:rsid w:val="000F5F4B"/>
    <w:rsid w:val="000F5F79"/>
    <w:rsid w:val="000F66C6"/>
    <w:rsid w:val="0010006F"/>
    <w:rsid w:val="00101543"/>
    <w:rsid w:val="001034F2"/>
    <w:rsid w:val="001049A9"/>
    <w:rsid w:val="00104AA5"/>
    <w:rsid w:val="00104D0E"/>
    <w:rsid w:val="0010545A"/>
    <w:rsid w:val="00105BC8"/>
    <w:rsid w:val="00106AB4"/>
    <w:rsid w:val="00107B80"/>
    <w:rsid w:val="00107BE5"/>
    <w:rsid w:val="00110455"/>
    <w:rsid w:val="0011079A"/>
    <w:rsid w:val="001112BD"/>
    <w:rsid w:val="00111F0B"/>
    <w:rsid w:val="001142EC"/>
    <w:rsid w:val="00115188"/>
    <w:rsid w:val="0011597D"/>
    <w:rsid w:val="00115B2D"/>
    <w:rsid w:val="00116409"/>
    <w:rsid w:val="00117886"/>
    <w:rsid w:val="0011789A"/>
    <w:rsid w:val="0012008A"/>
    <w:rsid w:val="001204D9"/>
    <w:rsid w:val="00120B2F"/>
    <w:rsid w:val="00120D72"/>
    <w:rsid w:val="001211C7"/>
    <w:rsid w:val="001217FC"/>
    <w:rsid w:val="001223FE"/>
    <w:rsid w:val="001224B8"/>
    <w:rsid w:val="001232E4"/>
    <w:rsid w:val="00123E8A"/>
    <w:rsid w:val="00123F5B"/>
    <w:rsid w:val="00124D92"/>
    <w:rsid w:val="0012592A"/>
    <w:rsid w:val="00125AD5"/>
    <w:rsid w:val="00125DEF"/>
    <w:rsid w:val="001273F7"/>
    <w:rsid w:val="001319A8"/>
    <w:rsid w:val="00132D62"/>
    <w:rsid w:val="00133028"/>
    <w:rsid w:val="0013357D"/>
    <w:rsid w:val="001335BA"/>
    <w:rsid w:val="001338E7"/>
    <w:rsid w:val="00135B46"/>
    <w:rsid w:val="00136408"/>
    <w:rsid w:val="0013739A"/>
    <w:rsid w:val="00137427"/>
    <w:rsid w:val="00140367"/>
    <w:rsid w:val="00140B33"/>
    <w:rsid w:val="00140C4D"/>
    <w:rsid w:val="00141B00"/>
    <w:rsid w:val="00141CD2"/>
    <w:rsid w:val="001423B5"/>
    <w:rsid w:val="001428AA"/>
    <w:rsid w:val="00142D08"/>
    <w:rsid w:val="001436C8"/>
    <w:rsid w:val="0014376F"/>
    <w:rsid w:val="00144514"/>
    <w:rsid w:val="001456D2"/>
    <w:rsid w:val="001458AA"/>
    <w:rsid w:val="00145E41"/>
    <w:rsid w:val="00145F78"/>
    <w:rsid w:val="001460D1"/>
    <w:rsid w:val="00146164"/>
    <w:rsid w:val="00146C9D"/>
    <w:rsid w:val="00147EF3"/>
    <w:rsid w:val="001509CF"/>
    <w:rsid w:val="00150EFD"/>
    <w:rsid w:val="001524A9"/>
    <w:rsid w:val="00152685"/>
    <w:rsid w:val="00153976"/>
    <w:rsid w:val="00153F98"/>
    <w:rsid w:val="00155320"/>
    <w:rsid w:val="0015541D"/>
    <w:rsid w:val="00156897"/>
    <w:rsid w:val="00156F59"/>
    <w:rsid w:val="00156F79"/>
    <w:rsid w:val="00156FA4"/>
    <w:rsid w:val="00157118"/>
    <w:rsid w:val="001571EC"/>
    <w:rsid w:val="00157FF2"/>
    <w:rsid w:val="00160629"/>
    <w:rsid w:val="00160EAD"/>
    <w:rsid w:val="00160F1C"/>
    <w:rsid w:val="001624FB"/>
    <w:rsid w:val="00163195"/>
    <w:rsid w:val="00163EAB"/>
    <w:rsid w:val="001641E7"/>
    <w:rsid w:val="0016427D"/>
    <w:rsid w:val="001644F4"/>
    <w:rsid w:val="00165860"/>
    <w:rsid w:val="00165DA0"/>
    <w:rsid w:val="0016667D"/>
    <w:rsid w:val="001701F6"/>
    <w:rsid w:val="00171BF3"/>
    <w:rsid w:val="00171FFC"/>
    <w:rsid w:val="001744AE"/>
    <w:rsid w:val="001745BF"/>
    <w:rsid w:val="001745C6"/>
    <w:rsid w:val="00174AB9"/>
    <w:rsid w:val="00175905"/>
    <w:rsid w:val="00176351"/>
    <w:rsid w:val="001763EB"/>
    <w:rsid w:val="00177DE5"/>
    <w:rsid w:val="0018044C"/>
    <w:rsid w:val="00180692"/>
    <w:rsid w:val="00180E3E"/>
    <w:rsid w:val="00180F1E"/>
    <w:rsid w:val="00181479"/>
    <w:rsid w:val="001822D1"/>
    <w:rsid w:val="00182B0A"/>
    <w:rsid w:val="00182B8E"/>
    <w:rsid w:val="00182DB7"/>
    <w:rsid w:val="00182E57"/>
    <w:rsid w:val="00182F48"/>
    <w:rsid w:val="00182FAA"/>
    <w:rsid w:val="00183475"/>
    <w:rsid w:val="0018359B"/>
    <w:rsid w:val="00183675"/>
    <w:rsid w:val="00183A31"/>
    <w:rsid w:val="00183EA1"/>
    <w:rsid w:val="00184B44"/>
    <w:rsid w:val="00185384"/>
    <w:rsid w:val="001853EC"/>
    <w:rsid w:val="0018676F"/>
    <w:rsid w:val="0019052B"/>
    <w:rsid w:val="001909DD"/>
    <w:rsid w:val="00190AFD"/>
    <w:rsid w:val="00191CA5"/>
    <w:rsid w:val="00192446"/>
    <w:rsid w:val="0019287B"/>
    <w:rsid w:val="00193B1B"/>
    <w:rsid w:val="001944A4"/>
    <w:rsid w:val="0019477C"/>
    <w:rsid w:val="00195279"/>
    <w:rsid w:val="001954E4"/>
    <w:rsid w:val="00195802"/>
    <w:rsid w:val="00196265"/>
    <w:rsid w:val="00196316"/>
    <w:rsid w:val="0019736B"/>
    <w:rsid w:val="001A0491"/>
    <w:rsid w:val="001A0DAA"/>
    <w:rsid w:val="001A19E5"/>
    <w:rsid w:val="001A3E29"/>
    <w:rsid w:val="001A3F40"/>
    <w:rsid w:val="001A54C8"/>
    <w:rsid w:val="001A56AA"/>
    <w:rsid w:val="001A69FC"/>
    <w:rsid w:val="001A71BD"/>
    <w:rsid w:val="001A7326"/>
    <w:rsid w:val="001A7ADA"/>
    <w:rsid w:val="001B025A"/>
    <w:rsid w:val="001B054F"/>
    <w:rsid w:val="001B0BEB"/>
    <w:rsid w:val="001B1253"/>
    <w:rsid w:val="001B3C66"/>
    <w:rsid w:val="001B4219"/>
    <w:rsid w:val="001B6F1B"/>
    <w:rsid w:val="001B70CA"/>
    <w:rsid w:val="001B717D"/>
    <w:rsid w:val="001C095F"/>
    <w:rsid w:val="001C15C7"/>
    <w:rsid w:val="001C1931"/>
    <w:rsid w:val="001C19A9"/>
    <w:rsid w:val="001C3073"/>
    <w:rsid w:val="001C3C97"/>
    <w:rsid w:val="001C4D83"/>
    <w:rsid w:val="001C4DA7"/>
    <w:rsid w:val="001C62E4"/>
    <w:rsid w:val="001C65A2"/>
    <w:rsid w:val="001C6D59"/>
    <w:rsid w:val="001C7334"/>
    <w:rsid w:val="001D05A4"/>
    <w:rsid w:val="001D05A6"/>
    <w:rsid w:val="001D1787"/>
    <w:rsid w:val="001D1C16"/>
    <w:rsid w:val="001D2456"/>
    <w:rsid w:val="001D28F9"/>
    <w:rsid w:val="001D2DB8"/>
    <w:rsid w:val="001D3B98"/>
    <w:rsid w:val="001D4BB7"/>
    <w:rsid w:val="001D54F8"/>
    <w:rsid w:val="001D5A16"/>
    <w:rsid w:val="001D6173"/>
    <w:rsid w:val="001D61DB"/>
    <w:rsid w:val="001D64A0"/>
    <w:rsid w:val="001D6D66"/>
    <w:rsid w:val="001D7883"/>
    <w:rsid w:val="001E3F87"/>
    <w:rsid w:val="001E45AD"/>
    <w:rsid w:val="001E4FC8"/>
    <w:rsid w:val="001E593B"/>
    <w:rsid w:val="001E5C48"/>
    <w:rsid w:val="001E623B"/>
    <w:rsid w:val="001E7D28"/>
    <w:rsid w:val="001F0580"/>
    <w:rsid w:val="001F124F"/>
    <w:rsid w:val="001F1426"/>
    <w:rsid w:val="001F174F"/>
    <w:rsid w:val="001F2645"/>
    <w:rsid w:val="001F4591"/>
    <w:rsid w:val="001F4C95"/>
    <w:rsid w:val="001F4FCC"/>
    <w:rsid w:val="001F5B54"/>
    <w:rsid w:val="001F653A"/>
    <w:rsid w:val="001F6CC1"/>
    <w:rsid w:val="001F6D22"/>
    <w:rsid w:val="001F7A4A"/>
    <w:rsid w:val="0020044B"/>
    <w:rsid w:val="00200671"/>
    <w:rsid w:val="00200822"/>
    <w:rsid w:val="0020143F"/>
    <w:rsid w:val="0020237C"/>
    <w:rsid w:val="00203426"/>
    <w:rsid w:val="002038C0"/>
    <w:rsid w:val="00203EE3"/>
    <w:rsid w:val="002040F1"/>
    <w:rsid w:val="002042D7"/>
    <w:rsid w:val="0020489A"/>
    <w:rsid w:val="002050F6"/>
    <w:rsid w:val="0020538A"/>
    <w:rsid w:val="00205AFC"/>
    <w:rsid w:val="0020616B"/>
    <w:rsid w:val="00206316"/>
    <w:rsid w:val="00206511"/>
    <w:rsid w:val="002078F2"/>
    <w:rsid w:val="00207D41"/>
    <w:rsid w:val="002104ED"/>
    <w:rsid w:val="00211115"/>
    <w:rsid w:val="00212881"/>
    <w:rsid w:val="002133C8"/>
    <w:rsid w:val="002137AD"/>
    <w:rsid w:val="00213D28"/>
    <w:rsid w:val="00213D92"/>
    <w:rsid w:val="00214387"/>
    <w:rsid w:val="002143CF"/>
    <w:rsid w:val="00214ACA"/>
    <w:rsid w:val="00214DC2"/>
    <w:rsid w:val="00215BD1"/>
    <w:rsid w:val="00217A87"/>
    <w:rsid w:val="00217C16"/>
    <w:rsid w:val="0022106F"/>
    <w:rsid w:val="002213EA"/>
    <w:rsid w:val="002218EF"/>
    <w:rsid w:val="00223604"/>
    <w:rsid w:val="002244FF"/>
    <w:rsid w:val="00224AA4"/>
    <w:rsid w:val="002255EC"/>
    <w:rsid w:val="002257E3"/>
    <w:rsid w:val="0022618B"/>
    <w:rsid w:val="00226331"/>
    <w:rsid w:val="002265E3"/>
    <w:rsid w:val="00227C00"/>
    <w:rsid w:val="002309FF"/>
    <w:rsid w:val="002310CA"/>
    <w:rsid w:val="002313F5"/>
    <w:rsid w:val="00231885"/>
    <w:rsid w:val="002323C5"/>
    <w:rsid w:val="002333A7"/>
    <w:rsid w:val="002333D5"/>
    <w:rsid w:val="002335CE"/>
    <w:rsid w:val="00233B6F"/>
    <w:rsid w:val="00236D54"/>
    <w:rsid w:val="00237EF2"/>
    <w:rsid w:val="002402E7"/>
    <w:rsid w:val="0024184E"/>
    <w:rsid w:val="0024197F"/>
    <w:rsid w:val="00242033"/>
    <w:rsid w:val="002427D1"/>
    <w:rsid w:val="00242C5C"/>
    <w:rsid w:val="002439D4"/>
    <w:rsid w:val="002448A5"/>
    <w:rsid w:val="00244D2B"/>
    <w:rsid w:val="00245A02"/>
    <w:rsid w:val="0024609E"/>
    <w:rsid w:val="002470C8"/>
    <w:rsid w:val="00247D88"/>
    <w:rsid w:val="00250900"/>
    <w:rsid w:val="00251A7E"/>
    <w:rsid w:val="00251C19"/>
    <w:rsid w:val="00252377"/>
    <w:rsid w:val="00252EA6"/>
    <w:rsid w:val="00253066"/>
    <w:rsid w:val="002539B9"/>
    <w:rsid w:val="00253BEE"/>
    <w:rsid w:val="002551A9"/>
    <w:rsid w:val="002568C7"/>
    <w:rsid w:val="002568E0"/>
    <w:rsid w:val="00256FC4"/>
    <w:rsid w:val="002574BD"/>
    <w:rsid w:val="00257569"/>
    <w:rsid w:val="002577DB"/>
    <w:rsid w:val="002578A6"/>
    <w:rsid w:val="00257D5F"/>
    <w:rsid w:val="00261180"/>
    <w:rsid w:val="00261214"/>
    <w:rsid w:val="00261233"/>
    <w:rsid w:val="00261398"/>
    <w:rsid w:val="0026256D"/>
    <w:rsid w:val="002630B9"/>
    <w:rsid w:val="002642A3"/>
    <w:rsid w:val="00264329"/>
    <w:rsid w:val="00265362"/>
    <w:rsid w:val="00265486"/>
    <w:rsid w:val="002658E3"/>
    <w:rsid w:val="00266BCA"/>
    <w:rsid w:val="0026702D"/>
    <w:rsid w:val="00267455"/>
    <w:rsid w:val="00267E88"/>
    <w:rsid w:val="00270005"/>
    <w:rsid w:val="00270B19"/>
    <w:rsid w:val="00270D71"/>
    <w:rsid w:val="00272394"/>
    <w:rsid w:val="0027299F"/>
    <w:rsid w:val="00272AAF"/>
    <w:rsid w:val="00272C3F"/>
    <w:rsid w:val="00273E70"/>
    <w:rsid w:val="00274378"/>
    <w:rsid w:val="00274FFF"/>
    <w:rsid w:val="00275B33"/>
    <w:rsid w:val="00275BE2"/>
    <w:rsid w:val="00276CF3"/>
    <w:rsid w:val="00276F01"/>
    <w:rsid w:val="00280C2B"/>
    <w:rsid w:val="00281289"/>
    <w:rsid w:val="002817CE"/>
    <w:rsid w:val="00281AF4"/>
    <w:rsid w:val="00281DE9"/>
    <w:rsid w:val="002824A7"/>
    <w:rsid w:val="0028257B"/>
    <w:rsid w:val="00282E5F"/>
    <w:rsid w:val="00283C8A"/>
    <w:rsid w:val="002847AA"/>
    <w:rsid w:val="00284A65"/>
    <w:rsid w:val="00284A9D"/>
    <w:rsid w:val="00286633"/>
    <w:rsid w:val="00286E39"/>
    <w:rsid w:val="002874D0"/>
    <w:rsid w:val="00287B3A"/>
    <w:rsid w:val="00290490"/>
    <w:rsid w:val="0029059C"/>
    <w:rsid w:val="002919CD"/>
    <w:rsid w:val="00293221"/>
    <w:rsid w:val="00294927"/>
    <w:rsid w:val="00295B43"/>
    <w:rsid w:val="00296349"/>
    <w:rsid w:val="00296982"/>
    <w:rsid w:val="00296AD4"/>
    <w:rsid w:val="00297F77"/>
    <w:rsid w:val="002A0132"/>
    <w:rsid w:val="002A0419"/>
    <w:rsid w:val="002A0747"/>
    <w:rsid w:val="002A0D9E"/>
    <w:rsid w:val="002A0E9A"/>
    <w:rsid w:val="002A128F"/>
    <w:rsid w:val="002A1C59"/>
    <w:rsid w:val="002A2AC7"/>
    <w:rsid w:val="002A2AC9"/>
    <w:rsid w:val="002A2D5B"/>
    <w:rsid w:val="002A31F5"/>
    <w:rsid w:val="002A32BD"/>
    <w:rsid w:val="002A528F"/>
    <w:rsid w:val="002A5971"/>
    <w:rsid w:val="002A720D"/>
    <w:rsid w:val="002B0D76"/>
    <w:rsid w:val="002B2463"/>
    <w:rsid w:val="002B2CF4"/>
    <w:rsid w:val="002B43E3"/>
    <w:rsid w:val="002B4913"/>
    <w:rsid w:val="002B50E5"/>
    <w:rsid w:val="002B5A8D"/>
    <w:rsid w:val="002B5FB9"/>
    <w:rsid w:val="002B6802"/>
    <w:rsid w:val="002C0925"/>
    <w:rsid w:val="002C0F9E"/>
    <w:rsid w:val="002C172C"/>
    <w:rsid w:val="002C1883"/>
    <w:rsid w:val="002C21AD"/>
    <w:rsid w:val="002C2FE4"/>
    <w:rsid w:val="002C33D1"/>
    <w:rsid w:val="002C4BFB"/>
    <w:rsid w:val="002C4D98"/>
    <w:rsid w:val="002C4DEB"/>
    <w:rsid w:val="002C4EA4"/>
    <w:rsid w:val="002C5463"/>
    <w:rsid w:val="002C56F9"/>
    <w:rsid w:val="002C589D"/>
    <w:rsid w:val="002C6866"/>
    <w:rsid w:val="002C6B65"/>
    <w:rsid w:val="002C7709"/>
    <w:rsid w:val="002C7A55"/>
    <w:rsid w:val="002D1C5D"/>
    <w:rsid w:val="002D1DA9"/>
    <w:rsid w:val="002D21AC"/>
    <w:rsid w:val="002D28B5"/>
    <w:rsid w:val="002D2C91"/>
    <w:rsid w:val="002D43BD"/>
    <w:rsid w:val="002D5337"/>
    <w:rsid w:val="002D6A23"/>
    <w:rsid w:val="002D6D41"/>
    <w:rsid w:val="002D746F"/>
    <w:rsid w:val="002D7A54"/>
    <w:rsid w:val="002D7C64"/>
    <w:rsid w:val="002D7C83"/>
    <w:rsid w:val="002D7D8A"/>
    <w:rsid w:val="002E077B"/>
    <w:rsid w:val="002E09EB"/>
    <w:rsid w:val="002E0D07"/>
    <w:rsid w:val="002E3355"/>
    <w:rsid w:val="002E5546"/>
    <w:rsid w:val="002E59F8"/>
    <w:rsid w:val="002E6A18"/>
    <w:rsid w:val="002E6E9B"/>
    <w:rsid w:val="002E7295"/>
    <w:rsid w:val="002E7C9B"/>
    <w:rsid w:val="002E7E16"/>
    <w:rsid w:val="002F056A"/>
    <w:rsid w:val="002F0822"/>
    <w:rsid w:val="002F0875"/>
    <w:rsid w:val="002F0EB2"/>
    <w:rsid w:val="002F24B5"/>
    <w:rsid w:val="002F24FA"/>
    <w:rsid w:val="002F26BA"/>
    <w:rsid w:val="002F311E"/>
    <w:rsid w:val="002F6095"/>
    <w:rsid w:val="002F7E18"/>
    <w:rsid w:val="002F7F1C"/>
    <w:rsid w:val="0030038D"/>
    <w:rsid w:val="003008AA"/>
    <w:rsid w:val="00300AF9"/>
    <w:rsid w:val="00301048"/>
    <w:rsid w:val="0030318D"/>
    <w:rsid w:val="003045B3"/>
    <w:rsid w:val="00304F66"/>
    <w:rsid w:val="00304F6E"/>
    <w:rsid w:val="00305345"/>
    <w:rsid w:val="00305772"/>
    <w:rsid w:val="0030652F"/>
    <w:rsid w:val="00307E38"/>
    <w:rsid w:val="003104E3"/>
    <w:rsid w:val="00310EA4"/>
    <w:rsid w:val="00310F05"/>
    <w:rsid w:val="00311388"/>
    <w:rsid w:val="003114A8"/>
    <w:rsid w:val="00312099"/>
    <w:rsid w:val="0031261F"/>
    <w:rsid w:val="00312CFF"/>
    <w:rsid w:val="003133F1"/>
    <w:rsid w:val="003133FA"/>
    <w:rsid w:val="00313DE1"/>
    <w:rsid w:val="00314275"/>
    <w:rsid w:val="00315153"/>
    <w:rsid w:val="00315FCB"/>
    <w:rsid w:val="0031698B"/>
    <w:rsid w:val="00316A87"/>
    <w:rsid w:val="00320684"/>
    <w:rsid w:val="0032211A"/>
    <w:rsid w:val="0032347C"/>
    <w:rsid w:val="003250DB"/>
    <w:rsid w:val="00325D73"/>
    <w:rsid w:val="0033011E"/>
    <w:rsid w:val="0033058A"/>
    <w:rsid w:val="00330CB0"/>
    <w:rsid w:val="00331E33"/>
    <w:rsid w:val="00331EC1"/>
    <w:rsid w:val="0033233E"/>
    <w:rsid w:val="0033305F"/>
    <w:rsid w:val="003331BE"/>
    <w:rsid w:val="003331C5"/>
    <w:rsid w:val="00333B65"/>
    <w:rsid w:val="00334D32"/>
    <w:rsid w:val="00335937"/>
    <w:rsid w:val="00336FE6"/>
    <w:rsid w:val="003375D2"/>
    <w:rsid w:val="0034055D"/>
    <w:rsid w:val="00340B5E"/>
    <w:rsid w:val="00340E1D"/>
    <w:rsid w:val="003414B3"/>
    <w:rsid w:val="00341F81"/>
    <w:rsid w:val="00342B46"/>
    <w:rsid w:val="003431C6"/>
    <w:rsid w:val="00343302"/>
    <w:rsid w:val="00343812"/>
    <w:rsid w:val="00344E79"/>
    <w:rsid w:val="0034581A"/>
    <w:rsid w:val="00345DB6"/>
    <w:rsid w:val="0034638F"/>
    <w:rsid w:val="003519F3"/>
    <w:rsid w:val="0035263B"/>
    <w:rsid w:val="003527A0"/>
    <w:rsid w:val="003527DE"/>
    <w:rsid w:val="0035333F"/>
    <w:rsid w:val="003543E9"/>
    <w:rsid w:val="003573D5"/>
    <w:rsid w:val="003608D9"/>
    <w:rsid w:val="00361C21"/>
    <w:rsid w:val="00361F1E"/>
    <w:rsid w:val="00363FA4"/>
    <w:rsid w:val="0036403C"/>
    <w:rsid w:val="00364510"/>
    <w:rsid w:val="0036711C"/>
    <w:rsid w:val="00367646"/>
    <w:rsid w:val="00367931"/>
    <w:rsid w:val="00367EEE"/>
    <w:rsid w:val="00370306"/>
    <w:rsid w:val="003703DB"/>
    <w:rsid w:val="00370642"/>
    <w:rsid w:val="003709F2"/>
    <w:rsid w:val="00370A6B"/>
    <w:rsid w:val="00372039"/>
    <w:rsid w:val="0037259D"/>
    <w:rsid w:val="00372AB3"/>
    <w:rsid w:val="003740F9"/>
    <w:rsid w:val="003756E7"/>
    <w:rsid w:val="00375D16"/>
    <w:rsid w:val="00375ED1"/>
    <w:rsid w:val="00376C44"/>
    <w:rsid w:val="00377040"/>
    <w:rsid w:val="003779EB"/>
    <w:rsid w:val="00380803"/>
    <w:rsid w:val="003846C2"/>
    <w:rsid w:val="00385008"/>
    <w:rsid w:val="00386546"/>
    <w:rsid w:val="00387850"/>
    <w:rsid w:val="00390AF7"/>
    <w:rsid w:val="00390F42"/>
    <w:rsid w:val="003916F4"/>
    <w:rsid w:val="00391C74"/>
    <w:rsid w:val="00391D0D"/>
    <w:rsid w:val="00391D1E"/>
    <w:rsid w:val="00392CCA"/>
    <w:rsid w:val="003936C4"/>
    <w:rsid w:val="00393972"/>
    <w:rsid w:val="00394446"/>
    <w:rsid w:val="003946CE"/>
    <w:rsid w:val="00394CDE"/>
    <w:rsid w:val="00394D92"/>
    <w:rsid w:val="00394E59"/>
    <w:rsid w:val="003960E8"/>
    <w:rsid w:val="003965E4"/>
    <w:rsid w:val="00396B7B"/>
    <w:rsid w:val="003970CA"/>
    <w:rsid w:val="003979D6"/>
    <w:rsid w:val="003A07D7"/>
    <w:rsid w:val="003A0E41"/>
    <w:rsid w:val="003A147F"/>
    <w:rsid w:val="003A3DA2"/>
    <w:rsid w:val="003A54F0"/>
    <w:rsid w:val="003A5B5E"/>
    <w:rsid w:val="003A616C"/>
    <w:rsid w:val="003A6E88"/>
    <w:rsid w:val="003A744D"/>
    <w:rsid w:val="003A75A7"/>
    <w:rsid w:val="003A79CC"/>
    <w:rsid w:val="003A7E7B"/>
    <w:rsid w:val="003A7F73"/>
    <w:rsid w:val="003B036A"/>
    <w:rsid w:val="003B1750"/>
    <w:rsid w:val="003B1BDC"/>
    <w:rsid w:val="003B1C77"/>
    <w:rsid w:val="003B1CEF"/>
    <w:rsid w:val="003B271C"/>
    <w:rsid w:val="003B291E"/>
    <w:rsid w:val="003B2A41"/>
    <w:rsid w:val="003B2AB4"/>
    <w:rsid w:val="003B2C25"/>
    <w:rsid w:val="003B30A1"/>
    <w:rsid w:val="003B3712"/>
    <w:rsid w:val="003B3E0E"/>
    <w:rsid w:val="003B5018"/>
    <w:rsid w:val="003B5691"/>
    <w:rsid w:val="003B6054"/>
    <w:rsid w:val="003B6115"/>
    <w:rsid w:val="003B65DD"/>
    <w:rsid w:val="003B662D"/>
    <w:rsid w:val="003B7D15"/>
    <w:rsid w:val="003B7F23"/>
    <w:rsid w:val="003C0521"/>
    <w:rsid w:val="003C0921"/>
    <w:rsid w:val="003C0E79"/>
    <w:rsid w:val="003C1B15"/>
    <w:rsid w:val="003C29CF"/>
    <w:rsid w:val="003C3AA7"/>
    <w:rsid w:val="003C4480"/>
    <w:rsid w:val="003C45BC"/>
    <w:rsid w:val="003C4FFB"/>
    <w:rsid w:val="003C5B0E"/>
    <w:rsid w:val="003C5D2A"/>
    <w:rsid w:val="003C61F8"/>
    <w:rsid w:val="003C6DE6"/>
    <w:rsid w:val="003C7713"/>
    <w:rsid w:val="003C7CB8"/>
    <w:rsid w:val="003D0D41"/>
    <w:rsid w:val="003D28FA"/>
    <w:rsid w:val="003D29BC"/>
    <w:rsid w:val="003D329A"/>
    <w:rsid w:val="003D365D"/>
    <w:rsid w:val="003D43C9"/>
    <w:rsid w:val="003D593C"/>
    <w:rsid w:val="003D64C8"/>
    <w:rsid w:val="003D65AA"/>
    <w:rsid w:val="003D6B81"/>
    <w:rsid w:val="003D74A7"/>
    <w:rsid w:val="003E0128"/>
    <w:rsid w:val="003E053F"/>
    <w:rsid w:val="003E11C3"/>
    <w:rsid w:val="003E29A0"/>
    <w:rsid w:val="003E3866"/>
    <w:rsid w:val="003E4D96"/>
    <w:rsid w:val="003E5C23"/>
    <w:rsid w:val="003E60CA"/>
    <w:rsid w:val="003E67D8"/>
    <w:rsid w:val="003E7428"/>
    <w:rsid w:val="003E754E"/>
    <w:rsid w:val="003E769F"/>
    <w:rsid w:val="003F037A"/>
    <w:rsid w:val="003F0E77"/>
    <w:rsid w:val="003F116C"/>
    <w:rsid w:val="003F1E22"/>
    <w:rsid w:val="003F26A4"/>
    <w:rsid w:val="003F3218"/>
    <w:rsid w:val="003F3BAA"/>
    <w:rsid w:val="003F406B"/>
    <w:rsid w:val="003F4321"/>
    <w:rsid w:val="003F478B"/>
    <w:rsid w:val="003F582B"/>
    <w:rsid w:val="003F5BA6"/>
    <w:rsid w:val="003F7489"/>
    <w:rsid w:val="004017CF"/>
    <w:rsid w:val="0040181A"/>
    <w:rsid w:val="004035D4"/>
    <w:rsid w:val="0040362E"/>
    <w:rsid w:val="00403C87"/>
    <w:rsid w:val="00404431"/>
    <w:rsid w:val="00404F98"/>
    <w:rsid w:val="004050C5"/>
    <w:rsid w:val="00405172"/>
    <w:rsid w:val="0040588F"/>
    <w:rsid w:val="00406FBF"/>
    <w:rsid w:val="00407886"/>
    <w:rsid w:val="00407F8C"/>
    <w:rsid w:val="00411857"/>
    <w:rsid w:val="00411BC0"/>
    <w:rsid w:val="00411F40"/>
    <w:rsid w:val="0041200E"/>
    <w:rsid w:val="00412534"/>
    <w:rsid w:val="004125EC"/>
    <w:rsid w:val="00412C9B"/>
    <w:rsid w:val="00412DFE"/>
    <w:rsid w:val="00413610"/>
    <w:rsid w:val="0041381F"/>
    <w:rsid w:val="004149E8"/>
    <w:rsid w:val="00414B9D"/>
    <w:rsid w:val="0041573E"/>
    <w:rsid w:val="00415D77"/>
    <w:rsid w:val="004169C0"/>
    <w:rsid w:val="00417AB8"/>
    <w:rsid w:val="00417FBB"/>
    <w:rsid w:val="004204AB"/>
    <w:rsid w:val="00420595"/>
    <w:rsid w:val="00420F17"/>
    <w:rsid w:val="004211D1"/>
    <w:rsid w:val="00421245"/>
    <w:rsid w:val="00421290"/>
    <w:rsid w:val="0042188F"/>
    <w:rsid w:val="00421B56"/>
    <w:rsid w:val="004223C6"/>
    <w:rsid w:val="00422846"/>
    <w:rsid w:val="004232EF"/>
    <w:rsid w:val="00423371"/>
    <w:rsid w:val="00423437"/>
    <w:rsid w:val="0042366A"/>
    <w:rsid w:val="00424658"/>
    <w:rsid w:val="00424859"/>
    <w:rsid w:val="0042524D"/>
    <w:rsid w:val="00430554"/>
    <w:rsid w:val="0043078B"/>
    <w:rsid w:val="004307A0"/>
    <w:rsid w:val="004308F3"/>
    <w:rsid w:val="00430B1A"/>
    <w:rsid w:val="00430BF1"/>
    <w:rsid w:val="004318CE"/>
    <w:rsid w:val="004326F6"/>
    <w:rsid w:val="00432FD9"/>
    <w:rsid w:val="00434506"/>
    <w:rsid w:val="00435375"/>
    <w:rsid w:val="00440272"/>
    <w:rsid w:val="0044035B"/>
    <w:rsid w:val="00440DA1"/>
    <w:rsid w:val="00442450"/>
    <w:rsid w:val="0044281B"/>
    <w:rsid w:val="00442BF8"/>
    <w:rsid w:val="004436EA"/>
    <w:rsid w:val="004448A2"/>
    <w:rsid w:val="004456F7"/>
    <w:rsid w:val="00446325"/>
    <w:rsid w:val="004466A2"/>
    <w:rsid w:val="00446F0C"/>
    <w:rsid w:val="00447A17"/>
    <w:rsid w:val="0045007F"/>
    <w:rsid w:val="004507CF"/>
    <w:rsid w:val="00450FCE"/>
    <w:rsid w:val="0045115A"/>
    <w:rsid w:val="00451515"/>
    <w:rsid w:val="00451A74"/>
    <w:rsid w:val="00452026"/>
    <w:rsid w:val="004521BC"/>
    <w:rsid w:val="004521D5"/>
    <w:rsid w:val="0045292C"/>
    <w:rsid w:val="00452E4C"/>
    <w:rsid w:val="0045318D"/>
    <w:rsid w:val="00453319"/>
    <w:rsid w:val="00453A03"/>
    <w:rsid w:val="00454193"/>
    <w:rsid w:val="00454876"/>
    <w:rsid w:val="00454D0C"/>
    <w:rsid w:val="00456286"/>
    <w:rsid w:val="00460C4E"/>
    <w:rsid w:val="00461B0C"/>
    <w:rsid w:val="00462514"/>
    <w:rsid w:val="00463614"/>
    <w:rsid w:val="00463CBB"/>
    <w:rsid w:val="00465160"/>
    <w:rsid w:val="004657A4"/>
    <w:rsid w:val="00465AE8"/>
    <w:rsid w:val="00466837"/>
    <w:rsid w:val="00467F2A"/>
    <w:rsid w:val="0047049C"/>
    <w:rsid w:val="004710AD"/>
    <w:rsid w:val="004712AD"/>
    <w:rsid w:val="004717EC"/>
    <w:rsid w:val="004722FB"/>
    <w:rsid w:val="00472321"/>
    <w:rsid w:val="00472D1E"/>
    <w:rsid w:val="00472E06"/>
    <w:rsid w:val="00473777"/>
    <w:rsid w:val="004746D1"/>
    <w:rsid w:val="00475121"/>
    <w:rsid w:val="0047565D"/>
    <w:rsid w:val="004759A6"/>
    <w:rsid w:val="00475E92"/>
    <w:rsid w:val="00477135"/>
    <w:rsid w:val="00480D66"/>
    <w:rsid w:val="00480F01"/>
    <w:rsid w:val="00481344"/>
    <w:rsid w:val="00481400"/>
    <w:rsid w:val="00481F2F"/>
    <w:rsid w:val="00482B7E"/>
    <w:rsid w:val="00482EF4"/>
    <w:rsid w:val="00483875"/>
    <w:rsid w:val="004844E5"/>
    <w:rsid w:val="00484860"/>
    <w:rsid w:val="00484EF3"/>
    <w:rsid w:val="004866E0"/>
    <w:rsid w:val="0048682C"/>
    <w:rsid w:val="00487D17"/>
    <w:rsid w:val="004912AF"/>
    <w:rsid w:val="004917D1"/>
    <w:rsid w:val="00493019"/>
    <w:rsid w:val="00493884"/>
    <w:rsid w:val="00493D60"/>
    <w:rsid w:val="00494B0C"/>
    <w:rsid w:val="004953D4"/>
    <w:rsid w:val="00495450"/>
    <w:rsid w:val="00495F39"/>
    <w:rsid w:val="00496886"/>
    <w:rsid w:val="004970B4"/>
    <w:rsid w:val="00497728"/>
    <w:rsid w:val="004A079D"/>
    <w:rsid w:val="004A14BD"/>
    <w:rsid w:val="004A1843"/>
    <w:rsid w:val="004A20A4"/>
    <w:rsid w:val="004A290B"/>
    <w:rsid w:val="004A40CD"/>
    <w:rsid w:val="004A43AF"/>
    <w:rsid w:val="004A43B6"/>
    <w:rsid w:val="004A53F5"/>
    <w:rsid w:val="004A5DE5"/>
    <w:rsid w:val="004B0C9A"/>
    <w:rsid w:val="004B0D70"/>
    <w:rsid w:val="004B1443"/>
    <w:rsid w:val="004B2A43"/>
    <w:rsid w:val="004B33C8"/>
    <w:rsid w:val="004B36ED"/>
    <w:rsid w:val="004B3FEB"/>
    <w:rsid w:val="004B4922"/>
    <w:rsid w:val="004B4F11"/>
    <w:rsid w:val="004B5900"/>
    <w:rsid w:val="004B5BA3"/>
    <w:rsid w:val="004B76A1"/>
    <w:rsid w:val="004B7950"/>
    <w:rsid w:val="004B7F33"/>
    <w:rsid w:val="004C06FF"/>
    <w:rsid w:val="004C0795"/>
    <w:rsid w:val="004C2036"/>
    <w:rsid w:val="004C2D5F"/>
    <w:rsid w:val="004C3C90"/>
    <w:rsid w:val="004C42BD"/>
    <w:rsid w:val="004C4397"/>
    <w:rsid w:val="004C50DD"/>
    <w:rsid w:val="004C513F"/>
    <w:rsid w:val="004C5884"/>
    <w:rsid w:val="004C598B"/>
    <w:rsid w:val="004C5E6E"/>
    <w:rsid w:val="004C5EEB"/>
    <w:rsid w:val="004C666B"/>
    <w:rsid w:val="004C7973"/>
    <w:rsid w:val="004C7DA4"/>
    <w:rsid w:val="004D0982"/>
    <w:rsid w:val="004D0CC7"/>
    <w:rsid w:val="004D1298"/>
    <w:rsid w:val="004D1647"/>
    <w:rsid w:val="004D1942"/>
    <w:rsid w:val="004D21D8"/>
    <w:rsid w:val="004D2534"/>
    <w:rsid w:val="004D270D"/>
    <w:rsid w:val="004D28AC"/>
    <w:rsid w:val="004D3417"/>
    <w:rsid w:val="004D3772"/>
    <w:rsid w:val="004D3987"/>
    <w:rsid w:val="004D45CD"/>
    <w:rsid w:val="004D4E63"/>
    <w:rsid w:val="004D575A"/>
    <w:rsid w:val="004D5986"/>
    <w:rsid w:val="004D66DA"/>
    <w:rsid w:val="004D70EF"/>
    <w:rsid w:val="004D725A"/>
    <w:rsid w:val="004D789F"/>
    <w:rsid w:val="004E0361"/>
    <w:rsid w:val="004E08AA"/>
    <w:rsid w:val="004E09E0"/>
    <w:rsid w:val="004E0AFF"/>
    <w:rsid w:val="004E0C00"/>
    <w:rsid w:val="004E13A8"/>
    <w:rsid w:val="004E231C"/>
    <w:rsid w:val="004E2DDC"/>
    <w:rsid w:val="004E4950"/>
    <w:rsid w:val="004E4D7A"/>
    <w:rsid w:val="004E5329"/>
    <w:rsid w:val="004E58EC"/>
    <w:rsid w:val="004E6461"/>
    <w:rsid w:val="004E6BD7"/>
    <w:rsid w:val="004E7065"/>
    <w:rsid w:val="004F1846"/>
    <w:rsid w:val="004F1F87"/>
    <w:rsid w:val="004F2528"/>
    <w:rsid w:val="004F57E9"/>
    <w:rsid w:val="004F5891"/>
    <w:rsid w:val="004F5893"/>
    <w:rsid w:val="004F5D5D"/>
    <w:rsid w:val="004F5E6F"/>
    <w:rsid w:val="004F64BD"/>
    <w:rsid w:val="004F67CC"/>
    <w:rsid w:val="004F73C0"/>
    <w:rsid w:val="004F7620"/>
    <w:rsid w:val="004F775F"/>
    <w:rsid w:val="004F7ABF"/>
    <w:rsid w:val="005025A3"/>
    <w:rsid w:val="00502F2D"/>
    <w:rsid w:val="00503472"/>
    <w:rsid w:val="005057D7"/>
    <w:rsid w:val="00506E37"/>
    <w:rsid w:val="00506E3B"/>
    <w:rsid w:val="005070EB"/>
    <w:rsid w:val="00511201"/>
    <w:rsid w:val="00511C24"/>
    <w:rsid w:val="00512333"/>
    <w:rsid w:val="005124CA"/>
    <w:rsid w:val="005134CD"/>
    <w:rsid w:val="005136E8"/>
    <w:rsid w:val="00514661"/>
    <w:rsid w:val="00514ADA"/>
    <w:rsid w:val="00515357"/>
    <w:rsid w:val="005163E9"/>
    <w:rsid w:val="00516F20"/>
    <w:rsid w:val="00517217"/>
    <w:rsid w:val="00517321"/>
    <w:rsid w:val="00520208"/>
    <w:rsid w:val="00520990"/>
    <w:rsid w:val="005209C0"/>
    <w:rsid w:val="00520A35"/>
    <w:rsid w:val="0052224B"/>
    <w:rsid w:val="00522C00"/>
    <w:rsid w:val="005230D9"/>
    <w:rsid w:val="0052391F"/>
    <w:rsid w:val="00524327"/>
    <w:rsid w:val="00525095"/>
    <w:rsid w:val="00525556"/>
    <w:rsid w:val="00525818"/>
    <w:rsid w:val="00525AB4"/>
    <w:rsid w:val="005267A4"/>
    <w:rsid w:val="005273A6"/>
    <w:rsid w:val="00527CD2"/>
    <w:rsid w:val="00527F01"/>
    <w:rsid w:val="0053127D"/>
    <w:rsid w:val="0053142C"/>
    <w:rsid w:val="00531F5A"/>
    <w:rsid w:val="00532D75"/>
    <w:rsid w:val="0053393B"/>
    <w:rsid w:val="00533EFB"/>
    <w:rsid w:val="005349E3"/>
    <w:rsid w:val="00534C02"/>
    <w:rsid w:val="00535018"/>
    <w:rsid w:val="0053524A"/>
    <w:rsid w:val="00535D1B"/>
    <w:rsid w:val="00535F93"/>
    <w:rsid w:val="0053669C"/>
    <w:rsid w:val="005367B4"/>
    <w:rsid w:val="00536C62"/>
    <w:rsid w:val="00537CE2"/>
    <w:rsid w:val="00537FC9"/>
    <w:rsid w:val="005404D9"/>
    <w:rsid w:val="005430A9"/>
    <w:rsid w:val="0054337F"/>
    <w:rsid w:val="005435C3"/>
    <w:rsid w:val="00543623"/>
    <w:rsid w:val="00544AA4"/>
    <w:rsid w:val="00545BF6"/>
    <w:rsid w:val="00545D68"/>
    <w:rsid w:val="0054695C"/>
    <w:rsid w:val="005471C6"/>
    <w:rsid w:val="005474C0"/>
    <w:rsid w:val="00547500"/>
    <w:rsid w:val="0054751F"/>
    <w:rsid w:val="0054769F"/>
    <w:rsid w:val="00552CFD"/>
    <w:rsid w:val="00555335"/>
    <w:rsid w:val="00555C1C"/>
    <w:rsid w:val="00555EC4"/>
    <w:rsid w:val="0055609C"/>
    <w:rsid w:val="00556B89"/>
    <w:rsid w:val="00557323"/>
    <w:rsid w:val="005573A1"/>
    <w:rsid w:val="00557A72"/>
    <w:rsid w:val="0056073E"/>
    <w:rsid w:val="00560BFD"/>
    <w:rsid w:val="00561443"/>
    <w:rsid w:val="00561C3C"/>
    <w:rsid w:val="00563130"/>
    <w:rsid w:val="00563348"/>
    <w:rsid w:val="0056336D"/>
    <w:rsid w:val="005638DD"/>
    <w:rsid w:val="005640BF"/>
    <w:rsid w:val="005642A1"/>
    <w:rsid w:val="00564F53"/>
    <w:rsid w:val="00565DF6"/>
    <w:rsid w:val="00566AAF"/>
    <w:rsid w:val="00566DE7"/>
    <w:rsid w:val="00567665"/>
    <w:rsid w:val="00570329"/>
    <w:rsid w:val="00570C8C"/>
    <w:rsid w:val="00570D40"/>
    <w:rsid w:val="00571521"/>
    <w:rsid w:val="00571C56"/>
    <w:rsid w:val="0057201E"/>
    <w:rsid w:val="005733A1"/>
    <w:rsid w:val="00574CC9"/>
    <w:rsid w:val="00575079"/>
    <w:rsid w:val="00575803"/>
    <w:rsid w:val="0057591D"/>
    <w:rsid w:val="0057699C"/>
    <w:rsid w:val="00576FA4"/>
    <w:rsid w:val="00580F86"/>
    <w:rsid w:val="00581608"/>
    <w:rsid w:val="005831B8"/>
    <w:rsid w:val="00583D87"/>
    <w:rsid w:val="00583E25"/>
    <w:rsid w:val="0058588C"/>
    <w:rsid w:val="00585E8F"/>
    <w:rsid w:val="00586307"/>
    <w:rsid w:val="0058643F"/>
    <w:rsid w:val="00586562"/>
    <w:rsid w:val="00586FA5"/>
    <w:rsid w:val="00587483"/>
    <w:rsid w:val="005875EA"/>
    <w:rsid w:val="00590207"/>
    <w:rsid w:val="00590817"/>
    <w:rsid w:val="00590F6E"/>
    <w:rsid w:val="00591925"/>
    <w:rsid w:val="00591C6B"/>
    <w:rsid w:val="00591E28"/>
    <w:rsid w:val="00591F33"/>
    <w:rsid w:val="005923CD"/>
    <w:rsid w:val="00592666"/>
    <w:rsid w:val="005931B2"/>
    <w:rsid w:val="00593CF1"/>
    <w:rsid w:val="00595235"/>
    <w:rsid w:val="005966BC"/>
    <w:rsid w:val="00596F07"/>
    <w:rsid w:val="005978DB"/>
    <w:rsid w:val="00597A25"/>
    <w:rsid w:val="00597A7D"/>
    <w:rsid w:val="00597EA3"/>
    <w:rsid w:val="005A1AA5"/>
    <w:rsid w:val="005A1BC5"/>
    <w:rsid w:val="005A1D21"/>
    <w:rsid w:val="005A30AC"/>
    <w:rsid w:val="005A3A89"/>
    <w:rsid w:val="005A554E"/>
    <w:rsid w:val="005A5EC1"/>
    <w:rsid w:val="005A66ED"/>
    <w:rsid w:val="005A6AE0"/>
    <w:rsid w:val="005A72F9"/>
    <w:rsid w:val="005A7532"/>
    <w:rsid w:val="005B06CE"/>
    <w:rsid w:val="005B12CF"/>
    <w:rsid w:val="005B133E"/>
    <w:rsid w:val="005B1C05"/>
    <w:rsid w:val="005B293C"/>
    <w:rsid w:val="005B2DFB"/>
    <w:rsid w:val="005B3648"/>
    <w:rsid w:val="005B39DB"/>
    <w:rsid w:val="005B3A11"/>
    <w:rsid w:val="005B472C"/>
    <w:rsid w:val="005B4D75"/>
    <w:rsid w:val="005B511A"/>
    <w:rsid w:val="005B52A8"/>
    <w:rsid w:val="005B5579"/>
    <w:rsid w:val="005B5AAC"/>
    <w:rsid w:val="005B5AEF"/>
    <w:rsid w:val="005B5EC0"/>
    <w:rsid w:val="005B604E"/>
    <w:rsid w:val="005B6F04"/>
    <w:rsid w:val="005B77BA"/>
    <w:rsid w:val="005B77C3"/>
    <w:rsid w:val="005C0031"/>
    <w:rsid w:val="005C0FD6"/>
    <w:rsid w:val="005C0FE3"/>
    <w:rsid w:val="005C1907"/>
    <w:rsid w:val="005C1C0F"/>
    <w:rsid w:val="005C1EA6"/>
    <w:rsid w:val="005C2218"/>
    <w:rsid w:val="005C29D6"/>
    <w:rsid w:val="005C3F0E"/>
    <w:rsid w:val="005C45FA"/>
    <w:rsid w:val="005C4C57"/>
    <w:rsid w:val="005C5B14"/>
    <w:rsid w:val="005C5C14"/>
    <w:rsid w:val="005C733E"/>
    <w:rsid w:val="005D0B25"/>
    <w:rsid w:val="005D0D18"/>
    <w:rsid w:val="005D1E58"/>
    <w:rsid w:val="005D2696"/>
    <w:rsid w:val="005D2D71"/>
    <w:rsid w:val="005D2DB7"/>
    <w:rsid w:val="005D46A4"/>
    <w:rsid w:val="005D470F"/>
    <w:rsid w:val="005D4E2A"/>
    <w:rsid w:val="005D4EC6"/>
    <w:rsid w:val="005D5339"/>
    <w:rsid w:val="005D5A88"/>
    <w:rsid w:val="005D67D4"/>
    <w:rsid w:val="005D6917"/>
    <w:rsid w:val="005D711E"/>
    <w:rsid w:val="005D775F"/>
    <w:rsid w:val="005D7EA4"/>
    <w:rsid w:val="005E0918"/>
    <w:rsid w:val="005E0989"/>
    <w:rsid w:val="005E11A1"/>
    <w:rsid w:val="005E12F8"/>
    <w:rsid w:val="005E1AEA"/>
    <w:rsid w:val="005E1C13"/>
    <w:rsid w:val="005E33B4"/>
    <w:rsid w:val="005E378D"/>
    <w:rsid w:val="005E3958"/>
    <w:rsid w:val="005E3CD8"/>
    <w:rsid w:val="005E4014"/>
    <w:rsid w:val="005E4541"/>
    <w:rsid w:val="005E46EA"/>
    <w:rsid w:val="005E583E"/>
    <w:rsid w:val="005E6A09"/>
    <w:rsid w:val="005E6D12"/>
    <w:rsid w:val="005E77D1"/>
    <w:rsid w:val="005E7E01"/>
    <w:rsid w:val="005F0AB9"/>
    <w:rsid w:val="005F0E01"/>
    <w:rsid w:val="005F1B7F"/>
    <w:rsid w:val="005F2C90"/>
    <w:rsid w:val="005F2FD5"/>
    <w:rsid w:val="005F3C09"/>
    <w:rsid w:val="005F3D5D"/>
    <w:rsid w:val="005F4AF4"/>
    <w:rsid w:val="005F5C1B"/>
    <w:rsid w:val="005F64E6"/>
    <w:rsid w:val="005F64FE"/>
    <w:rsid w:val="005F72B4"/>
    <w:rsid w:val="005F7ADA"/>
    <w:rsid w:val="006003AD"/>
    <w:rsid w:val="00600868"/>
    <w:rsid w:val="0060166C"/>
    <w:rsid w:val="0060191B"/>
    <w:rsid w:val="00601F2E"/>
    <w:rsid w:val="00602CBA"/>
    <w:rsid w:val="0060321D"/>
    <w:rsid w:val="00603786"/>
    <w:rsid w:val="006040A3"/>
    <w:rsid w:val="006057FD"/>
    <w:rsid w:val="00606090"/>
    <w:rsid w:val="006061D4"/>
    <w:rsid w:val="00606401"/>
    <w:rsid w:val="006065C6"/>
    <w:rsid w:val="006067C0"/>
    <w:rsid w:val="0060707F"/>
    <w:rsid w:val="0060720F"/>
    <w:rsid w:val="006074A7"/>
    <w:rsid w:val="0060781D"/>
    <w:rsid w:val="00611794"/>
    <w:rsid w:val="006119EE"/>
    <w:rsid w:val="006123DF"/>
    <w:rsid w:val="00613224"/>
    <w:rsid w:val="006132FA"/>
    <w:rsid w:val="00613994"/>
    <w:rsid w:val="00613C03"/>
    <w:rsid w:val="00614242"/>
    <w:rsid w:val="006144B1"/>
    <w:rsid w:val="006150B9"/>
    <w:rsid w:val="00615AC2"/>
    <w:rsid w:val="00616983"/>
    <w:rsid w:val="006174EB"/>
    <w:rsid w:val="00617584"/>
    <w:rsid w:val="006178A6"/>
    <w:rsid w:val="00617F01"/>
    <w:rsid w:val="00620525"/>
    <w:rsid w:val="006209D5"/>
    <w:rsid w:val="0062163D"/>
    <w:rsid w:val="006224DA"/>
    <w:rsid w:val="006225FE"/>
    <w:rsid w:val="00622FB2"/>
    <w:rsid w:val="00623B85"/>
    <w:rsid w:val="006244FE"/>
    <w:rsid w:val="006245F2"/>
    <w:rsid w:val="00624BFC"/>
    <w:rsid w:val="00625034"/>
    <w:rsid w:val="00625B9E"/>
    <w:rsid w:val="0062648B"/>
    <w:rsid w:val="00626F3F"/>
    <w:rsid w:val="0062722E"/>
    <w:rsid w:val="006273E4"/>
    <w:rsid w:val="006278B4"/>
    <w:rsid w:val="0063069F"/>
    <w:rsid w:val="006315F9"/>
    <w:rsid w:val="00632009"/>
    <w:rsid w:val="00632981"/>
    <w:rsid w:val="00632FFF"/>
    <w:rsid w:val="00634379"/>
    <w:rsid w:val="006348BD"/>
    <w:rsid w:val="00635049"/>
    <w:rsid w:val="006352B4"/>
    <w:rsid w:val="00635694"/>
    <w:rsid w:val="00635E63"/>
    <w:rsid w:val="00635FBB"/>
    <w:rsid w:val="00636634"/>
    <w:rsid w:val="00636A9C"/>
    <w:rsid w:val="0063742F"/>
    <w:rsid w:val="00637F95"/>
    <w:rsid w:val="00640583"/>
    <w:rsid w:val="00640A21"/>
    <w:rsid w:val="00642E1D"/>
    <w:rsid w:val="006436C1"/>
    <w:rsid w:val="006442A0"/>
    <w:rsid w:val="006443AC"/>
    <w:rsid w:val="00645352"/>
    <w:rsid w:val="0064535C"/>
    <w:rsid w:val="006466B4"/>
    <w:rsid w:val="00646FA6"/>
    <w:rsid w:val="006472B7"/>
    <w:rsid w:val="00647D2E"/>
    <w:rsid w:val="00647F36"/>
    <w:rsid w:val="006501C0"/>
    <w:rsid w:val="00650A0F"/>
    <w:rsid w:val="006515BF"/>
    <w:rsid w:val="00651DB2"/>
    <w:rsid w:val="00653BD0"/>
    <w:rsid w:val="00654162"/>
    <w:rsid w:val="00654D38"/>
    <w:rsid w:val="00655355"/>
    <w:rsid w:val="00655FDE"/>
    <w:rsid w:val="00656E8E"/>
    <w:rsid w:val="006607CE"/>
    <w:rsid w:val="00661CE6"/>
    <w:rsid w:val="00663329"/>
    <w:rsid w:val="00663550"/>
    <w:rsid w:val="0066388E"/>
    <w:rsid w:val="00663C47"/>
    <w:rsid w:val="00664100"/>
    <w:rsid w:val="0066489D"/>
    <w:rsid w:val="0066554D"/>
    <w:rsid w:val="00665970"/>
    <w:rsid w:val="00665A4E"/>
    <w:rsid w:val="00666ED2"/>
    <w:rsid w:val="00667250"/>
    <w:rsid w:val="0066725A"/>
    <w:rsid w:val="00670111"/>
    <w:rsid w:val="00670573"/>
    <w:rsid w:val="0067164E"/>
    <w:rsid w:val="00671E79"/>
    <w:rsid w:val="00671FD6"/>
    <w:rsid w:val="00672E94"/>
    <w:rsid w:val="00675DFC"/>
    <w:rsid w:val="00677942"/>
    <w:rsid w:val="00677DC6"/>
    <w:rsid w:val="00677FB6"/>
    <w:rsid w:val="006800D0"/>
    <w:rsid w:val="00680507"/>
    <w:rsid w:val="00680521"/>
    <w:rsid w:val="00680EFE"/>
    <w:rsid w:val="0068155F"/>
    <w:rsid w:val="0068300C"/>
    <w:rsid w:val="0068341C"/>
    <w:rsid w:val="00683B71"/>
    <w:rsid w:val="0068566B"/>
    <w:rsid w:val="006857AF"/>
    <w:rsid w:val="006858D2"/>
    <w:rsid w:val="00686840"/>
    <w:rsid w:val="00686F60"/>
    <w:rsid w:val="00687B1B"/>
    <w:rsid w:val="00687FC4"/>
    <w:rsid w:val="00690021"/>
    <w:rsid w:val="00690CB7"/>
    <w:rsid w:val="00692014"/>
    <w:rsid w:val="00692027"/>
    <w:rsid w:val="00692FCB"/>
    <w:rsid w:val="006930C2"/>
    <w:rsid w:val="00693474"/>
    <w:rsid w:val="00694B13"/>
    <w:rsid w:val="00694F22"/>
    <w:rsid w:val="00695280"/>
    <w:rsid w:val="0069556E"/>
    <w:rsid w:val="00695F17"/>
    <w:rsid w:val="0069662A"/>
    <w:rsid w:val="00697424"/>
    <w:rsid w:val="006A0278"/>
    <w:rsid w:val="006A03CA"/>
    <w:rsid w:val="006A141B"/>
    <w:rsid w:val="006A1601"/>
    <w:rsid w:val="006A174B"/>
    <w:rsid w:val="006A1B32"/>
    <w:rsid w:val="006A1CB9"/>
    <w:rsid w:val="006A1CF1"/>
    <w:rsid w:val="006A1E20"/>
    <w:rsid w:val="006A31D6"/>
    <w:rsid w:val="006A3306"/>
    <w:rsid w:val="006A3C91"/>
    <w:rsid w:val="006A4278"/>
    <w:rsid w:val="006A463D"/>
    <w:rsid w:val="006A50FB"/>
    <w:rsid w:val="006A5DE8"/>
    <w:rsid w:val="006A5E75"/>
    <w:rsid w:val="006A6262"/>
    <w:rsid w:val="006A66A1"/>
    <w:rsid w:val="006A6849"/>
    <w:rsid w:val="006A77A3"/>
    <w:rsid w:val="006A7A6F"/>
    <w:rsid w:val="006B010F"/>
    <w:rsid w:val="006B0B75"/>
    <w:rsid w:val="006B0D67"/>
    <w:rsid w:val="006B1F61"/>
    <w:rsid w:val="006B3111"/>
    <w:rsid w:val="006B3284"/>
    <w:rsid w:val="006B3FC0"/>
    <w:rsid w:val="006B40F7"/>
    <w:rsid w:val="006B45AA"/>
    <w:rsid w:val="006B620D"/>
    <w:rsid w:val="006B6D6E"/>
    <w:rsid w:val="006B7523"/>
    <w:rsid w:val="006B7A67"/>
    <w:rsid w:val="006C0383"/>
    <w:rsid w:val="006C03DA"/>
    <w:rsid w:val="006C17D3"/>
    <w:rsid w:val="006C1850"/>
    <w:rsid w:val="006C228A"/>
    <w:rsid w:val="006C4E63"/>
    <w:rsid w:val="006C73D2"/>
    <w:rsid w:val="006C7C6A"/>
    <w:rsid w:val="006C7F7E"/>
    <w:rsid w:val="006D0B30"/>
    <w:rsid w:val="006D11C3"/>
    <w:rsid w:val="006D13A6"/>
    <w:rsid w:val="006D168A"/>
    <w:rsid w:val="006D2239"/>
    <w:rsid w:val="006D2A7B"/>
    <w:rsid w:val="006D558F"/>
    <w:rsid w:val="006D59CA"/>
    <w:rsid w:val="006D6AD0"/>
    <w:rsid w:val="006D6B83"/>
    <w:rsid w:val="006D6CB7"/>
    <w:rsid w:val="006D6EC6"/>
    <w:rsid w:val="006D74AA"/>
    <w:rsid w:val="006E0802"/>
    <w:rsid w:val="006E0805"/>
    <w:rsid w:val="006E0E68"/>
    <w:rsid w:val="006E1284"/>
    <w:rsid w:val="006E1DC4"/>
    <w:rsid w:val="006E25B4"/>
    <w:rsid w:val="006E29EB"/>
    <w:rsid w:val="006E3192"/>
    <w:rsid w:val="006E44AF"/>
    <w:rsid w:val="006E44BD"/>
    <w:rsid w:val="006E476A"/>
    <w:rsid w:val="006E48A1"/>
    <w:rsid w:val="006E4A8B"/>
    <w:rsid w:val="006E59DE"/>
    <w:rsid w:val="006E5F67"/>
    <w:rsid w:val="006E6081"/>
    <w:rsid w:val="006E6D7D"/>
    <w:rsid w:val="006F000F"/>
    <w:rsid w:val="006F006D"/>
    <w:rsid w:val="006F00CC"/>
    <w:rsid w:val="006F054E"/>
    <w:rsid w:val="006F0BE3"/>
    <w:rsid w:val="006F1562"/>
    <w:rsid w:val="006F1AE7"/>
    <w:rsid w:val="006F1EE0"/>
    <w:rsid w:val="006F1FC7"/>
    <w:rsid w:val="006F221F"/>
    <w:rsid w:val="006F3130"/>
    <w:rsid w:val="006F347A"/>
    <w:rsid w:val="006F38CB"/>
    <w:rsid w:val="006F4853"/>
    <w:rsid w:val="006F4DDE"/>
    <w:rsid w:val="006F50C2"/>
    <w:rsid w:val="006F5789"/>
    <w:rsid w:val="006F617D"/>
    <w:rsid w:val="006F6D79"/>
    <w:rsid w:val="006F7845"/>
    <w:rsid w:val="006F7B3F"/>
    <w:rsid w:val="006F7DDB"/>
    <w:rsid w:val="00700D49"/>
    <w:rsid w:val="007014C3"/>
    <w:rsid w:val="00701547"/>
    <w:rsid w:val="007019F5"/>
    <w:rsid w:val="007021CB"/>
    <w:rsid w:val="0070242E"/>
    <w:rsid w:val="00702B3D"/>
    <w:rsid w:val="00703B14"/>
    <w:rsid w:val="007047E8"/>
    <w:rsid w:val="00704B10"/>
    <w:rsid w:val="00706082"/>
    <w:rsid w:val="007060D7"/>
    <w:rsid w:val="007069FB"/>
    <w:rsid w:val="00706D09"/>
    <w:rsid w:val="007071AA"/>
    <w:rsid w:val="00707635"/>
    <w:rsid w:val="00707C3D"/>
    <w:rsid w:val="00707EC1"/>
    <w:rsid w:val="007103B6"/>
    <w:rsid w:val="00710D9F"/>
    <w:rsid w:val="00710E29"/>
    <w:rsid w:val="00711CD4"/>
    <w:rsid w:val="00712110"/>
    <w:rsid w:val="00712183"/>
    <w:rsid w:val="00712244"/>
    <w:rsid w:val="00712856"/>
    <w:rsid w:val="007140D4"/>
    <w:rsid w:val="00714DC8"/>
    <w:rsid w:val="00715205"/>
    <w:rsid w:val="00715431"/>
    <w:rsid w:val="00716612"/>
    <w:rsid w:val="007172B9"/>
    <w:rsid w:val="00717841"/>
    <w:rsid w:val="00717F98"/>
    <w:rsid w:val="0072015F"/>
    <w:rsid w:val="00721634"/>
    <w:rsid w:val="00721A2D"/>
    <w:rsid w:val="00722178"/>
    <w:rsid w:val="00723D9C"/>
    <w:rsid w:val="007253BA"/>
    <w:rsid w:val="0072558F"/>
    <w:rsid w:val="007260EA"/>
    <w:rsid w:val="00726285"/>
    <w:rsid w:val="00726505"/>
    <w:rsid w:val="007267C4"/>
    <w:rsid w:val="00726A7B"/>
    <w:rsid w:val="00726AAD"/>
    <w:rsid w:val="0073082D"/>
    <w:rsid w:val="007312D5"/>
    <w:rsid w:val="00731AC9"/>
    <w:rsid w:val="00731B0A"/>
    <w:rsid w:val="00732DA7"/>
    <w:rsid w:val="00733BC1"/>
    <w:rsid w:val="00734192"/>
    <w:rsid w:val="007343CA"/>
    <w:rsid w:val="00734B87"/>
    <w:rsid w:val="00734D13"/>
    <w:rsid w:val="0073509C"/>
    <w:rsid w:val="00735772"/>
    <w:rsid w:val="007357BB"/>
    <w:rsid w:val="00735BA3"/>
    <w:rsid w:val="00736DEF"/>
    <w:rsid w:val="00736F63"/>
    <w:rsid w:val="00737075"/>
    <w:rsid w:val="007379D4"/>
    <w:rsid w:val="00737F5F"/>
    <w:rsid w:val="00737F65"/>
    <w:rsid w:val="0074040F"/>
    <w:rsid w:val="007412AD"/>
    <w:rsid w:val="00741806"/>
    <w:rsid w:val="00741993"/>
    <w:rsid w:val="00742A0D"/>
    <w:rsid w:val="00744311"/>
    <w:rsid w:val="00744A13"/>
    <w:rsid w:val="00745076"/>
    <w:rsid w:val="007450B7"/>
    <w:rsid w:val="00745D33"/>
    <w:rsid w:val="007474FB"/>
    <w:rsid w:val="0075044C"/>
    <w:rsid w:val="00750867"/>
    <w:rsid w:val="007512AF"/>
    <w:rsid w:val="00751C9F"/>
    <w:rsid w:val="007527E2"/>
    <w:rsid w:val="007529CE"/>
    <w:rsid w:val="00752FF3"/>
    <w:rsid w:val="007536D9"/>
    <w:rsid w:val="007538BF"/>
    <w:rsid w:val="007546C2"/>
    <w:rsid w:val="00754916"/>
    <w:rsid w:val="00754C55"/>
    <w:rsid w:val="00754F88"/>
    <w:rsid w:val="0075539E"/>
    <w:rsid w:val="00755A9E"/>
    <w:rsid w:val="00756A58"/>
    <w:rsid w:val="00756D2C"/>
    <w:rsid w:val="00756F2A"/>
    <w:rsid w:val="00757C68"/>
    <w:rsid w:val="00757FF1"/>
    <w:rsid w:val="00761A83"/>
    <w:rsid w:val="00762922"/>
    <w:rsid w:val="00762C4D"/>
    <w:rsid w:val="00762EF5"/>
    <w:rsid w:val="007639EF"/>
    <w:rsid w:val="00763ADA"/>
    <w:rsid w:val="0076435D"/>
    <w:rsid w:val="00764465"/>
    <w:rsid w:val="00764EC7"/>
    <w:rsid w:val="0076607C"/>
    <w:rsid w:val="00766BD6"/>
    <w:rsid w:val="007671F2"/>
    <w:rsid w:val="0077096E"/>
    <w:rsid w:val="00770C86"/>
    <w:rsid w:val="007713FA"/>
    <w:rsid w:val="00771F1D"/>
    <w:rsid w:val="00771FAB"/>
    <w:rsid w:val="00772082"/>
    <w:rsid w:val="0077274B"/>
    <w:rsid w:val="00772907"/>
    <w:rsid w:val="00772CDD"/>
    <w:rsid w:val="00772FEB"/>
    <w:rsid w:val="00773146"/>
    <w:rsid w:val="00773FA9"/>
    <w:rsid w:val="00774522"/>
    <w:rsid w:val="00775FA8"/>
    <w:rsid w:val="007764F0"/>
    <w:rsid w:val="00776E7D"/>
    <w:rsid w:val="00777792"/>
    <w:rsid w:val="00777849"/>
    <w:rsid w:val="00777B73"/>
    <w:rsid w:val="00780DBB"/>
    <w:rsid w:val="00781119"/>
    <w:rsid w:val="00781309"/>
    <w:rsid w:val="007814F1"/>
    <w:rsid w:val="00781F21"/>
    <w:rsid w:val="007820BE"/>
    <w:rsid w:val="007847CA"/>
    <w:rsid w:val="007851A2"/>
    <w:rsid w:val="00785326"/>
    <w:rsid w:val="00785E56"/>
    <w:rsid w:val="0078690B"/>
    <w:rsid w:val="0078697E"/>
    <w:rsid w:val="00787468"/>
    <w:rsid w:val="00790854"/>
    <w:rsid w:val="00790981"/>
    <w:rsid w:val="007913D4"/>
    <w:rsid w:val="00791ACF"/>
    <w:rsid w:val="00791FDB"/>
    <w:rsid w:val="0079216A"/>
    <w:rsid w:val="007922A9"/>
    <w:rsid w:val="007929CB"/>
    <w:rsid w:val="00792EFE"/>
    <w:rsid w:val="00793299"/>
    <w:rsid w:val="007950A6"/>
    <w:rsid w:val="00795B3C"/>
    <w:rsid w:val="00795C0B"/>
    <w:rsid w:val="00795F61"/>
    <w:rsid w:val="00796085"/>
    <w:rsid w:val="00796F8A"/>
    <w:rsid w:val="007A11AD"/>
    <w:rsid w:val="007A1685"/>
    <w:rsid w:val="007A1CB7"/>
    <w:rsid w:val="007A20F5"/>
    <w:rsid w:val="007A298C"/>
    <w:rsid w:val="007A3650"/>
    <w:rsid w:val="007A3E39"/>
    <w:rsid w:val="007A4DD8"/>
    <w:rsid w:val="007A610F"/>
    <w:rsid w:val="007A68EA"/>
    <w:rsid w:val="007B0A33"/>
    <w:rsid w:val="007B14C1"/>
    <w:rsid w:val="007B1BE5"/>
    <w:rsid w:val="007B1ECC"/>
    <w:rsid w:val="007B2078"/>
    <w:rsid w:val="007B2C3A"/>
    <w:rsid w:val="007B2C54"/>
    <w:rsid w:val="007B2EF4"/>
    <w:rsid w:val="007B329A"/>
    <w:rsid w:val="007B3672"/>
    <w:rsid w:val="007B493A"/>
    <w:rsid w:val="007B50C8"/>
    <w:rsid w:val="007B5392"/>
    <w:rsid w:val="007B58E4"/>
    <w:rsid w:val="007B5B94"/>
    <w:rsid w:val="007B6451"/>
    <w:rsid w:val="007B6AE5"/>
    <w:rsid w:val="007B6CD2"/>
    <w:rsid w:val="007B6EAE"/>
    <w:rsid w:val="007B6F91"/>
    <w:rsid w:val="007B74DC"/>
    <w:rsid w:val="007B767E"/>
    <w:rsid w:val="007C0116"/>
    <w:rsid w:val="007C028F"/>
    <w:rsid w:val="007C0BDD"/>
    <w:rsid w:val="007C0DEA"/>
    <w:rsid w:val="007C19DC"/>
    <w:rsid w:val="007C1FAC"/>
    <w:rsid w:val="007C24E2"/>
    <w:rsid w:val="007C266E"/>
    <w:rsid w:val="007C3094"/>
    <w:rsid w:val="007C30FB"/>
    <w:rsid w:val="007C3745"/>
    <w:rsid w:val="007C47E0"/>
    <w:rsid w:val="007C4FC8"/>
    <w:rsid w:val="007C53DB"/>
    <w:rsid w:val="007C5D65"/>
    <w:rsid w:val="007C6140"/>
    <w:rsid w:val="007C666C"/>
    <w:rsid w:val="007C6E64"/>
    <w:rsid w:val="007C6F1F"/>
    <w:rsid w:val="007D0581"/>
    <w:rsid w:val="007D06F4"/>
    <w:rsid w:val="007D0F1E"/>
    <w:rsid w:val="007D158B"/>
    <w:rsid w:val="007D269E"/>
    <w:rsid w:val="007D2921"/>
    <w:rsid w:val="007D2F99"/>
    <w:rsid w:val="007D3376"/>
    <w:rsid w:val="007D34C9"/>
    <w:rsid w:val="007D3728"/>
    <w:rsid w:val="007D3C29"/>
    <w:rsid w:val="007D3CFD"/>
    <w:rsid w:val="007D49D0"/>
    <w:rsid w:val="007D4B99"/>
    <w:rsid w:val="007D6B01"/>
    <w:rsid w:val="007D71BB"/>
    <w:rsid w:val="007E0E13"/>
    <w:rsid w:val="007E1406"/>
    <w:rsid w:val="007E226B"/>
    <w:rsid w:val="007E339F"/>
    <w:rsid w:val="007E3650"/>
    <w:rsid w:val="007E36A5"/>
    <w:rsid w:val="007E3811"/>
    <w:rsid w:val="007E3A77"/>
    <w:rsid w:val="007E4006"/>
    <w:rsid w:val="007E4329"/>
    <w:rsid w:val="007E5E83"/>
    <w:rsid w:val="007E646C"/>
    <w:rsid w:val="007E7199"/>
    <w:rsid w:val="007E7203"/>
    <w:rsid w:val="007E7248"/>
    <w:rsid w:val="007F24CB"/>
    <w:rsid w:val="007F2DCC"/>
    <w:rsid w:val="007F3443"/>
    <w:rsid w:val="007F344D"/>
    <w:rsid w:val="007F4C4C"/>
    <w:rsid w:val="007F56D2"/>
    <w:rsid w:val="007F6E4F"/>
    <w:rsid w:val="007F7854"/>
    <w:rsid w:val="007F79A7"/>
    <w:rsid w:val="008007C0"/>
    <w:rsid w:val="0080084C"/>
    <w:rsid w:val="008008EF"/>
    <w:rsid w:val="00800AC3"/>
    <w:rsid w:val="00801FAA"/>
    <w:rsid w:val="008023A0"/>
    <w:rsid w:val="008024B8"/>
    <w:rsid w:val="00802786"/>
    <w:rsid w:val="00802E3C"/>
    <w:rsid w:val="00803219"/>
    <w:rsid w:val="0080342A"/>
    <w:rsid w:val="00803506"/>
    <w:rsid w:val="008036B5"/>
    <w:rsid w:val="008037E7"/>
    <w:rsid w:val="00803888"/>
    <w:rsid w:val="0080454F"/>
    <w:rsid w:val="008048AC"/>
    <w:rsid w:val="008049F2"/>
    <w:rsid w:val="00804A6A"/>
    <w:rsid w:val="008066C7"/>
    <w:rsid w:val="00806D4A"/>
    <w:rsid w:val="00807430"/>
    <w:rsid w:val="00807F0A"/>
    <w:rsid w:val="00811AF1"/>
    <w:rsid w:val="00811EF9"/>
    <w:rsid w:val="00811F8C"/>
    <w:rsid w:val="00813F83"/>
    <w:rsid w:val="008152F7"/>
    <w:rsid w:val="00816272"/>
    <w:rsid w:val="00816BDB"/>
    <w:rsid w:val="00816FDB"/>
    <w:rsid w:val="00820604"/>
    <w:rsid w:val="00822271"/>
    <w:rsid w:val="00822731"/>
    <w:rsid w:val="00822D23"/>
    <w:rsid w:val="008230D6"/>
    <w:rsid w:val="008231DD"/>
    <w:rsid w:val="0082331B"/>
    <w:rsid w:val="008235B5"/>
    <w:rsid w:val="0082368F"/>
    <w:rsid w:val="00823873"/>
    <w:rsid w:val="00824B1E"/>
    <w:rsid w:val="00824F2B"/>
    <w:rsid w:val="0082583C"/>
    <w:rsid w:val="00825BDE"/>
    <w:rsid w:val="00826F59"/>
    <w:rsid w:val="008272EC"/>
    <w:rsid w:val="008274DF"/>
    <w:rsid w:val="00827E47"/>
    <w:rsid w:val="00830196"/>
    <w:rsid w:val="00830221"/>
    <w:rsid w:val="00830A8E"/>
    <w:rsid w:val="008330CB"/>
    <w:rsid w:val="008337A3"/>
    <w:rsid w:val="00833983"/>
    <w:rsid w:val="00833AE5"/>
    <w:rsid w:val="0083447C"/>
    <w:rsid w:val="0083503A"/>
    <w:rsid w:val="00835751"/>
    <w:rsid w:val="0083589A"/>
    <w:rsid w:val="008358B1"/>
    <w:rsid w:val="0083635E"/>
    <w:rsid w:val="008369B6"/>
    <w:rsid w:val="0083719A"/>
    <w:rsid w:val="00837AE7"/>
    <w:rsid w:val="00837FFE"/>
    <w:rsid w:val="008404B8"/>
    <w:rsid w:val="00841073"/>
    <w:rsid w:val="00841EA8"/>
    <w:rsid w:val="008429C9"/>
    <w:rsid w:val="00842F66"/>
    <w:rsid w:val="00843848"/>
    <w:rsid w:val="0084467E"/>
    <w:rsid w:val="00844839"/>
    <w:rsid w:val="00844E09"/>
    <w:rsid w:val="00845A88"/>
    <w:rsid w:val="00846216"/>
    <w:rsid w:val="00846D6D"/>
    <w:rsid w:val="008475E6"/>
    <w:rsid w:val="008505FE"/>
    <w:rsid w:val="00851939"/>
    <w:rsid w:val="00851B8F"/>
    <w:rsid w:val="00851E39"/>
    <w:rsid w:val="00851F4F"/>
    <w:rsid w:val="008521B3"/>
    <w:rsid w:val="00852D66"/>
    <w:rsid w:val="00853191"/>
    <w:rsid w:val="008536B8"/>
    <w:rsid w:val="0085404E"/>
    <w:rsid w:val="0085421F"/>
    <w:rsid w:val="00854BD7"/>
    <w:rsid w:val="00854CB8"/>
    <w:rsid w:val="00855BBA"/>
    <w:rsid w:val="008561FC"/>
    <w:rsid w:val="0085669A"/>
    <w:rsid w:val="00856D8F"/>
    <w:rsid w:val="00857B16"/>
    <w:rsid w:val="00860355"/>
    <w:rsid w:val="00860E0E"/>
    <w:rsid w:val="00861424"/>
    <w:rsid w:val="008614C2"/>
    <w:rsid w:val="00861543"/>
    <w:rsid w:val="0086199E"/>
    <w:rsid w:val="00861B98"/>
    <w:rsid w:val="00862A5B"/>
    <w:rsid w:val="008631F6"/>
    <w:rsid w:val="00863210"/>
    <w:rsid w:val="00863253"/>
    <w:rsid w:val="008648A2"/>
    <w:rsid w:val="00864C4E"/>
    <w:rsid w:val="00864F57"/>
    <w:rsid w:val="00865758"/>
    <w:rsid w:val="00865855"/>
    <w:rsid w:val="00865A18"/>
    <w:rsid w:val="00865C5D"/>
    <w:rsid w:val="00867AF7"/>
    <w:rsid w:val="00870B65"/>
    <w:rsid w:val="008725F3"/>
    <w:rsid w:val="00872BB2"/>
    <w:rsid w:val="00873AA1"/>
    <w:rsid w:val="008742B9"/>
    <w:rsid w:val="0087465E"/>
    <w:rsid w:val="00874756"/>
    <w:rsid w:val="00874822"/>
    <w:rsid w:val="00875715"/>
    <w:rsid w:val="00876BDF"/>
    <w:rsid w:val="00877274"/>
    <w:rsid w:val="008776ED"/>
    <w:rsid w:val="0088124B"/>
    <w:rsid w:val="008812CE"/>
    <w:rsid w:val="008817B5"/>
    <w:rsid w:val="0088205C"/>
    <w:rsid w:val="00882500"/>
    <w:rsid w:val="00882F8E"/>
    <w:rsid w:val="00883096"/>
    <w:rsid w:val="008833CA"/>
    <w:rsid w:val="008837AF"/>
    <w:rsid w:val="00883876"/>
    <w:rsid w:val="00883F14"/>
    <w:rsid w:val="008852E2"/>
    <w:rsid w:val="008867F1"/>
    <w:rsid w:val="0088739D"/>
    <w:rsid w:val="00890B69"/>
    <w:rsid w:val="00892937"/>
    <w:rsid w:val="00892EE9"/>
    <w:rsid w:val="00893E5B"/>
    <w:rsid w:val="00894955"/>
    <w:rsid w:val="00895099"/>
    <w:rsid w:val="00895EE9"/>
    <w:rsid w:val="008971B1"/>
    <w:rsid w:val="00897F83"/>
    <w:rsid w:val="008A00EC"/>
    <w:rsid w:val="008A05AE"/>
    <w:rsid w:val="008A1A34"/>
    <w:rsid w:val="008A23DF"/>
    <w:rsid w:val="008A26E9"/>
    <w:rsid w:val="008A28B0"/>
    <w:rsid w:val="008A39E4"/>
    <w:rsid w:val="008A4434"/>
    <w:rsid w:val="008A69EE"/>
    <w:rsid w:val="008A74CB"/>
    <w:rsid w:val="008A780F"/>
    <w:rsid w:val="008A7CBB"/>
    <w:rsid w:val="008B0DC2"/>
    <w:rsid w:val="008B0F5E"/>
    <w:rsid w:val="008B301B"/>
    <w:rsid w:val="008B390B"/>
    <w:rsid w:val="008B3C6E"/>
    <w:rsid w:val="008B478B"/>
    <w:rsid w:val="008B499A"/>
    <w:rsid w:val="008B57FF"/>
    <w:rsid w:val="008B594B"/>
    <w:rsid w:val="008B5F0C"/>
    <w:rsid w:val="008B6329"/>
    <w:rsid w:val="008B65BA"/>
    <w:rsid w:val="008B6AB6"/>
    <w:rsid w:val="008B7680"/>
    <w:rsid w:val="008B7DA0"/>
    <w:rsid w:val="008C04C1"/>
    <w:rsid w:val="008C070E"/>
    <w:rsid w:val="008C0F3A"/>
    <w:rsid w:val="008C12E1"/>
    <w:rsid w:val="008C1E61"/>
    <w:rsid w:val="008C2ACF"/>
    <w:rsid w:val="008C345E"/>
    <w:rsid w:val="008C3B01"/>
    <w:rsid w:val="008C433C"/>
    <w:rsid w:val="008C44AE"/>
    <w:rsid w:val="008C54DF"/>
    <w:rsid w:val="008C59C1"/>
    <w:rsid w:val="008C5E56"/>
    <w:rsid w:val="008C6EC8"/>
    <w:rsid w:val="008C6F90"/>
    <w:rsid w:val="008C7059"/>
    <w:rsid w:val="008C7A97"/>
    <w:rsid w:val="008C7C6E"/>
    <w:rsid w:val="008D06F7"/>
    <w:rsid w:val="008D113D"/>
    <w:rsid w:val="008D19EF"/>
    <w:rsid w:val="008D19FB"/>
    <w:rsid w:val="008D36F7"/>
    <w:rsid w:val="008D4F92"/>
    <w:rsid w:val="008D506E"/>
    <w:rsid w:val="008D51A6"/>
    <w:rsid w:val="008D52E2"/>
    <w:rsid w:val="008E01B4"/>
    <w:rsid w:val="008E1458"/>
    <w:rsid w:val="008E16B4"/>
    <w:rsid w:val="008E177F"/>
    <w:rsid w:val="008E2387"/>
    <w:rsid w:val="008E27F4"/>
    <w:rsid w:val="008E2B4B"/>
    <w:rsid w:val="008E2D1F"/>
    <w:rsid w:val="008E378D"/>
    <w:rsid w:val="008E3D6C"/>
    <w:rsid w:val="008E3DB2"/>
    <w:rsid w:val="008E4F54"/>
    <w:rsid w:val="008E5FD6"/>
    <w:rsid w:val="008E683A"/>
    <w:rsid w:val="008F07B4"/>
    <w:rsid w:val="008F126D"/>
    <w:rsid w:val="008F384B"/>
    <w:rsid w:val="008F3C01"/>
    <w:rsid w:val="008F5177"/>
    <w:rsid w:val="008F536B"/>
    <w:rsid w:val="008F640D"/>
    <w:rsid w:val="008F69F7"/>
    <w:rsid w:val="008F73A8"/>
    <w:rsid w:val="008F73DE"/>
    <w:rsid w:val="00900472"/>
    <w:rsid w:val="009004B0"/>
    <w:rsid w:val="00900599"/>
    <w:rsid w:val="009009F1"/>
    <w:rsid w:val="00900DA8"/>
    <w:rsid w:val="00901F26"/>
    <w:rsid w:val="00903014"/>
    <w:rsid w:val="0090441D"/>
    <w:rsid w:val="00904B2B"/>
    <w:rsid w:val="009055E0"/>
    <w:rsid w:val="00907B59"/>
    <w:rsid w:val="00907C27"/>
    <w:rsid w:val="00907F69"/>
    <w:rsid w:val="00910182"/>
    <w:rsid w:val="009106BC"/>
    <w:rsid w:val="0091188D"/>
    <w:rsid w:val="00912052"/>
    <w:rsid w:val="00912D20"/>
    <w:rsid w:val="00912FB2"/>
    <w:rsid w:val="00912FF2"/>
    <w:rsid w:val="00913511"/>
    <w:rsid w:val="00913B2D"/>
    <w:rsid w:val="00914A3E"/>
    <w:rsid w:val="00914C71"/>
    <w:rsid w:val="00915838"/>
    <w:rsid w:val="009158B1"/>
    <w:rsid w:val="009163C1"/>
    <w:rsid w:val="00916492"/>
    <w:rsid w:val="00916CEA"/>
    <w:rsid w:val="00916E0D"/>
    <w:rsid w:val="009200AE"/>
    <w:rsid w:val="00921222"/>
    <w:rsid w:val="00922D32"/>
    <w:rsid w:val="0092385A"/>
    <w:rsid w:val="00923B52"/>
    <w:rsid w:val="0092430E"/>
    <w:rsid w:val="0092551D"/>
    <w:rsid w:val="009268D6"/>
    <w:rsid w:val="009272FA"/>
    <w:rsid w:val="009274BB"/>
    <w:rsid w:val="009279AC"/>
    <w:rsid w:val="00930BB5"/>
    <w:rsid w:val="00930DCD"/>
    <w:rsid w:val="00932901"/>
    <w:rsid w:val="00933B60"/>
    <w:rsid w:val="00934F83"/>
    <w:rsid w:val="00935101"/>
    <w:rsid w:val="0093640F"/>
    <w:rsid w:val="0093697B"/>
    <w:rsid w:val="009409AE"/>
    <w:rsid w:val="00941D5B"/>
    <w:rsid w:val="009426C8"/>
    <w:rsid w:val="00942D3B"/>
    <w:rsid w:val="009432E7"/>
    <w:rsid w:val="009433F8"/>
    <w:rsid w:val="00943505"/>
    <w:rsid w:val="009440A3"/>
    <w:rsid w:val="0094435F"/>
    <w:rsid w:val="00947109"/>
    <w:rsid w:val="00947DFE"/>
    <w:rsid w:val="0095047F"/>
    <w:rsid w:val="009519BF"/>
    <w:rsid w:val="0095209B"/>
    <w:rsid w:val="009521E7"/>
    <w:rsid w:val="00952487"/>
    <w:rsid w:val="00952731"/>
    <w:rsid w:val="00953CAF"/>
    <w:rsid w:val="00954781"/>
    <w:rsid w:val="00954AAD"/>
    <w:rsid w:val="00956D05"/>
    <w:rsid w:val="009578FE"/>
    <w:rsid w:val="0096074A"/>
    <w:rsid w:val="009615E8"/>
    <w:rsid w:val="00961694"/>
    <w:rsid w:val="00962CCC"/>
    <w:rsid w:val="00963E4E"/>
    <w:rsid w:val="00964454"/>
    <w:rsid w:val="00965416"/>
    <w:rsid w:val="009657EC"/>
    <w:rsid w:val="00965AF1"/>
    <w:rsid w:val="00965C30"/>
    <w:rsid w:val="009663FA"/>
    <w:rsid w:val="009670DF"/>
    <w:rsid w:val="00970DFB"/>
    <w:rsid w:val="00971337"/>
    <w:rsid w:val="0097159D"/>
    <w:rsid w:val="009724C7"/>
    <w:rsid w:val="00972BB2"/>
    <w:rsid w:val="00972F88"/>
    <w:rsid w:val="00973587"/>
    <w:rsid w:val="00973DAE"/>
    <w:rsid w:val="00974142"/>
    <w:rsid w:val="0097448A"/>
    <w:rsid w:val="00974B11"/>
    <w:rsid w:val="00974D4D"/>
    <w:rsid w:val="0097516D"/>
    <w:rsid w:val="00975303"/>
    <w:rsid w:val="0097568E"/>
    <w:rsid w:val="009757B5"/>
    <w:rsid w:val="00975849"/>
    <w:rsid w:val="00976243"/>
    <w:rsid w:val="0097630F"/>
    <w:rsid w:val="00976F5A"/>
    <w:rsid w:val="0097727D"/>
    <w:rsid w:val="009818F4"/>
    <w:rsid w:val="00982580"/>
    <w:rsid w:val="00982ACC"/>
    <w:rsid w:val="0098352A"/>
    <w:rsid w:val="009838D1"/>
    <w:rsid w:val="00983BFA"/>
    <w:rsid w:val="00983EDB"/>
    <w:rsid w:val="009840B9"/>
    <w:rsid w:val="00984F02"/>
    <w:rsid w:val="00986094"/>
    <w:rsid w:val="009863B7"/>
    <w:rsid w:val="00986596"/>
    <w:rsid w:val="009865D6"/>
    <w:rsid w:val="00986B0E"/>
    <w:rsid w:val="00987562"/>
    <w:rsid w:val="0099120B"/>
    <w:rsid w:val="009913F0"/>
    <w:rsid w:val="00991900"/>
    <w:rsid w:val="00991B18"/>
    <w:rsid w:val="00991F52"/>
    <w:rsid w:val="00992C3A"/>
    <w:rsid w:val="00993702"/>
    <w:rsid w:val="0099389D"/>
    <w:rsid w:val="00993906"/>
    <w:rsid w:val="00995B13"/>
    <w:rsid w:val="009964F0"/>
    <w:rsid w:val="0099665E"/>
    <w:rsid w:val="00997040"/>
    <w:rsid w:val="00997202"/>
    <w:rsid w:val="009A0629"/>
    <w:rsid w:val="009A0B7F"/>
    <w:rsid w:val="009A27D1"/>
    <w:rsid w:val="009A321D"/>
    <w:rsid w:val="009A3436"/>
    <w:rsid w:val="009A5189"/>
    <w:rsid w:val="009A537F"/>
    <w:rsid w:val="009A7B01"/>
    <w:rsid w:val="009A7EDD"/>
    <w:rsid w:val="009B08A5"/>
    <w:rsid w:val="009B0DDC"/>
    <w:rsid w:val="009B352D"/>
    <w:rsid w:val="009B41FB"/>
    <w:rsid w:val="009B44EA"/>
    <w:rsid w:val="009B4669"/>
    <w:rsid w:val="009B55FB"/>
    <w:rsid w:val="009B59A5"/>
    <w:rsid w:val="009B61A7"/>
    <w:rsid w:val="009B640B"/>
    <w:rsid w:val="009B7627"/>
    <w:rsid w:val="009B7E81"/>
    <w:rsid w:val="009C0059"/>
    <w:rsid w:val="009C02C2"/>
    <w:rsid w:val="009C0633"/>
    <w:rsid w:val="009C15E5"/>
    <w:rsid w:val="009C1AC1"/>
    <w:rsid w:val="009C2205"/>
    <w:rsid w:val="009C35EF"/>
    <w:rsid w:val="009C3E8E"/>
    <w:rsid w:val="009C50E9"/>
    <w:rsid w:val="009C69C9"/>
    <w:rsid w:val="009C6D66"/>
    <w:rsid w:val="009D11CB"/>
    <w:rsid w:val="009D26E5"/>
    <w:rsid w:val="009D2DB4"/>
    <w:rsid w:val="009D35E0"/>
    <w:rsid w:val="009D4DA9"/>
    <w:rsid w:val="009D5745"/>
    <w:rsid w:val="009D5C43"/>
    <w:rsid w:val="009D6515"/>
    <w:rsid w:val="009D697C"/>
    <w:rsid w:val="009D6A42"/>
    <w:rsid w:val="009D70A5"/>
    <w:rsid w:val="009D7788"/>
    <w:rsid w:val="009E09D4"/>
    <w:rsid w:val="009E0C44"/>
    <w:rsid w:val="009E1035"/>
    <w:rsid w:val="009E285C"/>
    <w:rsid w:val="009E2BA8"/>
    <w:rsid w:val="009E306F"/>
    <w:rsid w:val="009E3596"/>
    <w:rsid w:val="009E377A"/>
    <w:rsid w:val="009E59FD"/>
    <w:rsid w:val="009E5B18"/>
    <w:rsid w:val="009E5CD9"/>
    <w:rsid w:val="009E6BA3"/>
    <w:rsid w:val="009E7283"/>
    <w:rsid w:val="009E78AF"/>
    <w:rsid w:val="009E7BBF"/>
    <w:rsid w:val="009E7C80"/>
    <w:rsid w:val="009F08D3"/>
    <w:rsid w:val="009F0F66"/>
    <w:rsid w:val="009F1090"/>
    <w:rsid w:val="009F110B"/>
    <w:rsid w:val="009F2DAC"/>
    <w:rsid w:val="009F2FB9"/>
    <w:rsid w:val="009F307C"/>
    <w:rsid w:val="009F30FF"/>
    <w:rsid w:val="009F32DE"/>
    <w:rsid w:val="009F4359"/>
    <w:rsid w:val="009F4438"/>
    <w:rsid w:val="009F47AE"/>
    <w:rsid w:val="009F4C9C"/>
    <w:rsid w:val="009F52A7"/>
    <w:rsid w:val="009F5FD4"/>
    <w:rsid w:val="009F7287"/>
    <w:rsid w:val="009F7964"/>
    <w:rsid w:val="00A02922"/>
    <w:rsid w:val="00A0329D"/>
    <w:rsid w:val="00A068D8"/>
    <w:rsid w:val="00A06DA5"/>
    <w:rsid w:val="00A07436"/>
    <w:rsid w:val="00A07CDD"/>
    <w:rsid w:val="00A07DB1"/>
    <w:rsid w:val="00A107A3"/>
    <w:rsid w:val="00A11321"/>
    <w:rsid w:val="00A11416"/>
    <w:rsid w:val="00A11AEF"/>
    <w:rsid w:val="00A11C69"/>
    <w:rsid w:val="00A1219D"/>
    <w:rsid w:val="00A13F65"/>
    <w:rsid w:val="00A14296"/>
    <w:rsid w:val="00A14C00"/>
    <w:rsid w:val="00A14FDA"/>
    <w:rsid w:val="00A151C8"/>
    <w:rsid w:val="00A15C2F"/>
    <w:rsid w:val="00A15CF3"/>
    <w:rsid w:val="00A15F62"/>
    <w:rsid w:val="00A15F7E"/>
    <w:rsid w:val="00A16D26"/>
    <w:rsid w:val="00A202BD"/>
    <w:rsid w:val="00A20C11"/>
    <w:rsid w:val="00A20FBF"/>
    <w:rsid w:val="00A214D7"/>
    <w:rsid w:val="00A238BF"/>
    <w:rsid w:val="00A23C56"/>
    <w:rsid w:val="00A23E19"/>
    <w:rsid w:val="00A240DC"/>
    <w:rsid w:val="00A240FF"/>
    <w:rsid w:val="00A25EE4"/>
    <w:rsid w:val="00A26FEF"/>
    <w:rsid w:val="00A278FC"/>
    <w:rsid w:val="00A27A22"/>
    <w:rsid w:val="00A27B4C"/>
    <w:rsid w:val="00A3198D"/>
    <w:rsid w:val="00A32B50"/>
    <w:rsid w:val="00A32D62"/>
    <w:rsid w:val="00A32FE3"/>
    <w:rsid w:val="00A340FF"/>
    <w:rsid w:val="00A35AE3"/>
    <w:rsid w:val="00A35C0D"/>
    <w:rsid w:val="00A360D2"/>
    <w:rsid w:val="00A362B4"/>
    <w:rsid w:val="00A362C5"/>
    <w:rsid w:val="00A368F1"/>
    <w:rsid w:val="00A36EE2"/>
    <w:rsid w:val="00A37A03"/>
    <w:rsid w:val="00A37AF2"/>
    <w:rsid w:val="00A37E73"/>
    <w:rsid w:val="00A4145F"/>
    <w:rsid w:val="00A41EA4"/>
    <w:rsid w:val="00A42B6C"/>
    <w:rsid w:val="00A42E31"/>
    <w:rsid w:val="00A430DE"/>
    <w:rsid w:val="00A43772"/>
    <w:rsid w:val="00A43D08"/>
    <w:rsid w:val="00A44416"/>
    <w:rsid w:val="00A44968"/>
    <w:rsid w:val="00A44D2A"/>
    <w:rsid w:val="00A45655"/>
    <w:rsid w:val="00A46EF2"/>
    <w:rsid w:val="00A47302"/>
    <w:rsid w:val="00A47ED1"/>
    <w:rsid w:val="00A5005E"/>
    <w:rsid w:val="00A508AE"/>
    <w:rsid w:val="00A50FF0"/>
    <w:rsid w:val="00A5221E"/>
    <w:rsid w:val="00A52CE9"/>
    <w:rsid w:val="00A531B7"/>
    <w:rsid w:val="00A533F3"/>
    <w:rsid w:val="00A53688"/>
    <w:rsid w:val="00A54782"/>
    <w:rsid w:val="00A54A48"/>
    <w:rsid w:val="00A54A72"/>
    <w:rsid w:val="00A55230"/>
    <w:rsid w:val="00A55936"/>
    <w:rsid w:val="00A55B34"/>
    <w:rsid w:val="00A55CCE"/>
    <w:rsid w:val="00A563F6"/>
    <w:rsid w:val="00A564B1"/>
    <w:rsid w:val="00A56A1C"/>
    <w:rsid w:val="00A56D3C"/>
    <w:rsid w:val="00A5771A"/>
    <w:rsid w:val="00A579C6"/>
    <w:rsid w:val="00A609ED"/>
    <w:rsid w:val="00A60F73"/>
    <w:rsid w:val="00A620D8"/>
    <w:rsid w:val="00A62B1C"/>
    <w:rsid w:val="00A6438D"/>
    <w:rsid w:val="00A64414"/>
    <w:rsid w:val="00A6471B"/>
    <w:rsid w:val="00A65018"/>
    <w:rsid w:val="00A65657"/>
    <w:rsid w:val="00A65C5B"/>
    <w:rsid w:val="00A65F9F"/>
    <w:rsid w:val="00A6723F"/>
    <w:rsid w:val="00A70A30"/>
    <w:rsid w:val="00A70FBA"/>
    <w:rsid w:val="00A71064"/>
    <w:rsid w:val="00A710F7"/>
    <w:rsid w:val="00A712B1"/>
    <w:rsid w:val="00A7167A"/>
    <w:rsid w:val="00A7199C"/>
    <w:rsid w:val="00A722AD"/>
    <w:rsid w:val="00A727C6"/>
    <w:rsid w:val="00A72ED9"/>
    <w:rsid w:val="00A739D0"/>
    <w:rsid w:val="00A73BA5"/>
    <w:rsid w:val="00A74887"/>
    <w:rsid w:val="00A74D38"/>
    <w:rsid w:val="00A750F1"/>
    <w:rsid w:val="00A757F4"/>
    <w:rsid w:val="00A7748D"/>
    <w:rsid w:val="00A803D5"/>
    <w:rsid w:val="00A804A7"/>
    <w:rsid w:val="00A808DE"/>
    <w:rsid w:val="00A819AB"/>
    <w:rsid w:val="00A82135"/>
    <w:rsid w:val="00A8215B"/>
    <w:rsid w:val="00A82948"/>
    <w:rsid w:val="00A82EFF"/>
    <w:rsid w:val="00A834BB"/>
    <w:rsid w:val="00A835E8"/>
    <w:rsid w:val="00A83632"/>
    <w:rsid w:val="00A83710"/>
    <w:rsid w:val="00A84C16"/>
    <w:rsid w:val="00A86296"/>
    <w:rsid w:val="00A8640B"/>
    <w:rsid w:val="00A8644B"/>
    <w:rsid w:val="00A86528"/>
    <w:rsid w:val="00A872B8"/>
    <w:rsid w:val="00A8748D"/>
    <w:rsid w:val="00A91202"/>
    <w:rsid w:val="00A91A65"/>
    <w:rsid w:val="00A9202C"/>
    <w:rsid w:val="00A924CD"/>
    <w:rsid w:val="00A92575"/>
    <w:rsid w:val="00A92603"/>
    <w:rsid w:val="00A92B5D"/>
    <w:rsid w:val="00A92E4C"/>
    <w:rsid w:val="00A94798"/>
    <w:rsid w:val="00A94DF9"/>
    <w:rsid w:val="00A95271"/>
    <w:rsid w:val="00A97DF1"/>
    <w:rsid w:val="00A97FD4"/>
    <w:rsid w:val="00AA0186"/>
    <w:rsid w:val="00AA137C"/>
    <w:rsid w:val="00AA1699"/>
    <w:rsid w:val="00AA1DC7"/>
    <w:rsid w:val="00AA21F5"/>
    <w:rsid w:val="00AA2C34"/>
    <w:rsid w:val="00AA328D"/>
    <w:rsid w:val="00AA3FBA"/>
    <w:rsid w:val="00AA42EF"/>
    <w:rsid w:val="00AA48F8"/>
    <w:rsid w:val="00AA5B77"/>
    <w:rsid w:val="00AA719F"/>
    <w:rsid w:val="00AA75AA"/>
    <w:rsid w:val="00AB0FA0"/>
    <w:rsid w:val="00AB1126"/>
    <w:rsid w:val="00AB17EA"/>
    <w:rsid w:val="00AB2AF6"/>
    <w:rsid w:val="00AB3F40"/>
    <w:rsid w:val="00AB41FF"/>
    <w:rsid w:val="00AB4C04"/>
    <w:rsid w:val="00AB5146"/>
    <w:rsid w:val="00AB54C3"/>
    <w:rsid w:val="00AB5F73"/>
    <w:rsid w:val="00AB6DDC"/>
    <w:rsid w:val="00AB729C"/>
    <w:rsid w:val="00AC083F"/>
    <w:rsid w:val="00AC24A9"/>
    <w:rsid w:val="00AC255B"/>
    <w:rsid w:val="00AC32E9"/>
    <w:rsid w:val="00AC3CDD"/>
    <w:rsid w:val="00AC4EC3"/>
    <w:rsid w:val="00AC5006"/>
    <w:rsid w:val="00AC66BC"/>
    <w:rsid w:val="00AD0C05"/>
    <w:rsid w:val="00AD1771"/>
    <w:rsid w:val="00AD1ED8"/>
    <w:rsid w:val="00AD2E31"/>
    <w:rsid w:val="00AD41C5"/>
    <w:rsid w:val="00AD4FEF"/>
    <w:rsid w:val="00AD6343"/>
    <w:rsid w:val="00AD6828"/>
    <w:rsid w:val="00AD6D43"/>
    <w:rsid w:val="00AD732B"/>
    <w:rsid w:val="00AD75F8"/>
    <w:rsid w:val="00AE026F"/>
    <w:rsid w:val="00AE0A20"/>
    <w:rsid w:val="00AE0BA5"/>
    <w:rsid w:val="00AE0C54"/>
    <w:rsid w:val="00AE0EDE"/>
    <w:rsid w:val="00AE1006"/>
    <w:rsid w:val="00AE1951"/>
    <w:rsid w:val="00AE2D9A"/>
    <w:rsid w:val="00AE3B2C"/>
    <w:rsid w:val="00AE42AA"/>
    <w:rsid w:val="00AE4356"/>
    <w:rsid w:val="00AE4396"/>
    <w:rsid w:val="00AE63E4"/>
    <w:rsid w:val="00AE6C53"/>
    <w:rsid w:val="00AE765F"/>
    <w:rsid w:val="00AE7A07"/>
    <w:rsid w:val="00AE7CB0"/>
    <w:rsid w:val="00AF26C2"/>
    <w:rsid w:val="00AF29D4"/>
    <w:rsid w:val="00AF2F6F"/>
    <w:rsid w:val="00AF33CC"/>
    <w:rsid w:val="00AF3601"/>
    <w:rsid w:val="00AF6C5F"/>
    <w:rsid w:val="00AF6C60"/>
    <w:rsid w:val="00B0015A"/>
    <w:rsid w:val="00B0130A"/>
    <w:rsid w:val="00B022F8"/>
    <w:rsid w:val="00B0423F"/>
    <w:rsid w:val="00B047D9"/>
    <w:rsid w:val="00B06175"/>
    <w:rsid w:val="00B0643B"/>
    <w:rsid w:val="00B0683C"/>
    <w:rsid w:val="00B06C19"/>
    <w:rsid w:val="00B07630"/>
    <w:rsid w:val="00B07A17"/>
    <w:rsid w:val="00B1026B"/>
    <w:rsid w:val="00B109EB"/>
    <w:rsid w:val="00B114F7"/>
    <w:rsid w:val="00B1192F"/>
    <w:rsid w:val="00B11AAF"/>
    <w:rsid w:val="00B122CE"/>
    <w:rsid w:val="00B12775"/>
    <w:rsid w:val="00B12B3B"/>
    <w:rsid w:val="00B133C5"/>
    <w:rsid w:val="00B138AD"/>
    <w:rsid w:val="00B13E5B"/>
    <w:rsid w:val="00B1437F"/>
    <w:rsid w:val="00B1477F"/>
    <w:rsid w:val="00B14894"/>
    <w:rsid w:val="00B160A8"/>
    <w:rsid w:val="00B166B8"/>
    <w:rsid w:val="00B170A8"/>
    <w:rsid w:val="00B17647"/>
    <w:rsid w:val="00B1774F"/>
    <w:rsid w:val="00B17A7B"/>
    <w:rsid w:val="00B17BA5"/>
    <w:rsid w:val="00B17CE3"/>
    <w:rsid w:val="00B20039"/>
    <w:rsid w:val="00B200F8"/>
    <w:rsid w:val="00B20266"/>
    <w:rsid w:val="00B2165E"/>
    <w:rsid w:val="00B216A0"/>
    <w:rsid w:val="00B21975"/>
    <w:rsid w:val="00B23F1F"/>
    <w:rsid w:val="00B2471E"/>
    <w:rsid w:val="00B24BD7"/>
    <w:rsid w:val="00B25030"/>
    <w:rsid w:val="00B271C3"/>
    <w:rsid w:val="00B3165B"/>
    <w:rsid w:val="00B32029"/>
    <w:rsid w:val="00B320D0"/>
    <w:rsid w:val="00B32E55"/>
    <w:rsid w:val="00B34594"/>
    <w:rsid w:val="00B35617"/>
    <w:rsid w:val="00B35A7E"/>
    <w:rsid w:val="00B35EE1"/>
    <w:rsid w:val="00B36132"/>
    <w:rsid w:val="00B40D6C"/>
    <w:rsid w:val="00B410B8"/>
    <w:rsid w:val="00B423BA"/>
    <w:rsid w:val="00B4257F"/>
    <w:rsid w:val="00B42BB5"/>
    <w:rsid w:val="00B4322B"/>
    <w:rsid w:val="00B43A92"/>
    <w:rsid w:val="00B44770"/>
    <w:rsid w:val="00B45AD9"/>
    <w:rsid w:val="00B45CB3"/>
    <w:rsid w:val="00B45F9D"/>
    <w:rsid w:val="00B47CB8"/>
    <w:rsid w:val="00B5167A"/>
    <w:rsid w:val="00B52118"/>
    <w:rsid w:val="00B5218F"/>
    <w:rsid w:val="00B5274A"/>
    <w:rsid w:val="00B54001"/>
    <w:rsid w:val="00B567AE"/>
    <w:rsid w:val="00B56C93"/>
    <w:rsid w:val="00B57220"/>
    <w:rsid w:val="00B576E5"/>
    <w:rsid w:val="00B6000B"/>
    <w:rsid w:val="00B6014F"/>
    <w:rsid w:val="00B6022E"/>
    <w:rsid w:val="00B605EC"/>
    <w:rsid w:val="00B61203"/>
    <w:rsid w:val="00B61E17"/>
    <w:rsid w:val="00B62F1D"/>
    <w:rsid w:val="00B6374B"/>
    <w:rsid w:val="00B638C0"/>
    <w:rsid w:val="00B64281"/>
    <w:rsid w:val="00B6507F"/>
    <w:rsid w:val="00B66195"/>
    <w:rsid w:val="00B661A1"/>
    <w:rsid w:val="00B675B6"/>
    <w:rsid w:val="00B67C0B"/>
    <w:rsid w:val="00B70B03"/>
    <w:rsid w:val="00B70E6D"/>
    <w:rsid w:val="00B71510"/>
    <w:rsid w:val="00B71A55"/>
    <w:rsid w:val="00B71F91"/>
    <w:rsid w:val="00B725AE"/>
    <w:rsid w:val="00B72A1E"/>
    <w:rsid w:val="00B7343E"/>
    <w:rsid w:val="00B73A66"/>
    <w:rsid w:val="00B742A1"/>
    <w:rsid w:val="00B749B6"/>
    <w:rsid w:val="00B74E9A"/>
    <w:rsid w:val="00B756C0"/>
    <w:rsid w:val="00B7592B"/>
    <w:rsid w:val="00B7609C"/>
    <w:rsid w:val="00B77BFC"/>
    <w:rsid w:val="00B77FC4"/>
    <w:rsid w:val="00B82601"/>
    <w:rsid w:val="00B82A27"/>
    <w:rsid w:val="00B82DD4"/>
    <w:rsid w:val="00B832D7"/>
    <w:rsid w:val="00B844DA"/>
    <w:rsid w:val="00B84D12"/>
    <w:rsid w:val="00B84EE9"/>
    <w:rsid w:val="00B85433"/>
    <w:rsid w:val="00B85690"/>
    <w:rsid w:val="00B90B28"/>
    <w:rsid w:val="00B90C60"/>
    <w:rsid w:val="00B9135E"/>
    <w:rsid w:val="00B9174E"/>
    <w:rsid w:val="00B91A8F"/>
    <w:rsid w:val="00B920BE"/>
    <w:rsid w:val="00B927E0"/>
    <w:rsid w:val="00B9392F"/>
    <w:rsid w:val="00B93C3F"/>
    <w:rsid w:val="00B93EC4"/>
    <w:rsid w:val="00B94755"/>
    <w:rsid w:val="00B95B37"/>
    <w:rsid w:val="00B96B62"/>
    <w:rsid w:val="00B97622"/>
    <w:rsid w:val="00BA0125"/>
    <w:rsid w:val="00BA018F"/>
    <w:rsid w:val="00BA0324"/>
    <w:rsid w:val="00BA1B43"/>
    <w:rsid w:val="00BA1BAB"/>
    <w:rsid w:val="00BA2131"/>
    <w:rsid w:val="00BA2ED5"/>
    <w:rsid w:val="00BA461A"/>
    <w:rsid w:val="00BA4668"/>
    <w:rsid w:val="00BA4A64"/>
    <w:rsid w:val="00BA4CD2"/>
    <w:rsid w:val="00BA53C0"/>
    <w:rsid w:val="00BA5672"/>
    <w:rsid w:val="00BA57A8"/>
    <w:rsid w:val="00BA58BD"/>
    <w:rsid w:val="00BA6177"/>
    <w:rsid w:val="00BA61E4"/>
    <w:rsid w:val="00BA6D12"/>
    <w:rsid w:val="00BA7DA6"/>
    <w:rsid w:val="00BB0A9E"/>
    <w:rsid w:val="00BB14D9"/>
    <w:rsid w:val="00BB17F0"/>
    <w:rsid w:val="00BB1A6A"/>
    <w:rsid w:val="00BB2408"/>
    <w:rsid w:val="00BB2773"/>
    <w:rsid w:val="00BB2F00"/>
    <w:rsid w:val="00BB3316"/>
    <w:rsid w:val="00BB3471"/>
    <w:rsid w:val="00BB3CB5"/>
    <w:rsid w:val="00BB3E66"/>
    <w:rsid w:val="00BB417F"/>
    <w:rsid w:val="00BB4A87"/>
    <w:rsid w:val="00BB570A"/>
    <w:rsid w:val="00BB5AE0"/>
    <w:rsid w:val="00BB610F"/>
    <w:rsid w:val="00BB6D4B"/>
    <w:rsid w:val="00BB7A7B"/>
    <w:rsid w:val="00BB7DE7"/>
    <w:rsid w:val="00BC035D"/>
    <w:rsid w:val="00BC05E1"/>
    <w:rsid w:val="00BC0AB0"/>
    <w:rsid w:val="00BC0FA3"/>
    <w:rsid w:val="00BC149C"/>
    <w:rsid w:val="00BC158B"/>
    <w:rsid w:val="00BC245D"/>
    <w:rsid w:val="00BC31F5"/>
    <w:rsid w:val="00BC3FD2"/>
    <w:rsid w:val="00BC470D"/>
    <w:rsid w:val="00BC511A"/>
    <w:rsid w:val="00BC644B"/>
    <w:rsid w:val="00BC723C"/>
    <w:rsid w:val="00BC7470"/>
    <w:rsid w:val="00BC772E"/>
    <w:rsid w:val="00BD06EF"/>
    <w:rsid w:val="00BD082A"/>
    <w:rsid w:val="00BD1DB7"/>
    <w:rsid w:val="00BD21CB"/>
    <w:rsid w:val="00BD38AB"/>
    <w:rsid w:val="00BD5549"/>
    <w:rsid w:val="00BD5B4C"/>
    <w:rsid w:val="00BE0434"/>
    <w:rsid w:val="00BE0E60"/>
    <w:rsid w:val="00BE15D5"/>
    <w:rsid w:val="00BE2BE8"/>
    <w:rsid w:val="00BE3C9E"/>
    <w:rsid w:val="00BE4A9B"/>
    <w:rsid w:val="00BE5F42"/>
    <w:rsid w:val="00BE73DE"/>
    <w:rsid w:val="00BE7A82"/>
    <w:rsid w:val="00BF0E83"/>
    <w:rsid w:val="00BF15AC"/>
    <w:rsid w:val="00BF1F0C"/>
    <w:rsid w:val="00BF22DA"/>
    <w:rsid w:val="00BF325E"/>
    <w:rsid w:val="00BF334C"/>
    <w:rsid w:val="00BF363A"/>
    <w:rsid w:val="00BF5311"/>
    <w:rsid w:val="00BF531E"/>
    <w:rsid w:val="00BF5A63"/>
    <w:rsid w:val="00BF5FD8"/>
    <w:rsid w:val="00BF65AF"/>
    <w:rsid w:val="00BF6690"/>
    <w:rsid w:val="00BF6EC0"/>
    <w:rsid w:val="00BF7440"/>
    <w:rsid w:val="00C00D89"/>
    <w:rsid w:val="00C0150E"/>
    <w:rsid w:val="00C0208D"/>
    <w:rsid w:val="00C033D6"/>
    <w:rsid w:val="00C040F4"/>
    <w:rsid w:val="00C05418"/>
    <w:rsid w:val="00C0595D"/>
    <w:rsid w:val="00C067E3"/>
    <w:rsid w:val="00C06B3E"/>
    <w:rsid w:val="00C07471"/>
    <w:rsid w:val="00C07D87"/>
    <w:rsid w:val="00C07FB6"/>
    <w:rsid w:val="00C1048C"/>
    <w:rsid w:val="00C108F1"/>
    <w:rsid w:val="00C10C4B"/>
    <w:rsid w:val="00C12CA2"/>
    <w:rsid w:val="00C1313F"/>
    <w:rsid w:val="00C13684"/>
    <w:rsid w:val="00C153B9"/>
    <w:rsid w:val="00C1592C"/>
    <w:rsid w:val="00C15CEB"/>
    <w:rsid w:val="00C164DF"/>
    <w:rsid w:val="00C165F6"/>
    <w:rsid w:val="00C16B19"/>
    <w:rsid w:val="00C174F5"/>
    <w:rsid w:val="00C17D38"/>
    <w:rsid w:val="00C17E4F"/>
    <w:rsid w:val="00C201B2"/>
    <w:rsid w:val="00C2080A"/>
    <w:rsid w:val="00C21037"/>
    <w:rsid w:val="00C2136F"/>
    <w:rsid w:val="00C21AB8"/>
    <w:rsid w:val="00C21D33"/>
    <w:rsid w:val="00C21E96"/>
    <w:rsid w:val="00C22473"/>
    <w:rsid w:val="00C22891"/>
    <w:rsid w:val="00C22E9C"/>
    <w:rsid w:val="00C2340B"/>
    <w:rsid w:val="00C23F1A"/>
    <w:rsid w:val="00C2402E"/>
    <w:rsid w:val="00C24861"/>
    <w:rsid w:val="00C25717"/>
    <w:rsid w:val="00C265E8"/>
    <w:rsid w:val="00C26A3C"/>
    <w:rsid w:val="00C26DE6"/>
    <w:rsid w:val="00C271C3"/>
    <w:rsid w:val="00C27CD7"/>
    <w:rsid w:val="00C27CF5"/>
    <w:rsid w:val="00C30222"/>
    <w:rsid w:val="00C306B8"/>
    <w:rsid w:val="00C30E0E"/>
    <w:rsid w:val="00C31232"/>
    <w:rsid w:val="00C317E1"/>
    <w:rsid w:val="00C31D07"/>
    <w:rsid w:val="00C323D5"/>
    <w:rsid w:val="00C32DB6"/>
    <w:rsid w:val="00C33426"/>
    <w:rsid w:val="00C33779"/>
    <w:rsid w:val="00C3381E"/>
    <w:rsid w:val="00C34775"/>
    <w:rsid w:val="00C3507A"/>
    <w:rsid w:val="00C370E5"/>
    <w:rsid w:val="00C37158"/>
    <w:rsid w:val="00C3785A"/>
    <w:rsid w:val="00C37952"/>
    <w:rsid w:val="00C37AF6"/>
    <w:rsid w:val="00C400E2"/>
    <w:rsid w:val="00C4017F"/>
    <w:rsid w:val="00C40762"/>
    <w:rsid w:val="00C412B7"/>
    <w:rsid w:val="00C41D5D"/>
    <w:rsid w:val="00C4288B"/>
    <w:rsid w:val="00C42FE6"/>
    <w:rsid w:val="00C43106"/>
    <w:rsid w:val="00C44F08"/>
    <w:rsid w:val="00C4549F"/>
    <w:rsid w:val="00C47083"/>
    <w:rsid w:val="00C4742D"/>
    <w:rsid w:val="00C47AA8"/>
    <w:rsid w:val="00C5150A"/>
    <w:rsid w:val="00C51EDC"/>
    <w:rsid w:val="00C52A09"/>
    <w:rsid w:val="00C52C50"/>
    <w:rsid w:val="00C533CD"/>
    <w:rsid w:val="00C542D9"/>
    <w:rsid w:val="00C54906"/>
    <w:rsid w:val="00C54A49"/>
    <w:rsid w:val="00C5628C"/>
    <w:rsid w:val="00C5656F"/>
    <w:rsid w:val="00C566A5"/>
    <w:rsid w:val="00C568C5"/>
    <w:rsid w:val="00C56B4C"/>
    <w:rsid w:val="00C56E53"/>
    <w:rsid w:val="00C57851"/>
    <w:rsid w:val="00C6038F"/>
    <w:rsid w:val="00C607D2"/>
    <w:rsid w:val="00C6097F"/>
    <w:rsid w:val="00C60C55"/>
    <w:rsid w:val="00C615EA"/>
    <w:rsid w:val="00C62559"/>
    <w:rsid w:val="00C626B3"/>
    <w:rsid w:val="00C62A03"/>
    <w:rsid w:val="00C6339D"/>
    <w:rsid w:val="00C6353E"/>
    <w:rsid w:val="00C63556"/>
    <w:rsid w:val="00C6407A"/>
    <w:rsid w:val="00C646B1"/>
    <w:rsid w:val="00C649A8"/>
    <w:rsid w:val="00C64CB3"/>
    <w:rsid w:val="00C64D2F"/>
    <w:rsid w:val="00C652E8"/>
    <w:rsid w:val="00C65649"/>
    <w:rsid w:val="00C65FF0"/>
    <w:rsid w:val="00C66AED"/>
    <w:rsid w:val="00C67B69"/>
    <w:rsid w:val="00C67F15"/>
    <w:rsid w:val="00C70478"/>
    <w:rsid w:val="00C7086F"/>
    <w:rsid w:val="00C75295"/>
    <w:rsid w:val="00C753F2"/>
    <w:rsid w:val="00C753F4"/>
    <w:rsid w:val="00C756C0"/>
    <w:rsid w:val="00C75B97"/>
    <w:rsid w:val="00C76EEC"/>
    <w:rsid w:val="00C80126"/>
    <w:rsid w:val="00C8014F"/>
    <w:rsid w:val="00C803B2"/>
    <w:rsid w:val="00C80BBD"/>
    <w:rsid w:val="00C80D99"/>
    <w:rsid w:val="00C8205C"/>
    <w:rsid w:val="00C83591"/>
    <w:rsid w:val="00C8488D"/>
    <w:rsid w:val="00C84CA6"/>
    <w:rsid w:val="00C84FB9"/>
    <w:rsid w:val="00C8536C"/>
    <w:rsid w:val="00C85627"/>
    <w:rsid w:val="00C85E6D"/>
    <w:rsid w:val="00C85FD9"/>
    <w:rsid w:val="00C8710F"/>
    <w:rsid w:val="00C87776"/>
    <w:rsid w:val="00C87BA8"/>
    <w:rsid w:val="00C906B5"/>
    <w:rsid w:val="00C90F75"/>
    <w:rsid w:val="00C9158D"/>
    <w:rsid w:val="00C91E39"/>
    <w:rsid w:val="00C92530"/>
    <w:rsid w:val="00C926CB"/>
    <w:rsid w:val="00C92FAF"/>
    <w:rsid w:val="00C932B2"/>
    <w:rsid w:val="00C941A8"/>
    <w:rsid w:val="00C94820"/>
    <w:rsid w:val="00C95235"/>
    <w:rsid w:val="00C958EB"/>
    <w:rsid w:val="00C97534"/>
    <w:rsid w:val="00C9760B"/>
    <w:rsid w:val="00CA0293"/>
    <w:rsid w:val="00CA080E"/>
    <w:rsid w:val="00CA0A64"/>
    <w:rsid w:val="00CA0BC4"/>
    <w:rsid w:val="00CA0CFE"/>
    <w:rsid w:val="00CA1CCB"/>
    <w:rsid w:val="00CA25BB"/>
    <w:rsid w:val="00CA2838"/>
    <w:rsid w:val="00CA3354"/>
    <w:rsid w:val="00CA3A1C"/>
    <w:rsid w:val="00CA3FCA"/>
    <w:rsid w:val="00CA531A"/>
    <w:rsid w:val="00CA6CDB"/>
    <w:rsid w:val="00CA7678"/>
    <w:rsid w:val="00CB0F6F"/>
    <w:rsid w:val="00CB1673"/>
    <w:rsid w:val="00CB1847"/>
    <w:rsid w:val="00CB276B"/>
    <w:rsid w:val="00CB400F"/>
    <w:rsid w:val="00CB583E"/>
    <w:rsid w:val="00CB5B28"/>
    <w:rsid w:val="00CB60F3"/>
    <w:rsid w:val="00CB6E31"/>
    <w:rsid w:val="00CB7157"/>
    <w:rsid w:val="00CC0574"/>
    <w:rsid w:val="00CC0DF8"/>
    <w:rsid w:val="00CC1A21"/>
    <w:rsid w:val="00CC28F4"/>
    <w:rsid w:val="00CC2906"/>
    <w:rsid w:val="00CC4141"/>
    <w:rsid w:val="00CC475B"/>
    <w:rsid w:val="00CC4D63"/>
    <w:rsid w:val="00CC4D7F"/>
    <w:rsid w:val="00CC4FCE"/>
    <w:rsid w:val="00CC527A"/>
    <w:rsid w:val="00CC5715"/>
    <w:rsid w:val="00CC5A69"/>
    <w:rsid w:val="00CC5D93"/>
    <w:rsid w:val="00CC6631"/>
    <w:rsid w:val="00CC6817"/>
    <w:rsid w:val="00CC6F66"/>
    <w:rsid w:val="00CC78EB"/>
    <w:rsid w:val="00CC7D11"/>
    <w:rsid w:val="00CD067E"/>
    <w:rsid w:val="00CD079F"/>
    <w:rsid w:val="00CD0B0D"/>
    <w:rsid w:val="00CD1165"/>
    <w:rsid w:val="00CD1882"/>
    <w:rsid w:val="00CD2C27"/>
    <w:rsid w:val="00CD3A2D"/>
    <w:rsid w:val="00CD4710"/>
    <w:rsid w:val="00CD5117"/>
    <w:rsid w:val="00CD6E61"/>
    <w:rsid w:val="00CD7B0C"/>
    <w:rsid w:val="00CD7FFA"/>
    <w:rsid w:val="00CE092C"/>
    <w:rsid w:val="00CE0AD1"/>
    <w:rsid w:val="00CE168B"/>
    <w:rsid w:val="00CE223A"/>
    <w:rsid w:val="00CE22C2"/>
    <w:rsid w:val="00CE2D49"/>
    <w:rsid w:val="00CE2F82"/>
    <w:rsid w:val="00CE4F16"/>
    <w:rsid w:val="00CE50E7"/>
    <w:rsid w:val="00CE5D05"/>
    <w:rsid w:val="00CE5F31"/>
    <w:rsid w:val="00CE5F4B"/>
    <w:rsid w:val="00CE6A84"/>
    <w:rsid w:val="00CE6E74"/>
    <w:rsid w:val="00CE7BA5"/>
    <w:rsid w:val="00CE7C08"/>
    <w:rsid w:val="00CF034A"/>
    <w:rsid w:val="00CF0EEE"/>
    <w:rsid w:val="00CF1BD1"/>
    <w:rsid w:val="00CF1F7D"/>
    <w:rsid w:val="00CF2041"/>
    <w:rsid w:val="00CF2294"/>
    <w:rsid w:val="00CF23FB"/>
    <w:rsid w:val="00CF2603"/>
    <w:rsid w:val="00CF2B48"/>
    <w:rsid w:val="00CF31CA"/>
    <w:rsid w:val="00CF3B6D"/>
    <w:rsid w:val="00CF3FB4"/>
    <w:rsid w:val="00CF584C"/>
    <w:rsid w:val="00CF5911"/>
    <w:rsid w:val="00CF5C34"/>
    <w:rsid w:val="00CF60A3"/>
    <w:rsid w:val="00CF62CA"/>
    <w:rsid w:val="00CF6CDD"/>
    <w:rsid w:val="00CF6F3B"/>
    <w:rsid w:val="00CF7408"/>
    <w:rsid w:val="00CF7706"/>
    <w:rsid w:val="00CF77AB"/>
    <w:rsid w:val="00D009BB"/>
    <w:rsid w:val="00D010B4"/>
    <w:rsid w:val="00D0142F"/>
    <w:rsid w:val="00D0187E"/>
    <w:rsid w:val="00D01C26"/>
    <w:rsid w:val="00D03076"/>
    <w:rsid w:val="00D04595"/>
    <w:rsid w:val="00D0529F"/>
    <w:rsid w:val="00D07256"/>
    <w:rsid w:val="00D1008E"/>
    <w:rsid w:val="00D101FF"/>
    <w:rsid w:val="00D1190A"/>
    <w:rsid w:val="00D1298B"/>
    <w:rsid w:val="00D129BE"/>
    <w:rsid w:val="00D12C92"/>
    <w:rsid w:val="00D141CB"/>
    <w:rsid w:val="00D15B35"/>
    <w:rsid w:val="00D15FAE"/>
    <w:rsid w:val="00D162B1"/>
    <w:rsid w:val="00D16680"/>
    <w:rsid w:val="00D16F19"/>
    <w:rsid w:val="00D17931"/>
    <w:rsid w:val="00D204EA"/>
    <w:rsid w:val="00D21404"/>
    <w:rsid w:val="00D21BC7"/>
    <w:rsid w:val="00D22709"/>
    <w:rsid w:val="00D22C42"/>
    <w:rsid w:val="00D23BA1"/>
    <w:rsid w:val="00D23D80"/>
    <w:rsid w:val="00D24718"/>
    <w:rsid w:val="00D253A7"/>
    <w:rsid w:val="00D25AB8"/>
    <w:rsid w:val="00D26142"/>
    <w:rsid w:val="00D264EF"/>
    <w:rsid w:val="00D26F68"/>
    <w:rsid w:val="00D277AB"/>
    <w:rsid w:val="00D27F85"/>
    <w:rsid w:val="00D30799"/>
    <w:rsid w:val="00D30D52"/>
    <w:rsid w:val="00D31823"/>
    <w:rsid w:val="00D31919"/>
    <w:rsid w:val="00D321C1"/>
    <w:rsid w:val="00D325C2"/>
    <w:rsid w:val="00D33043"/>
    <w:rsid w:val="00D33072"/>
    <w:rsid w:val="00D33647"/>
    <w:rsid w:val="00D349E1"/>
    <w:rsid w:val="00D34DE6"/>
    <w:rsid w:val="00D34E93"/>
    <w:rsid w:val="00D354A9"/>
    <w:rsid w:val="00D35955"/>
    <w:rsid w:val="00D35E59"/>
    <w:rsid w:val="00D371F3"/>
    <w:rsid w:val="00D377EA"/>
    <w:rsid w:val="00D411EE"/>
    <w:rsid w:val="00D4156D"/>
    <w:rsid w:val="00D419C2"/>
    <w:rsid w:val="00D41CAE"/>
    <w:rsid w:val="00D41CC9"/>
    <w:rsid w:val="00D4278F"/>
    <w:rsid w:val="00D43419"/>
    <w:rsid w:val="00D43780"/>
    <w:rsid w:val="00D438B8"/>
    <w:rsid w:val="00D43C7E"/>
    <w:rsid w:val="00D446A7"/>
    <w:rsid w:val="00D44C07"/>
    <w:rsid w:val="00D44D52"/>
    <w:rsid w:val="00D44FB1"/>
    <w:rsid w:val="00D4528F"/>
    <w:rsid w:val="00D45537"/>
    <w:rsid w:val="00D46567"/>
    <w:rsid w:val="00D476A8"/>
    <w:rsid w:val="00D47E9B"/>
    <w:rsid w:val="00D507E1"/>
    <w:rsid w:val="00D50944"/>
    <w:rsid w:val="00D517C9"/>
    <w:rsid w:val="00D51B73"/>
    <w:rsid w:val="00D52174"/>
    <w:rsid w:val="00D521A8"/>
    <w:rsid w:val="00D524E6"/>
    <w:rsid w:val="00D52FBC"/>
    <w:rsid w:val="00D562A0"/>
    <w:rsid w:val="00D56620"/>
    <w:rsid w:val="00D5666C"/>
    <w:rsid w:val="00D56F73"/>
    <w:rsid w:val="00D57256"/>
    <w:rsid w:val="00D57606"/>
    <w:rsid w:val="00D579A4"/>
    <w:rsid w:val="00D6075A"/>
    <w:rsid w:val="00D6085D"/>
    <w:rsid w:val="00D60D8B"/>
    <w:rsid w:val="00D62D8A"/>
    <w:rsid w:val="00D63330"/>
    <w:rsid w:val="00D641CA"/>
    <w:rsid w:val="00D650C4"/>
    <w:rsid w:val="00D65AE6"/>
    <w:rsid w:val="00D65B3A"/>
    <w:rsid w:val="00D6655A"/>
    <w:rsid w:val="00D66B48"/>
    <w:rsid w:val="00D66C43"/>
    <w:rsid w:val="00D66C71"/>
    <w:rsid w:val="00D6757B"/>
    <w:rsid w:val="00D7117E"/>
    <w:rsid w:val="00D71473"/>
    <w:rsid w:val="00D71C02"/>
    <w:rsid w:val="00D72A7C"/>
    <w:rsid w:val="00D72F42"/>
    <w:rsid w:val="00D7319F"/>
    <w:rsid w:val="00D73D34"/>
    <w:rsid w:val="00D73DED"/>
    <w:rsid w:val="00D74694"/>
    <w:rsid w:val="00D74B42"/>
    <w:rsid w:val="00D75734"/>
    <w:rsid w:val="00D7593E"/>
    <w:rsid w:val="00D75A1B"/>
    <w:rsid w:val="00D75EAD"/>
    <w:rsid w:val="00D76102"/>
    <w:rsid w:val="00D770A7"/>
    <w:rsid w:val="00D8191F"/>
    <w:rsid w:val="00D823CB"/>
    <w:rsid w:val="00D829B9"/>
    <w:rsid w:val="00D83452"/>
    <w:rsid w:val="00D83ED4"/>
    <w:rsid w:val="00D84B75"/>
    <w:rsid w:val="00D86074"/>
    <w:rsid w:val="00D86277"/>
    <w:rsid w:val="00D86CCD"/>
    <w:rsid w:val="00D87288"/>
    <w:rsid w:val="00D87F3C"/>
    <w:rsid w:val="00D900E3"/>
    <w:rsid w:val="00D9018F"/>
    <w:rsid w:val="00D9050B"/>
    <w:rsid w:val="00D91B79"/>
    <w:rsid w:val="00D934D8"/>
    <w:rsid w:val="00D9351E"/>
    <w:rsid w:val="00D9379D"/>
    <w:rsid w:val="00D938FE"/>
    <w:rsid w:val="00D93D14"/>
    <w:rsid w:val="00D94443"/>
    <w:rsid w:val="00D94897"/>
    <w:rsid w:val="00D9494E"/>
    <w:rsid w:val="00D949EE"/>
    <w:rsid w:val="00D94FAC"/>
    <w:rsid w:val="00D952A8"/>
    <w:rsid w:val="00D9563C"/>
    <w:rsid w:val="00D95F06"/>
    <w:rsid w:val="00D96857"/>
    <w:rsid w:val="00D96A90"/>
    <w:rsid w:val="00D97836"/>
    <w:rsid w:val="00D97918"/>
    <w:rsid w:val="00D97B73"/>
    <w:rsid w:val="00DA02F0"/>
    <w:rsid w:val="00DA0DDB"/>
    <w:rsid w:val="00DA156B"/>
    <w:rsid w:val="00DA168F"/>
    <w:rsid w:val="00DA1B7B"/>
    <w:rsid w:val="00DA213C"/>
    <w:rsid w:val="00DA325D"/>
    <w:rsid w:val="00DA3277"/>
    <w:rsid w:val="00DA3532"/>
    <w:rsid w:val="00DA402B"/>
    <w:rsid w:val="00DA42A7"/>
    <w:rsid w:val="00DA4862"/>
    <w:rsid w:val="00DA49CA"/>
    <w:rsid w:val="00DA4AFE"/>
    <w:rsid w:val="00DA5218"/>
    <w:rsid w:val="00DA58E5"/>
    <w:rsid w:val="00DA5ABA"/>
    <w:rsid w:val="00DA6AEC"/>
    <w:rsid w:val="00DA6B85"/>
    <w:rsid w:val="00DA7489"/>
    <w:rsid w:val="00DA7578"/>
    <w:rsid w:val="00DA7983"/>
    <w:rsid w:val="00DA7D45"/>
    <w:rsid w:val="00DB0529"/>
    <w:rsid w:val="00DB0961"/>
    <w:rsid w:val="00DB0FF6"/>
    <w:rsid w:val="00DB1434"/>
    <w:rsid w:val="00DB174D"/>
    <w:rsid w:val="00DB1D49"/>
    <w:rsid w:val="00DB2901"/>
    <w:rsid w:val="00DB3374"/>
    <w:rsid w:val="00DB3A97"/>
    <w:rsid w:val="00DB481A"/>
    <w:rsid w:val="00DB4D73"/>
    <w:rsid w:val="00DB5032"/>
    <w:rsid w:val="00DB57DC"/>
    <w:rsid w:val="00DB61D9"/>
    <w:rsid w:val="00DB6694"/>
    <w:rsid w:val="00DB7F00"/>
    <w:rsid w:val="00DC01F6"/>
    <w:rsid w:val="00DC074F"/>
    <w:rsid w:val="00DC1F8F"/>
    <w:rsid w:val="00DC217A"/>
    <w:rsid w:val="00DC21D6"/>
    <w:rsid w:val="00DC25FF"/>
    <w:rsid w:val="00DC2780"/>
    <w:rsid w:val="00DC49F3"/>
    <w:rsid w:val="00DC5478"/>
    <w:rsid w:val="00DC6D6A"/>
    <w:rsid w:val="00DC7A19"/>
    <w:rsid w:val="00DC7CED"/>
    <w:rsid w:val="00DC7FE1"/>
    <w:rsid w:val="00DD0012"/>
    <w:rsid w:val="00DD0150"/>
    <w:rsid w:val="00DD1A9B"/>
    <w:rsid w:val="00DD2C2F"/>
    <w:rsid w:val="00DD493D"/>
    <w:rsid w:val="00DD4A36"/>
    <w:rsid w:val="00DD5F3F"/>
    <w:rsid w:val="00DD630E"/>
    <w:rsid w:val="00DD64AB"/>
    <w:rsid w:val="00DD69A4"/>
    <w:rsid w:val="00DD6DA4"/>
    <w:rsid w:val="00DD77B3"/>
    <w:rsid w:val="00DD7C2E"/>
    <w:rsid w:val="00DE0880"/>
    <w:rsid w:val="00DE0B91"/>
    <w:rsid w:val="00DE16ED"/>
    <w:rsid w:val="00DE292D"/>
    <w:rsid w:val="00DE2CDC"/>
    <w:rsid w:val="00DE3073"/>
    <w:rsid w:val="00DE3135"/>
    <w:rsid w:val="00DE33A9"/>
    <w:rsid w:val="00DE344B"/>
    <w:rsid w:val="00DE3C33"/>
    <w:rsid w:val="00DE3CA2"/>
    <w:rsid w:val="00DE4124"/>
    <w:rsid w:val="00DE5178"/>
    <w:rsid w:val="00DE5FB2"/>
    <w:rsid w:val="00DE683A"/>
    <w:rsid w:val="00DE6BE0"/>
    <w:rsid w:val="00DE75A5"/>
    <w:rsid w:val="00DE7B49"/>
    <w:rsid w:val="00DF0632"/>
    <w:rsid w:val="00DF07F3"/>
    <w:rsid w:val="00DF2EBB"/>
    <w:rsid w:val="00DF31D8"/>
    <w:rsid w:val="00DF3244"/>
    <w:rsid w:val="00DF3FF4"/>
    <w:rsid w:val="00DF43F3"/>
    <w:rsid w:val="00DF57D6"/>
    <w:rsid w:val="00DF684C"/>
    <w:rsid w:val="00DF7785"/>
    <w:rsid w:val="00E009A3"/>
    <w:rsid w:val="00E00E75"/>
    <w:rsid w:val="00E015B1"/>
    <w:rsid w:val="00E01C87"/>
    <w:rsid w:val="00E02556"/>
    <w:rsid w:val="00E02778"/>
    <w:rsid w:val="00E02F3E"/>
    <w:rsid w:val="00E03629"/>
    <w:rsid w:val="00E03E79"/>
    <w:rsid w:val="00E03F72"/>
    <w:rsid w:val="00E04396"/>
    <w:rsid w:val="00E044B9"/>
    <w:rsid w:val="00E04E86"/>
    <w:rsid w:val="00E056BB"/>
    <w:rsid w:val="00E05A00"/>
    <w:rsid w:val="00E05EF4"/>
    <w:rsid w:val="00E060AD"/>
    <w:rsid w:val="00E067D4"/>
    <w:rsid w:val="00E07789"/>
    <w:rsid w:val="00E100BF"/>
    <w:rsid w:val="00E1030C"/>
    <w:rsid w:val="00E10ADB"/>
    <w:rsid w:val="00E10CDC"/>
    <w:rsid w:val="00E1184E"/>
    <w:rsid w:val="00E11AE0"/>
    <w:rsid w:val="00E11DF9"/>
    <w:rsid w:val="00E128AB"/>
    <w:rsid w:val="00E13509"/>
    <w:rsid w:val="00E13BFC"/>
    <w:rsid w:val="00E13FD1"/>
    <w:rsid w:val="00E15E3D"/>
    <w:rsid w:val="00E17254"/>
    <w:rsid w:val="00E17AA8"/>
    <w:rsid w:val="00E20691"/>
    <w:rsid w:val="00E20954"/>
    <w:rsid w:val="00E210EC"/>
    <w:rsid w:val="00E21E1A"/>
    <w:rsid w:val="00E22930"/>
    <w:rsid w:val="00E23092"/>
    <w:rsid w:val="00E2320E"/>
    <w:rsid w:val="00E24385"/>
    <w:rsid w:val="00E24932"/>
    <w:rsid w:val="00E252FF"/>
    <w:rsid w:val="00E255E0"/>
    <w:rsid w:val="00E25B58"/>
    <w:rsid w:val="00E261BB"/>
    <w:rsid w:val="00E2756D"/>
    <w:rsid w:val="00E27E42"/>
    <w:rsid w:val="00E3054A"/>
    <w:rsid w:val="00E309FD"/>
    <w:rsid w:val="00E316D8"/>
    <w:rsid w:val="00E31936"/>
    <w:rsid w:val="00E329F8"/>
    <w:rsid w:val="00E332B6"/>
    <w:rsid w:val="00E33953"/>
    <w:rsid w:val="00E35328"/>
    <w:rsid w:val="00E35AA4"/>
    <w:rsid w:val="00E35D39"/>
    <w:rsid w:val="00E36706"/>
    <w:rsid w:val="00E36B14"/>
    <w:rsid w:val="00E3748C"/>
    <w:rsid w:val="00E37900"/>
    <w:rsid w:val="00E4042C"/>
    <w:rsid w:val="00E40ECE"/>
    <w:rsid w:val="00E415A2"/>
    <w:rsid w:val="00E41DF7"/>
    <w:rsid w:val="00E42B7F"/>
    <w:rsid w:val="00E433E1"/>
    <w:rsid w:val="00E4344B"/>
    <w:rsid w:val="00E43725"/>
    <w:rsid w:val="00E43A10"/>
    <w:rsid w:val="00E43E89"/>
    <w:rsid w:val="00E43F22"/>
    <w:rsid w:val="00E44138"/>
    <w:rsid w:val="00E44722"/>
    <w:rsid w:val="00E44815"/>
    <w:rsid w:val="00E44933"/>
    <w:rsid w:val="00E44A1A"/>
    <w:rsid w:val="00E44BB1"/>
    <w:rsid w:val="00E44BD7"/>
    <w:rsid w:val="00E45300"/>
    <w:rsid w:val="00E45C9D"/>
    <w:rsid w:val="00E476EA"/>
    <w:rsid w:val="00E5017F"/>
    <w:rsid w:val="00E506D7"/>
    <w:rsid w:val="00E507CF"/>
    <w:rsid w:val="00E50F33"/>
    <w:rsid w:val="00E513BF"/>
    <w:rsid w:val="00E5164B"/>
    <w:rsid w:val="00E516A5"/>
    <w:rsid w:val="00E51869"/>
    <w:rsid w:val="00E51F0A"/>
    <w:rsid w:val="00E52076"/>
    <w:rsid w:val="00E52BA6"/>
    <w:rsid w:val="00E52BFD"/>
    <w:rsid w:val="00E52CDF"/>
    <w:rsid w:val="00E52F38"/>
    <w:rsid w:val="00E53EB6"/>
    <w:rsid w:val="00E55878"/>
    <w:rsid w:val="00E5619D"/>
    <w:rsid w:val="00E569FE"/>
    <w:rsid w:val="00E57484"/>
    <w:rsid w:val="00E57D36"/>
    <w:rsid w:val="00E57D78"/>
    <w:rsid w:val="00E6008E"/>
    <w:rsid w:val="00E60A08"/>
    <w:rsid w:val="00E60E4F"/>
    <w:rsid w:val="00E62BDD"/>
    <w:rsid w:val="00E62CEE"/>
    <w:rsid w:val="00E63328"/>
    <w:rsid w:val="00E6682D"/>
    <w:rsid w:val="00E67006"/>
    <w:rsid w:val="00E677E9"/>
    <w:rsid w:val="00E71476"/>
    <w:rsid w:val="00E715D8"/>
    <w:rsid w:val="00E7190B"/>
    <w:rsid w:val="00E719C8"/>
    <w:rsid w:val="00E71E33"/>
    <w:rsid w:val="00E7216D"/>
    <w:rsid w:val="00E72206"/>
    <w:rsid w:val="00E7237A"/>
    <w:rsid w:val="00E72426"/>
    <w:rsid w:val="00E7257C"/>
    <w:rsid w:val="00E725EE"/>
    <w:rsid w:val="00E728DA"/>
    <w:rsid w:val="00E72DCD"/>
    <w:rsid w:val="00E74942"/>
    <w:rsid w:val="00E756ED"/>
    <w:rsid w:val="00E76CD1"/>
    <w:rsid w:val="00E80609"/>
    <w:rsid w:val="00E810E0"/>
    <w:rsid w:val="00E83976"/>
    <w:rsid w:val="00E843A7"/>
    <w:rsid w:val="00E8491A"/>
    <w:rsid w:val="00E85F4D"/>
    <w:rsid w:val="00E8753E"/>
    <w:rsid w:val="00E8768C"/>
    <w:rsid w:val="00E87C8F"/>
    <w:rsid w:val="00E90737"/>
    <w:rsid w:val="00E9095C"/>
    <w:rsid w:val="00E91324"/>
    <w:rsid w:val="00E9143D"/>
    <w:rsid w:val="00E92406"/>
    <w:rsid w:val="00E92A78"/>
    <w:rsid w:val="00E930DD"/>
    <w:rsid w:val="00E93B3C"/>
    <w:rsid w:val="00E943EA"/>
    <w:rsid w:val="00E94BB0"/>
    <w:rsid w:val="00E951F3"/>
    <w:rsid w:val="00E954E6"/>
    <w:rsid w:val="00E958DD"/>
    <w:rsid w:val="00E9700A"/>
    <w:rsid w:val="00EA0D6A"/>
    <w:rsid w:val="00EA1D6B"/>
    <w:rsid w:val="00EA37C7"/>
    <w:rsid w:val="00EA39E7"/>
    <w:rsid w:val="00EA3AE1"/>
    <w:rsid w:val="00EA3B54"/>
    <w:rsid w:val="00EA4B02"/>
    <w:rsid w:val="00EA661C"/>
    <w:rsid w:val="00EA6C55"/>
    <w:rsid w:val="00EA6E61"/>
    <w:rsid w:val="00EA6FA2"/>
    <w:rsid w:val="00EA7DBB"/>
    <w:rsid w:val="00EB06CF"/>
    <w:rsid w:val="00EB0EE1"/>
    <w:rsid w:val="00EB11A4"/>
    <w:rsid w:val="00EB1D4F"/>
    <w:rsid w:val="00EB1DE2"/>
    <w:rsid w:val="00EB2BFE"/>
    <w:rsid w:val="00EB35B5"/>
    <w:rsid w:val="00EB400B"/>
    <w:rsid w:val="00EB44A2"/>
    <w:rsid w:val="00EB4A04"/>
    <w:rsid w:val="00EB502C"/>
    <w:rsid w:val="00EB53BD"/>
    <w:rsid w:val="00EB54C3"/>
    <w:rsid w:val="00EB5DA4"/>
    <w:rsid w:val="00EB617D"/>
    <w:rsid w:val="00EB726C"/>
    <w:rsid w:val="00EB738F"/>
    <w:rsid w:val="00EB7CE0"/>
    <w:rsid w:val="00EC0198"/>
    <w:rsid w:val="00EC02CB"/>
    <w:rsid w:val="00EC135E"/>
    <w:rsid w:val="00EC140D"/>
    <w:rsid w:val="00EC30D0"/>
    <w:rsid w:val="00EC3BC5"/>
    <w:rsid w:val="00EC3EA9"/>
    <w:rsid w:val="00EC4BA3"/>
    <w:rsid w:val="00EC4CC1"/>
    <w:rsid w:val="00EC5EB0"/>
    <w:rsid w:val="00EC61A2"/>
    <w:rsid w:val="00EC650E"/>
    <w:rsid w:val="00EC6590"/>
    <w:rsid w:val="00EC7BF2"/>
    <w:rsid w:val="00ED0EF3"/>
    <w:rsid w:val="00ED124C"/>
    <w:rsid w:val="00ED18C3"/>
    <w:rsid w:val="00ED1D52"/>
    <w:rsid w:val="00ED2163"/>
    <w:rsid w:val="00ED2236"/>
    <w:rsid w:val="00ED269E"/>
    <w:rsid w:val="00ED3356"/>
    <w:rsid w:val="00ED355E"/>
    <w:rsid w:val="00ED669F"/>
    <w:rsid w:val="00ED68E4"/>
    <w:rsid w:val="00ED7FD1"/>
    <w:rsid w:val="00EE03B4"/>
    <w:rsid w:val="00EE0E38"/>
    <w:rsid w:val="00EE119B"/>
    <w:rsid w:val="00EE152C"/>
    <w:rsid w:val="00EE1BF2"/>
    <w:rsid w:val="00EE1FAE"/>
    <w:rsid w:val="00EE3DD5"/>
    <w:rsid w:val="00EE5792"/>
    <w:rsid w:val="00EE743C"/>
    <w:rsid w:val="00EF00C6"/>
    <w:rsid w:val="00EF0D12"/>
    <w:rsid w:val="00EF0DDB"/>
    <w:rsid w:val="00EF17BF"/>
    <w:rsid w:val="00EF2204"/>
    <w:rsid w:val="00EF24A7"/>
    <w:rsid w:val="00EF260A"/>
    <w:rsid w:val="00EF3471"/>
    <w:rsid w:val="00EF3688"/>
    <w:rsid w:val="00EF45CC"/>
    <w:rsid w:val="00EF5616"/>
    <w:rsid w:val="00EF579E"/>
    <w:rsid w:val="00EF59F9"/>
    <w:rsid w:val="00EF5C2E"/>
    <w:rsid w:val="00EF6336"/>
    <w:rsid w:val="00EF647F"/>
    <w:rsid w:val="00EF6A17"/>
    <w:rsid w:val="00EF750C"/>
    <w:rsid w:val="00EF7CC2"/>
    <w:rsid w:val="00EF7E76"/>
    <w:rsid w:val="00F0014E"/>
    <w:rsid w:val="00F001EC"/>
    <w:rsid w:val="00F00895"/>
    <w:rsid w:val="00F008BC"/>
    <w:rsid w:val="00F00B0F"/>
    <w:rsid w:val="00F012F5"/>
    <w:rsid w:val="00F01522"/>
    <w:rsid w:val="00F016A0"/>
    <w:rsid w:val="00F02B02"/>
    <w:rsid w:val="00F0324C"/>
    <w:rsid w:val="00F03B0D"/>
    <w:rsid w:val="00F04460"/>
    <w:rsid w:val="00F04467"/>
    <w:rsid w:val="00F04837"/>
    <w:rsid w:val="00F04859"/>
    <w:rsid w:val="00F07282"/>
    <w:rsid w:val="00F07CC3"/>
    <w:rsid w:val="00F10172"/>
    <w:rsid w:val="00F10DC6"/>
    <w:rsid w:val="00F12005"/>
    <w:rsid w:val="00F1322A"/>
    <w:rsid w:val="00F147DB"/>
    <w:rsid w:val="00F14EDB"/>
    <w:rsid w:val="00F14F25"/>
    <w:rsid w:val="00F1582F"/>
    <w:rsid w:val="00F15967"/>
    <w:rsid w:val="00F16D2A"/>
    <w:rsid w:val="00F17453"/>
    <w:rsid w:val="00F20618"/>
    <w:rsid w:val="00F207B0"/>
    <w:rsid w:val="00F20FD5"/>
    <w:rsid w:val="00F2133F"/>
    <w:rsid w:val="00F21511"/>
    <w:rsid w:val="00F2332B"/>
    <w:rsid w:val="00F233B9"/>
    <w:rsid w:val="00F244DE"/>
    <w:rsid w:val="00F246E8"/>
    <w:rsid w:val="00F24C11"/>
    <w:rsid w:val="00F24F73"/>
    <w:rsid w:val="00F2726D"/>
    <w:rsid w:val="00F27837"/>
    <w:rsid w:val="00F27871"/>
    <w:rsid w:val="00F27DF0"/>
    <w:rsid w:val="00F321B0"/>
    <w:rsid w:val="00F33907"/>
    <w:rsid w:val="00F33A6D"/>
    <w:rsid w:val="00F34E3E"/>
    <w:rsid w:val="00F366FD"/>
    <w:rsid w:val="00F36B5E"/>
    <w:rsid w:val="00F36BC3"/>
    <w:rsid w:val="00F37F09"/>
    <w:rsid w:val="00F406EB"/>
    <w:rsid w:val="00F40C8D"/>
    <w:rsid w:val="00F40D00"/>
    <w:rsid w:val="00F41308"/>
    <w:rsid w:val="00F41923"/>
    <w:rsid w:val="00F41BA0"/>
    <w:rsid w:val="00F41DAE"/>
    <w:rsid w:val="00F420B0"/>
    <w:rsid w:val="00F42DE5"/>
    <w:rsid w:val="00F433EB"/>
    <w:rsid w:val="00F435F2"/>
    <w:rsid w:val="00F448D0"/>
    <w:rsid w:val="00F44E45"/>
    <w:rsid w:val="00F44F59"/>
    <w:rsid w:val="00F45376"/>
    <w:rsid w:val="00F45C02"/>
    <w:rsid w:val="00F45FE1"/>
    <w:rsid w:val="00F46498"/>
    <w:rsid w:val="00F47ACB"/>
    <w:rsid w:val="00F51012"/>
    <w:rsid w:val="00F515B6"/>
    <w:rsid w:val="00F5178E"/>
    <w:rsid w:val="00F51936"/>
    <w:rsid w:val="00F51992"/>
    <w:rsid w:val="00F52A80"/>
    <w:rsid w:val="00F52EAF"/>
    <w:rsid w:val="00F5324E"/>
    <w:rsid w:val="00F54A18"/>
    <w:rsid w:val="00F54AD0"/>
    <w:rsid w:val="00F54DEE"/>
    <w:rsid w:val="00F54E1D"/>
    <w:rsid w:val="00F55172"/>
    <w:rsid w:val="00F55FE4"/>
    <w:rsid w:val="00F56D40"/>
    <w:rsid w:val="00F57314"/>
    <w:rsid w:val="00F577F7"/>
    <w:rsid w:val="00F57AFD"/>
    <w:rsid w:val="00F57CB2"/>
    <w:rsid w:val="00F60CDF"/>
    <w:rsid w:val="00F61316"/>
    <w:rsid w:val="00F6262E"/>
    <w:rsid w:val="00F63560"/>
    <w:rsid w:val="00F63588"/>
    <w:rsid w:val="00F639B1"/>
    <w:rsid w:val="00F63DCF"/>
    <w:rsid w:val="00F63F62"/>
    <w:rsid w:val="00F64D1E"/>
    <w:rsid w:val="00F64FA4"/>
    <w:rsid w:val="00F65016"/>
    <w:rsid w:val="00F66AE7"/>
    <w:rsid w:val="00F66D8F"/>
    <w:rsid w:val="00F67CBA"/>
    <w:rsid w:val="00F72349"/>
    <w:rsid w:val="00F73AC2"/>
    <w:rsid w:val="00F746E0"/>
    <w:rsid w:val="00F76683"/>
    <w:rsid w:val="00F77855"/>
    <w:rsid w:val="00F77F31"/>
    <w:rsid w:val="00F80316"/>
    <w:rsid w:val="00F817AD"/>
    <w:rsid w:val="00F837FC"/>
    <w:rsid w:val="00F83A4E"/>
    <w:rsid w:val="00F8465F"/>
    <w:rsid w:val="00F846E5"/>
    <w:rsid w:val="00F84CE5"/>
    <w:rsid w:val="00F84D38"/>
    <w:rsid w:val="00F84EEC"/>
    <w:rsid w:val="00F8562D"/>
    <w:rsid w:val="00F86D41"/>
    <w:rsid w:val="00F86FBC"/>
    <w:rsid w:val="00F871A8"/>
    <w:rsid w:val="00F87818"/>
    <w:rsid w:val="00F900DF"/>
    <w:rsid w:val="00F9095A"/>
    <w:rsid w:val="00F90C52"/>
    <w:rsid w:val="00F90E07"/>
    <w:rsid w:val="00F91544"/>
    <w:rsid w:val="00F9189B"/>
    <w:rsid w:val="00F91D74"/>
    <w:rsid w:val="00F92082"/>
    <w:rsid w:val="00F93295"/>
    <w:rsid w:val="00F949D7"/>
    <w:rsid w:val="00F9534A"/>
    <w:rsid w:val="00F96ED6"/>
    <w:rsid w:val="00F97024"/>
    <w:rsid w:val="00F972DF"/>
    <w:rsid w:val="00F97A3E"/>
    <w:rsid w:val="00FA07D2"/>
    <w:rsid w:val="00FA0EDD"/>
    <w:rsid w:val="00FA12EC"/>
    <w:rsid w:val="00FA14F9"/>
    <w:rsid w:val="00FA16F3"/>
    <w:rsid w:val="00FA2290"/>
    <w:rsid w:val="00FA28D3"/>
    <w:rsid w:val="00FA34E8"/>
    <w:rsid w:val="00FA4E84"/>
    <w:rsid w:val="00FA56E4"/>
    <w:rsid w:val="00FA6165"/>
    <w:rsid w:val="00FA6361"/>
    <w:rsid w:val="00FA6B9D"/>
    <w:rsid w:val="00FA7503"/>
    <w:rsid w:val="00FA7C67"/>
    <w:rsid w:val="00FB0933"/>
    <w:rsid w:val="00FB0D21"/>
    <w:rsid w:val="00FB13F6"/>
    <w:rsid w:val="00FB1405"/>
    <w:rsid w:val="00FB1744"/>
    <w:rsid w:val="00FB23F8"/>
    <w:rsid w:val="00FB3B41"/>
    <w:rsid w:val="00FB3FBD"/>
    <w:rsid w:val="00FB64A1"/>
    <w:rsid w:val="00FB7044"/>
    <w:rsid w:val="00FB7112"/>
    <w:rsid w:val="00FB7305"/>
    <w:rsid w:val="00FB7718"/>
    <w:rsid w:val="00FB7FC9"/>
    <w:rsid w:val="00FC0273"/>
    <w:rsid w:val="00FC0DC9"/>
    <w:rsid w:val="00FC18C5"/>
    <w:rsid w:val="00FC2F56"/>
    <w:rsid w:val="00FC3A94"/>
    <w:rsid w:val="00FC3FA6"/>
    <w:rsid w:val="00FC43F2"/>
    <w:rsid w:val="00FC4BAA"/>
    <w:rsid w:val="00FC51C9"/>
    <w:rsid w:val="00FC65A3"/>
    <w:rsid w:val="00FC68F3"/>
    <w:rsid w:val="00FC6A15"/>
    <w:rsid w:val="00FC6B81"/>
    <w:rsid w:val="00FC7DCA"/>
    <w:rsid w:val="00FD033A"/>
    <w:rsid w:val="00FD0D3E"/>
    <w:rsid w:val="00FD1304"/>
    <w:rsid w:val="00FD162B"/>
    <w:rsid w:val="00FD1DF3"/>
    <w:rsid w:val="00FD2222"/>
    <w:rsid w:val="00FD225F"/>
    <w:rsid w:val="00FD3E73"/>
    <w:rsid w:val="00FD3EA4"/>
    <w:rsid w:val="00FD425F"/>
    <w:rsid w:val="00FD4C0B"/>
    <w:rsid w:val="00FD4EBB"/>
    <w:rsid w:val="00FD597B"/>
    <w:rsid w:val="00FD68A4"/>
    <w:rsid w:val="00FD6EC5"/>
    <w:rsid w:val="00FD76F9"/>
    <w:rsid w:val="00FD78AA"/>
    <w:rsid w:val="00FD7CF1"/>
    <w:rsid w:val="00FE167A"/>
    <w:rsid w:val="00FE1917"/>
    <w:rsid w:val="00FE30DD"/>
    <w:rsid w:val="00FE3221"/>
    <w:rsid w:val="00FE379A"/>
    <w:rsid w:val="00FE3CCA"/>
    <w:rsid w:val="00FE3D53"/>
    <w:rsid w:val="00FE3E37"/>
    <w:rsid w:val="00FE3E7B"/>
    <w:rsid w:val="00FE4938"/>
    <w:rsid w:val="00FE5B83"/>
    <w:rsid w:val="00FE5BF9"/>
    <w:rsid w:val="00FE60D2"/>
    <w:rsid w:val="00FE6146"/>
    <w:rsid w:val="00FE6DD6"/>
    <w:rsid w:val="00FE71D9"/>
    <w:rsid w:val="00FE7295"/>
    <w:rsid w:val="00FF222A"/>
    <w:rsid w:val="00FF26AE"/>
    <w:rsid w:val="00FF2974"/>
    <w:rsid w:val="00FF35CB"/>
    <w:rsid w:val="00FF3706"/>
    <w:rsid w:val="00FF5182"/>
    <w:rsid w:val="00FF59C6"/>
    <w:rsid w:val="00FF5E98"/>
    <w:rsid w:val="00FF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D59"/>
    <w:rPr>
      <w:sz w:val="24"/>
      <w:szCs w:val="24"/>
    </w:rPr>
  </w:style>
  <w:style w:type="paragraph" w:styleId="Heading1">
    <w:name w:val="heading 1"/>
    <w:basedOn w:val="Normal"/>
    <w:next w:val="Normal"/>
    <w:link w:val="Heading1Char"/>
    <w:qFormat/>
    <w:rsid w:val="00242C5C"/>
    <w:pPr>
      <w:keepNext/>
      <w:jc w:val="center"/>
      <w:outlineLvl w:val="0"/>
    </w:pPr>
    <w:rPr>
      <w:rFonts w:eastAsia="Batang"/>
      <w:b/>
      <w:szCs w:val="20"/>
      <w:u w:val="single"/>
      <w:lang w:eastAsia="en-US"/>
    </w:rPr>
  </w:style>
  <w:style w:type="paragraph" w:styleId="Heading3">
    <w:name w:val="heading 3"/>
    <w:basedOn w:val="Normal"/>
    <w:next w:val="Normal"/>
    <w:link w:val="Heading3Char"/>
    <w:unhideWhenUsed/>
    <w:qFormat/>
    <w:rsid w:val="00E00E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58DD"/>
    <w:pPr>
      <w:tabs>
        <w:tab w:val="center" w:pos="4320"/>
        <w:tab w:val="right" w:pos="8640"/>
      </w:tabs>
    </w:pPr>
  </w:style>
  <w:style w:type="character" w:styleId="PageNumber">
    <w:name w:val="page number"/>
    <w:basedOn w:val="DefaultParagraphFont"/>
    <w:rsid w:val="00E958DD"/>
  </w:style>
  <w:style w:type="paragraph" w:styleId="Date">
    <w:name w:val="Date"/>
    <w:basedOn w:val="Normal"/>
    <w:next w:val="Normal"/>
    <w:rsid w:val="00716612"/>
  </w:style>
  <w:style w:type="paragraph" w:styleId="NoSpacing">
    <w:name w:val="No Spacing"/>
    <w:link w:val="NoSpacingChar"/>
    <w:uiPriority w:val="1"/>
    <w:qFormat/>
    <w:rsid w:val="00195802"/>
    <w:rPr>
      <w:rFonts w:ascii="Calibri" w:eastAsia="Times New Roman" w:hAnsi="Calibri"/>
      <w:sz w:val="22"/>
      <w:szCs w:val="22"/>
      <w:lang w:eastAsia="en-US"/>
    </w:rPr>
  </w:style>
  <w:style w:type="character" w:customStyle="1" w:styleId="NoSpacingChar">
    <w:name w:val="No Spacing Char"/>
    <w:basedOn w:val="DefaultParagraphFont"/>
    <w:link w:val="NoSpacing"/>
    <w:uiPriority w:val="1"/>
    <w:rsid w:val="00195802"/>
    <w:rPr>
      <w:rFonts w:ascii="Calibri" w:eastAsia="Times New Roman" w:hAnsi="Calibri"/>
      <w:sz w:val="22"/>
      <w:szCs w:val="22"/>
      <w:lang w:val="en-US" w:eastAsia="en-US" w:bidi="ar-SA"/>
    </w:rPr>
  </w:style>
  <w:style w:type="paragraph" w:styleId="BalloonText">
    <w:name w:val="Balloon Text"/>
    <w:basedOn w:val="Normal"/>
    <w:link w:val="BalloonTextChar"/>
    <w:rsid w:val="00195802"/>
    <w:rPr>
      <w:rFonts w:ascii="Tahoma" w:hAnsi="Tahoma" w:cs="Tahoma"/>
      <w:sz w:val="16"/>
      <w:szCs w:val="16"/>
    </w:rPr>
  </w:style>
  <w:style w:type="character" w:customStyle="1" w:styleId="BalloonTextChar">
    <w:name w:val="Balloon Text Char"/>
    <w:basedOn w:val="DefaultParagraphFont"/>
    <w:link w:val="BalloonText"/>
    <w:rsid w:val="00195802"/>
    <w:rPr>
      <w:rFonts w:ascii="Tahoma" w:hAnsi="Tahoma" w:cs="Tahoma"/>
      <w:sz w:val="16"/>
      <w:szCs w:val="16"/>
      <w:lang w:eastAsia="zh-CN"/>
    </w:rPr>
  </w:style>
  <w:style w:type="paragraph" w:styleId="FootnoteText">
    <w:name w:val="footnote text"/>
    <w:basedOn w:val="Normal"/>
    <w:link w:val="FootnoteTextChar"/>
    <w:semiHidden/>
    <w:rsid w:val="0044035B"/>
    <w:rPr>
      <w:sz w:val="20"/>
      <w:szCs w:val="20"/>
    </w:rPr>
  </w:style>
  <w:style w:type="character" w:styleId="FootnoteReference">
    <w:name w:val="footnote reference"/>
    <w:basedOn w:val="DefaultParagraphFont"/>
    <w:semiHidden/>
    <w:rsid w:val="0044035B"/>
    <w:rPr>
      <w:vertAlign w:val="superscript"/>
    </w:rPr>
  </w:style>
  <w:style w:type="character" w:styleId="CommentReference">
    <w:name w:val="annotation reference"/>
    <w:basedOn w:val="DefaultParagraphFont"/>
    <w:semiHidden/>
    <w:rsid w:val="00913B2D"/>
    <w:rPr>
      <w:sz w:val="16"/>
      <w:szCs w:val="16"/>
    </w:rPr>
  </w:style>
  <w:style w:type="paragraph" w:styleId="CommentText">
    <w:name w:val="annotation text"/>
    <w:basedOn w:val="Normal"/>
    <w:semiHidden/>
    <w:rsid w:val="00913B2D"/>
    <w:rPr>
      <w:sz w:val="20"/>
      <w:szCs w:val="20"/>
    </w:rPr>
  </w:style>
  <w:style w:type="paragraph" w:styleId="CommentSubject">
    <w:name w:val="annotation subject"/>
    <w:basedOn w:val="CommentText"/>
    <w:next w:val="CommentText"/>
    <w:semiHidden/>
    <w:rsid w:val="00913B2D"/>
    <w:rPr>
      <w:b/>
      <w:bCs/>
    </w:rPr>
  </w:style>
  <w:style w:type="character" w:styleId="Hyperlink">
    <w:name w:val="Hyperlink"/>
    <w:basedOn w:val="DefaultParagraphFont"/>
    <w:rsid w:val="00844E09"/>
    <w:rPr>
      <w:color w:val="0000FF"/>
      <w:u w:val="single"/>
    </w:rPr>
  </w:style>
  <w:style w:type="character" w:styleId="FollowedHyperlink">
    <w:name w:val="FollowedHyperlink"/>
    <w:basedOn w:val="DefaultParagraphFont"/>
    <w:rsid w:val="00A8644B"/>
    <w:rPr>
      <w:color w:val="800080"/>
      <w:u w:val="single"/>
    </w:rPr>
  </w:style>
  <w:style w:type="paragraph" w:styleId="Header">
    <w:name w:val="header"/>
    <w:basedOn w:val="Normal"/>
    <w:link w:val="HeaderChar"/>
    <w:rsid w:val="00CF31CA"/>
    <w:pPr>
      <w:tabs>
        <w:tab w:val="center" w:pos="4320"/>
        <w:tab w:val="right" w:pos="8640"/>
      </w:tabs>
    </w:pPr>
  </w:style>
  <w:style w:type="character" w:customStyle="1" w:styleId="HeaderChar">
    <w:name w:val="Header Char"/>
    <w:basedOn w:val="DefaultParagraphFont"/>
    <w:link w:val="Header"/>
    <w:rsid w:val="00CF31CA"/>
    <w:rPr>
      <w:sz w:val="24"/>
      <w:szCs w:val="24"/>
    </w:rPr>
  </w:style>
  <w:style w:type="character" w:customStyle="1" w:styleId="Heading1Char">
    <w:name w:val="Heading 1 Char"/>
    <w:basedOn w:val="DefaultParagraphFont"/>
    <w:link w:val="Heading1"/>
    <w:rsid w:val="00242C5C"/>
    <w:rPr>
      <w:rFonts w:eastAsia="Batang"/>
      <w:b/>
      <w:sz w:val="24"/>
      <w:u w:val="single"/>
      <w:lang w:eastAsia="en-US"/>
    </w:rPr>
  </w:style>
  <w:style w:type="character" w:customStyle="1" w:styleId="FooterChar">
    <w:name w:val="Footer Char"/>
    <w:basedOn w:val="DefaultParagraphFont"/>
    <w:link w:val="Footer"/>
    <w:rsid w:val="00242C5C"/>
    <w:rPr>
      <w:sz w:val="24"/>
      <w:szCs w:val="24"/>
    </w:rPr>
  </w:style>
  <w:style w:type="character" w:customStyle="1" w:styleId="FootnoteTextChar">
    <w:name w:val="Footnote Text Char"/>
    <w:basedOn w:val="DefaultParagraphFont"/>
    <w:link w:val="FootnoteText"/>
    <w:semiHidden/>
    <w:rsid w:val="00242C5C"/>
  </w:style>
  <w:style w:type="character" w:customStyle="1" w:styleId="slug-pages">
    <w:name w:val="slug-pages"/>
    <w:basedOn w:val="DefaultParagraphFont"/>
    <w:rsid w:val="007D34C9"/>
  </w:style>
  <w:style w:type="character" w:customStyle="1" w:styleId="Heading3Char">
    <w:name w:val="Heading 3 Char"/>
    <w:basedOn w:val="DefaultParagraphFont"/>
    <w:link w:val="Heading3"/>
    <w:rsid w:val="00E00E75"/>
    <w:rPr>
      <w:rFonts w:asciiTheme="majorHAnsi" w:eastAsiaTheme="majorEastAsia" w:hAnsiTheme="majorHAnsi" w:cstheme="majorBidi"/>
      <w:b/>
      <w:bCs/>
      <w:color w:val="4F81BD" w:themeColor="accent1"/>
      <w:sz w:val="24"/>
      <w:szCs w:val="24"/>
    </w:rPr>
  </w:style>
  <w:style w:type="character" w:customStyle="1" w:styleId="gsggs">
    <w:name w:val="gs_ggs"/>
    <w:basedOn w:val="DefaultParagraphFont"/>
    <w:rsid w:val="00E00E75"/>
  </w:style>
  <w:style w:type="character" w:customStyle="1" w:styleId="gsa">
    <w:name w:val="gs_a"/>
    <w:basedOn w:val="DefaultParagraphFont"/>
    <w:rsid w:val="00E00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D59"/>
    <w:rPr>
      <w:sz w:val="24"/>
      <w:szCs w:val="24"/>
    </w:rPr>
  </w:style>
  <w:style w:type="paragraph" w:styleId="Heading1">
    <w:name w:val="heading 1"/>
    <w:basedOn w:val="Normal"/>
    <w:next w:val="Normal"/>
    <w:link w:val="Heading1Char"/>
    <w:qFormat/>
    <w:rsid w:val="00242C5C"/>
    <w:pPr>
      <w:keepNext/>
      <w:jc w:val="center"/>
      <w:outlineLvl w:val="0"/>
    </w:pPr>
    <w:rPr>
      <w:rFonts w:eastAsia="Batang"/>
      <w:b/>
      <w:szCs w:val="20"/>
      <w:u w:val="single"/>
      <w:lang w:eastAsia="en-US"/>
    </w:rPr>
  </w:style>
  <w:style w:type="paragraph" w:styleId="Heading3">
    <w:name w:val="heading 3"/>
    <w:basedOn w:val="Normal"/>
    <w:next w:val="Normal"/>
    <w:link w:val="Heading3Char"/>
    <w:unhideWhenUsed/>
    <w:qFormat/>
    <w:rsid w:val="00E00E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58DD"/>
    <w:pPr>
      <w:tabs>
        <w:tab w:val="center" w:pos="4320"/>
        <w:tab w:val="right" w:pos="8640"/>
      </w:tabs>
    </w:pPr>
  </w:style>
  <w:style w:type="character" w:styleId="PageNumber">
    <w:name w:val="page number"/>
    <w:basedOn w:val="DefaultParagraphFont"/>
    <w:rsid w:val="00E958DD"/>
  </w:style>
  <w:style w:type="paragraph" w:styleId="Date">
    <w:name w:val="Date"/>
    <w:basedOn w:val="Normal"/>
    <w:next w:val="Normal"/>
    <w:rsid w:val="00716612"/>
  </w:style>
  <w:style w:type="paragraph" w:styleId="NoSpacing">
    <w:name w:val="No Spacing"/>
    <w:link w:val="NoSpacingChar"/>
    <w:uiPriority w:val="1"/>
    <w:qFormat/>
    <w:rsid w:val="00195802"/>
    <w:rPr>
      <w:rFonts w:ascii="Calibri" w:eastAsia="Times New Roman" w:hAnsi="Calibri"/>
      <w:sz w:val="22"/>
      <w:szCs w:val="22"/>
      <w:lang w:eastAsia="en-US"/>
    </w:rPr>
  </w:style>
  <w:style w:type="character" w:customStyle="1" w:styleId="NoSpacingChar">
    <w:name w:val="No Spacing Char"/>
    <w:basedOn w:val="DefaultParagraphFont"/>
    <w:link w:val="NoSpacing"/>
    <w:uiPriority w:val="1"/>
    <w:rsid w:val="00195802"/>
    <w:rPr>
      <w:rFonts w:ascii="Calibri" w:eastAsia="Times New Roman" w:hAnsi="Calibri"/>
      <w:sz w:val="22"/>
      <w:szCs w:val="22"/>
      <w:lang w:val="en-US" w:eastAsia="en-US" w:bidi="ar-SA"/>
    </w:rPr>
  </w:style>
  <w:style w:type="paragraph" w:styleId="BalloonText">
    <w:name w:val="Balloon Text"/>
    <w:basedOn w:val="Normal"/>
    <w:link w:val="BalloonTextChar"/>
    <w:rsid w:val="00195802"/>
    <w:rPr>
      <w:rFonts w:ascii="Tahoma" w:hAnsi="Tahoma" w:cs="Tahoma"/>
      <w:sz w:val="16"/>
      <w:szCs w:val="16"/>
    </w:rPr>
  </w:style>
  <w:style w:type="character" w:customStyle="1" w:styleId="BalloonTextChar">
    <w:name w:val="Balloon Text Char"/>
    <w:basedOn w:val="DefaultParagraphFont"/>
    <w:link w:val="BalloonText"/>
    <w:rsid w:val="00195802"/>
    <w:rPr>
      <w:rFonts w:ascii="Tahoma" w:hAnsi="Tahoma" w:cs="Tahoma"/>
      <w:sz w:val="16"/>
      <w:szCs w:val="16"/>
      <w:lang w:eastAsia="zh-CN"/>
    </w:rPr>
  </w:style>
  <w:style w:type="paragraph" w:styleId="FootnoteText">
    <w:name w:val="footnote text"/>
    <w:basedOn w:val="Normal"/>
    <w:link w:val="FootnoteTextChar"/>
    <w:semiHidden/>
    <w:rsid w:val="0044035B"/>
    <w:rPr>
      <w:sz w:val="20"/>
      <w:szCs w:val="20"/>
    </w:rPr>
  </w:style>
  <w:style w:type="character" w:styleId="FootnoteReference">
    <w:name w:val="footnote reference"/>
    <w:basedOn w:val="DefaultParagraphFont"/>
    <w:semiHidden/>
    <w:rsid w:val="0044035B"/>
    <w:rPr>
      <w:vertAlign w:val="superscript"/>
    </w:rPr>
  </w:style>
  <w:style w:type="character" w:styleId="CommentReference">
    <w:name w:val="annotation reference"/>
    <w:basedOn w:val="DefaultParagraphFont"/>
    <w:semiHidden/>
    <w:rsid w:val="00913B2D"/>
    <w:rPr>
      <w:sz w:val="16"/>
      <w:szCs w:val="16"/>
    </w:rPr>
  </w:style>
  <w:style w:type="paragraph" w:styleId="CommentText">
    <w:name w:val="annotation text"/>
    <w:basedOn w:val="Normal"/>
    <w:semiHidden/>
    <w:rsid w:val="00913B2D"/>
    <w:rPr>
      <w:sz w:val="20"/>
      <w:szCs w:val="20"/>
    </w:rPr>
  </w:style>
  <w:style w:type="paragraph" w:styleId="CommentSubject">
    <w:name w:val="annotation subject"/>
    <w:basedOn w:val="CommentText"/>
    <w:next w:val="CommentText"/>
    <w:semiHidden/>
    <w:rsid w:val="00913B2D"/>
    <w:rPr>
      <w:b/>
      <w:bCs/>
    </w:rPr>
  </w:style>
  <w:style w:type="character" w:styleId="Hyperlink">
    <w:name w:val="Hyperlink"/>
    <w:basedOn w:val="DefaultParagraphFont"/>
    <w:rsid w:val="00844E09"/>
    <w:rPr>
      <w:color w:val="0000FF"/>
      <w:u w:val="single"/>
    </w:rPr>
  </w:style>
  <w:style w:type="character" w:styleId="FollowedHyperlink">
    <w:name w:val="FollowedHyperlink"/>
    <w:basedOn w:val="DefaultParagraphFont"/>
    <w:rsid w:val="00A8644B"/>
    <w:rPr>
      <w:color w:val="800080"/>
      <w:u w:val="single"/>
    </w:rPr>
  </w:style>
  <w:style w:type="paragraph" w:styleId="Header">
    <w:name w:val="header"/>
    <w:basedOn w:val="Normal"/>
    <w:link w:val="HeaderChar"/>
    <w:rsid w:val="00CF31CA"/>
    <w:pPr>
      <w:tabs>
        <w:tab w:val="center" w:pos="4320"/>
        <w:tab w:val="right" w:pos="8640"/>
      </w:tabs>
    </w:pPr>
  </w:style>
  <w:style w:type="character" w:customStyle="1" w:styleId="HeaderChar">
    <w:name w:val="Header Char"/>
    <w:basedOn w:val="DefaultParagraphFont"/>
    <w:link w:val="Header"/>
    <w:rsid w:val="00CF31CA"/>
    <w:rPr>
      <w:sz w:val="24"/>
      <w:szCs w:val="24"/>
    </w:rPr>
  </w:style>
  <w:style w:type="character" w:customStyle="1" w:styleId="Heading1Char">
    <w:name w:val="Heading 1 Char"/>
    <w:basedOn w:val="DefaultParagraphFont"/>
    <w:link w:val="Heading1"/>
    <w:rsid w:val="00242C5C"/>
    <w:rPr>
      <w:rFonts w:eastAsia="Batang"/>
      <w:b/>
      <w:sz w:val="24"/>
      <w:u w:val="single"/>
      <w:lang w:eastAsia="en-US"/>
    </w:rPr>
  </w:style>
  <w:style w:type="character" w:customStyle="1" w:styleId="FooterChar">
    <w:name w:val="Footer Char"/>
    <w:basedOn w:val="DefaultParagraphFont"/>
    <w:link w:val="Footer"/>
    <w:rsid w:val="00242C5C"/>
    <w:rPr>
      <w:sz w:val="24"/>
      <w:szCs w:val="24"/>
    </w:rPr>
  </w:style>
  <w:style w:type="character" w:customStyle="1" w:styleId="FootnoteTextChar">
    <w:name w:val="Footnote Text Char"/>
    <w:basedOn w:val="DefaultParagraphFont"/>
    <w:link w:val="FootnoteText"/>
    <w:semiHidden/>
    <w:rsid w:val="00242C5C"/>
  </w:style>
  <w:style w:type="character" w:customStyle="1" w:styleId="slug-pages">
    <w:name w:val="slug-pages"/>
    <w:basedOn w:val="DefaultParagraphFont"/>
    <w:rsid w:val="007D34C9"/>
  </w:style>
  <w:style w:type="character" w:customStyle="1" w:styleId="Heading3Char">
    <w:name w:val="Heading 3 Char"/>
    <w:basedOn w:val="DefaultParagraphFont"/>
    <w:link w:val="Heading3"/>
    <w:rsid w:val="00E00E75"/>
    <w:rPr>
      <w:rFonts w:asciiTheme="majorHAnsi" w:eastAsiaTheme="majorEastAsia" w:hAnsiTheme="majorHAnsi" w:cstheme="majorBidi"/>
      <w:b/>
      <w:bCs/>
      <w:color w:val="4F81BD" w:themeColor="accent1"/>
      <w:sz w:val="24"/>
      <w:szCs w:val="24"/>
    </w:rPr>
  </w:style>
  <w:style w:type="character" w:customStyle="1" w:styleId="gsggs">
    <w:name w:val="gs_ggs"/>
    <w:basedOn w:val="DefaultParagraphFont"/>
    <w:rsid w:val="00E00E75"/>
  </w:style>
  <w:style w:type="character" w:customStyle="1" w:styleId="gsa">
    <w:name w:val="gs_a"/>
    <w:basedOn w:val="DefaultParagraphFont"/>
    <w:rsid w:val="00E00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397">
      <w:bodyDiv w:val="1"/>
      <w:marLeft w:val="0"/>
      <w:marRight w:val="0"/>
      <w:marTop w:val="0"/>
      <w:marBottom w:val="0"/>
      <w:divBdr>
        <w:top w:val="none" w:sz="0" w:space="0" w:color="auto"/>
        <w:left w:val="none" w:sz="0" w:space="0" w:color="auto"/>
        <w:bottom w:val="none" w:sz="0" w:space="0" w:color="auto"/>
        <w:right w:val="none" w:sz="0" w:space="0" w:color="auto"/>
      </w:divBdr>
    </w:div>
    <w:div w:id="200679310">
      <w:bodyDiv w:val="1"/>
      <w:marLeft w:val="0"/>
      <w:marRight w:val="0"/>
      <w:marTop w:val="0"/>
      <w:marBottom w:val="0"/>
      <w:divBdr>
        <w:top w:val="none" w:sz="0" w:space="0" w:color="auto"/>
        <w:left w:val="none" w:sz="0" w:space="0" w:color="auto"/>
        <w:bottom w:val="none" w:sz="0" w:space="0" w:color="auto"/>
        <w:right w:val="none" w:sz="0" w:space="0" w:color="auto"/>
      </w:divBdr>
    </w:div>
    <w:div w:id="221523486">
      <w:bodyDiv w:val="1"/>
      <w:marLeft w:val="0"/>
      <w:marRight w:val="0"/>
      <w:marTop w:val="0"/>
      <w:marBottom w:val="0"/>
      <w:divBdr>
        <w:top w:val="none" w:sz="0" w:space="0" w:color="auto"/>
        <w:left w:val="none" w:sz="0" w:space="0" w:color="auto"/>
        <w:bottom w:val="none" w:sz="0" w:space="0" w:color="auto"/>
        <w:right w:val="none" w:sz="0" w:space="0" w:color="auto"/>
      </w:divBdr>
    </w:div>
    <w:div w:id="353264420">
      <w:bodyDiv w:val="1"/>
      <w:marLeft w:val="0"/>
      <w:marRight w:val="0"/>
      <w:marTop w:val="0"/>
      <w:marBottom w:val="0"/>
      <w:divBdr>
        <w:top w:val="none" w:sz="0" w:space="0" w:color="auto"/>
        <w:left w:val="none" w:sz="0" w:space="0" w:color="auto"/>
        <w:bottom w:val="none" w:sz="0" w:space="0" w:color="auto"/>
        <w:right w:val="none" w:sz="0" w:space="0" w:color="auto"/>
      </w:divBdr>
    </w:div>
    <w:div w:id="689572673">
      <w:bodyDiv w:val="1"/>
      <w:marLeft w:val="0"/>
      <w:marRight w:val="0"/>
      <w:marTop w:val="0"/>
      <w:marBottom w:val="0"/>
      <w:divBdr>
        <w:top w:val="none" w:sz="0" w:space="0" w:color="auto"/>
        <w:left w:val="none" w:sz="0" w:space="0" w:color="auto"/>
        <w:bottom w:val="none" w:sz="0" w:space="0" w:color="auto"/>
        <w:right w:val="none" w:sz="0" w:space="0" w:color="auto"/>
      </w:divBdr>
    </w:div>
    <w:div w:id="710962516">
      <w:bodyDiv w:val="1"/>
      <w:marLeft w:val="0"/>
      <w:marRight w:val="0"/>
      <w:marTop w:val="0"/>
      <w:marBottom w:val="0"/>
      <w:divBdr>
        <w:top w:val="none" w:sz="0" w:space="0" w:color="auto"/>
        <w:left w:val="none" w:sz="0" w:space="0" w:color="auto"/>
        <w:bottom w:val="none" w:sz="0" w:space="0" w:color="auto"/>
        <w:right w:val="none" w:sz="0" w:space="0" w:color="auto"/>
      </w:divBdr>
    </w:div>
    <w:div w:id="826820428">
      <w:bodyDiv w:val="1"/>
      <w:marLeft w:val="0"/>
      <w:marRight w:val="0"/>
      <w:marTop w:val="0"/>
      <w:marBottom w:val="0"/>
      <w:divBdr>
        <w:top w:val="none" w:sz="0" w:space="0" w:color="auto"/>
        <w:left w:val="none" w:sz="0" w:space="0" w:color="auto"/>
        <w:bottom w:val="none" w:sz="0" w:space="0" w:color="auto"/>
        <w:right w:val="none" w:sz="0" w:space="0" w:color="auto"/>
      </w:divBdr>
    </w:div>
    <w:div w:id="946699825">
      <w:bodyDiv w:val="1"/>
      <w:marLeft w:val="0"/>
      <w:marRight w:val="0"/>
      <w:marTop w:val="0"/>
      <w:marBottom w:val="0"/>
      <w:divBdr>
        <w:top w:val="none" w:sz="0" w:space="0" w:color="auto"/>
        <w:left w:val="none" w:sz="0" w:space="0" w:color="auto"/>
        <w:bottom w:val="none" w:sz="0" w:space="0" w:color="auto"/>
        <w:right w:val="none" w:sz="0" w:space="0" w:color="auto"/>
      </w:divBdr>
    </w:div>
    <w:div w:id="1004429752">
      <w:bodyDiv w:val="1"/>
      <w:marLeft w:val="0"/>
      <w:marRight w:val="0"/>
      <w:marTop w:val="0"/>
      <w:marBottom w:val="0"/>
      <w:divBdr>
        <w:top w:val="none" w:sz="0" w:space="0" w:color="auto"/>
        <w:left w:val="none" w:sz="0" w:space="0" w:color="auto"/>
        <w:bottom w:val="none" w:sz="0" w:space="0" w:color="auto"/>
        <w:right w:val="none" w:sz="0" w:space="0" w:color="auto"/>
      </w:divBdr>
    </w:div>
    <w:div w:id="1050500327">
      <w:bodyDiv w:val="1"/>
      <w:marLeft w:val="0"/>
      <w:marRight w:val="0"/>
      <w:marTop w:val="0"/>
      <w:marBottom w:val="0"/>
      <w:divBdr>
        <w:top w:val="none" w:sz="0" w:space="0" w:color="auto"/>
        <w:left w:val="none" w:sz="0" w:space="0" w:color="auto"/>
        <w:bottom w:val="none" w:sz="0" w:space="0" w:color="auto"/>
        <w:right w:val="none" w:sz="0" w:space="0" w:color="auto"/>
      </w:divBdr>
    </w:div>
    <w:div w:id="1061290226">
      <w:bodyDiv w:val="1"/>
      <w:marLeft w:val="0"/>
      <w:marRight w:val="0"/>
      <w:marTop w:val="0"/>
      <w:marBottom w:val="0"/>
      <w:divBdr>
        <w:top w:val="none" w:sz="0" w:space="0" w:color="auto"/>
        <w:left w:val="none" w:sz="0" w:space="0" w:color="auto"/>
        <w:bottom w:val="none" w:sz="0" w:space="0" w:color="auto"/>
        <w:right w:val="none" w:sz="0" w:space="0" w:color="auto"/>
      </w:divBdr>
    </w:div>
    <w:div w:id="1178235143">
      <w:bodyDiv w:val="1"/>
      <w:marLeft w:val="0"/>
      <w:marRight w:val="0"/>
      <w:marTop w:val="0"/>
      <w:marBottom w:val="0"/>
      <w:divBdr>
        <w:top w:val="none" w:sz="0" w:space="0" w:color="auto"/>
        <w:left w:val="none" w:sz="0" w:space="0" w:color="auto"/>
        <w:bottom w:val="none" w:sz="0" w:space="0" w:color="auto"/>
        <w:right w:val="none" w:sz="0" w:space="0" w:color="auto"/>
      </w:divBdr>
    </w:div>
    <w:div w:id="1272320120">
      <w:bodyDiv w:val="1"/>
      <w:marLeft w:val="0"/>
      <w:marRight w:val="0"/>
      <w:marTop w:val="0"/>
      <w:marBottom w:val="0"/>
      <w:divBdr>
        <w:top w:val="none" w:sz="0" w:space="0" w:color="auto"/>
        <w:left w:val="none" w:sz="0" w:space="0" w:color="auto"/>
        <w:bottom w:val="none" w:sz="0" w:space="0" w:color="auto"/>
        <w:right w:val="none" w:sz="0" w:space="0" w:color="auto"/>
      </w:divBdr>
      <w:divsChild>
        <w:div w:id="1253512759">
          <w:marLeft w:val="0"/>
          <w:marRight w:val="0"/>
          <w:marTop w:val="0"/>
          <w:marBottom w:val="0"/>
          <w:divBdr>
            <w:top w:val="none" w:sz="0" w:space="0" w:color="auto"/>
            <w:left w:val="none" w:sz="0" w:space="0" w:color="auto"/>
            <w:bottom w:val="none" w:sz="0" w:space="0" w:color="auto"/>
            <w:right w:val="none" w:sz="0" w:space="0" w:color="auto"/>
          </w:divBdr>
        </w:div>
      </w:divsChild>
    </w:div>
    <w:div w:id="1314603989">
      <w:bodyDiv w:val="1"/>
      <w:marLeft w:val="0"/>
      <w:marRight w:val="0"/>
      <w:marTop w:val="0"/>
      <w:marBottom w:val="0"/>
      <w:divBdr>
        <w:top w:val="none" w:sz="0" w:space="0" w:color="auto"/>
        <w:left w:val="none" w:sz="0" w:space="0" w:color="auto"/>
        <w:bottom w:val="none" w:sz="0" w:space="0" w:color="auto"/>
        <w:right w:val="none" w:sz="0" w:space="0" w:color="auto"/>
      </w:divBdr>
    </w:div>
    <w:div w:id="1321277419">
      <w:bodyDiv w:val="1"/>
      <w:marLeft w:val="0"/>
      <w:marRight w:val="0"/>
      <w:marTop w:val="0"/>
      <w:marBottom w:val="0"/>
      <w:divBdr>
        <w:top w:val="none" w:sz="0" w:space="0" w:color="auto"/>
        <w:left w:val="none" w:sz="0" w:space="0" w:color="auto"/>
        <w:bottom w:val="none" w:sz="0" w:space="0" w:color="auto"/>
        <w:right w:val="none" w:sz="0" w:space="0" w:color="auto"/>
      </w:divBdr>
    </w:div>
    <w:div w:id="1674919109">
      <w:bodyDiv w:val="1"/>
      <w:marLeft w:val="0"/>
      <w:marRight w:val="0"/>
      <w:marTop w:val="0"/>
      <w:marBottom w:val="0"/>
      <w:divBdr>
        <w:top w:val="none" w:sz="0" w:space="0" w:color="auto"/>
        <w:left w:val="none" w:sz="0" w:space="0" w:color="auto"/>
        <w:bottom w:val="none" w:sz="0" w:space="0" w:color="auto"/>
        <w:right w:val="none" w:sz="0" w:space="0" w:color="auto"/>
      </w:divBdr>
    </w:div>
    <w:div w:id="1882592399">
      <w:bodyDiv w:val="1"/>
      <w:marLeft w:val="0"/>
      <w:marRight w:val="0"/>
      <w:marTop w:val="0"/>
      <w:marBottom w:val="0"/>
      <w:divBdr>
        <w:top w:val="none" w:sz="0" w:space="0" w:color="auto"/>
        <w:left w:val="none" w:sz="0" w:space="0" w:color="auto"/>
        <w:bottom w:val="none" w:sz="0" w:space="0" w:color="auto"/>
        <w:right w:val="none" w:sz="0" w:space="0" w:color="auto"/>
      </w:divBdr>
    </w:div>
    <w:div w:id="1965697825">
      <w:bodyDiv w:val="1"/>
      <w:marLeft w:val="0"/>
      <w:marRight w:val="0"/>
      <w:marTop w:val="0"/>
      <w:marBottom w:val="0"/>
      <w:divBdr>
        <w:top w:val="none" w:sz="0" w:space="0" w:color="auto"/>
        <w:left w:val="none" w:sz="0" w:space="0" w:color="auto"/>
        <w:bottom w:val="none" w:sz="0" w:space="0" w:color="auto"/>
        <w:right w:val="none" w:sz="0" w:space="0" w:color="auto"/>
      </w:divBdr>
    </w:div>
    <w:div w:id="1972324893">
      <w:bodyDiv w:val="1"/>
      <w:marLeft w:val="0"/>
      <w:marRight w:val="0"/>
      <w:marTop w:val="0"/>
      <w:marBottom w:val="0"/>
      <w:divBdr>
        <w:top w:val="none" w:sz="0" w:space="0" w:color="auto"/>
        <w:left w:val="none" w:sz="0" w:space="0" w:color="auto"/>
        <w:bottom w:val="none" w:sz="0" w:space="0" w:color="auto"/>
        <w:right w:val="none" w:sz="0" w:space="0" w:color="auto"/>
      </w:divBdr>
    </w:div>
    <w:div w:id="1989823676">
      <w:bodyDiv w:val="1"/>
      <w:marLeft w:val="0"/>
      <w:marRight w:val="0"/>
      <w:marTop w:val="0"/>
      <w:marBottom w:val="0"/>
      <w:divBdr>
        <w:top w:val="none" w:sz="0" w:space="0" w:color="auto"/>
        <w:left w:val="none" w:sz="0" w:space="0" w:color="auto"/>
        <w:bottom w:val="none" w:sz="0" w:space="0" w:color="auto"/>
        <w:right w:val="none" w:sz="0" w:space="0" w:color="auto"/>
      </w:divBdr>
    </w:div>
    <w:div w:id="2048068318">
      <w:bodyDiv w:val="1"/>
      <w:marLeft w:val="0"/>
      <w:marRight w:val="0"/>
      <w:marTop w:val="0"/>
      <w:marBottom w:val="0"/>
      <w:divBdr>
        <w:top w:val="none" w:sz="0" w:space="0" w:color="auto"/>
        <w:left w:val="none" w:sz="0" w:space="0" w:color="auto"/>
        <w:bottom w:val="none" w:sz="0" w:space="0" w:color="auto"/>
        <w:right w:val="none" w:sz="0" w:space="0" w:color="auto"/>
      </w:divBdr>
    </w:div>
    <w:div w:id="210360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emf"/></Relationships>
</file>

<file path=word/_rels/footnotes.xml.rels><?xml version="1.0" encoding="UTF-8" standalone="yes"?>
<Relationships xmlns="http://schemas.openxmlformats.org/package/2006/relationships"><Relationship Id="rId1" Type="http://schemas.openxmlformats.org/officeDocument/2006/relationships/hyperlink" Target="mailto:linda.chen@um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ADA4-370D-475B-A5DB-7D788CF1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8358</Words>
  <Characters>47646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1</vt:lpstr>
    </vt:vector>
  </TitlesOfParts>
  <Company>Morningstar, Inc.</Company>
  <LinksUpToDate>false</LinksUpToDate>
  <CharactersWithSpaces>55893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Morningstar</dc:creator>
  <cp:lastModifiedBy>George Jiang</cp:lastModifiedBy>
  <cp:revision>6</cp:revision>
  <cp:lastPrinted>2010-10-19T03:59:00Z</cp:lastPrinted>
  <dcterms:created xsi:type="dcterms:W3CDTF">2012-03-28T04:37:00Z</dcterms:created>
  <dcterms:modified xsi:type="dcterms:W3CDTF">2012-03-28T04:40:00Z</dcterms:modified>
</cp:coreProperties>
</file>