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A7" w:rsidRPr="00493B0B" w:rsidRDefault="00463E9F" w:rsidP="000924A7">
      <w:pPr>
        <w:spacing w:line="360" w:lineRule="auto"/>
        <w:jc w:val="center"/>
      </w:pPr>
      <w:bookmarkStart w:id="0" w:name="_GoBack"/>
      <w:bookmarkEnd w:id="0"/>
      <w:r w:rsidRPr="00493B0B">
        <w:rPr>
          <w:b/>
        </w:rPr>
        <w:t>Firm Visibility and Corporate Bond Liquidity</w:t>
      </w:r>
      <w:r w:rsidRPr="00493B0B">
        <w:t xml:space="preserve"> </w:t>
      </w:r>
    </w:p>
    <w:p w:rsidR="003D1BA0" w:rsidRDefault="003D1BA0" w:rsidP="000924A7">
      <w:pPr>
        <w:spacing w:line="360" w:lineRule="auto"/>
        <w:jc w:val="center"/>
      </w:pPr>
    </w:p>
    <w:p w:rsidR="000924A7" w:rsidRPr="00493B0B" w:rsidRDefault="000924A7" w:rsidP="000924A7">
      <w:pPr>
        <w:spacing w:line="360" w:lineRule="auto"/>
        <w:jc w:val="center"/>
      </w:pPr>
      <w:r w:rsidRPr="00493B0B">
        <w:t>Oliver Chang</w:t>
      </w:r>
    </w:p>
    <w:p w:rsidR="000924A7" w:rsidRPr="00493B0B" w:rsidRDefault="00463E9F" w:rsidP="000924A7">
      <w:pPr>
        <w:spacing w:line="360" w:lineRule="auto"/>
        <w:jc w:val="center"/>
      </w:pPr>
      <w:r w:rsidRPr="00493B0B">
        <w:t>Simi Kedia</w:t>
      </w:r>
    </w:p>
    <w:p w:rsidR="000924A7" w:rsidRPr="00493B0B" w:rsidRDefault="00463E9F" w:rsidP="000924A7">
      <w:pPr>
        <w:spacing w:line="360" w:lineRule="auto"/>
        <w:jc w:val="center"/>
      </w:pPr>
      <w:r w:rsidRPr="00493B0B">
        <w:t>Jason Wei</w:t>
      </w:r>
    </w:p>
    <w:p w:rsidR="000924A7" w:rsidRPr="00493B0B" w:rsidRDefault="00463E9F" w:rsidP="000924A7">
      <w:pPr>
        <w:spacing w:line="360" w:lineRule="auto"/>
        <w:jc w:val="center"/>
      </w:pPr>
      <w:r w:rsidRPr="00493B0B">
        <w:t>Xing Zhou</w:t>
      </w:r>
      <w:r w:rsidR="00A418E2" w:rsidRPr="00493B0B">
        <w:rPr>
          <w:rStyle w:val="FootnoteReference"/>
        </w:rPr>
        <w:footnoteReference w:id="1"/>
      </w:r>
    </w:p>
    <w:p w:rsidR="000924A7" w:rsidRPr="00493B0B" w:rsidRDefault="000924A7" w:rsidP="000924A7">
      <w:pPr>
        <w:spacing w:line="360" w:lineRule="auto"/>
        <w:jc w:val="center"/>
      </w:pPr>
    </w:p>
    <w:p w:rsidR="000924A7" w:rsidRDefault="000924A7" w:rsidP="003D1BA0">
      <w:pPr>
        <w:spacing w:line="360" w:lineRule="auto"/>
      </w:pPr>
    </w:p>
    <w:p w:rsidR="00145C4F" w:rsidRPr="00493B0B" w:rsidRDefault="00145C4F" w:rsidP="000924A7">
      <w:pPr>
        <w:spacing w:line="360" w:lineRule="auto"/>
        <w:jc w:val="center"/>
      </w:pPr>
    </w:p>
    <w:p w:rsidR="00494B9A" w:rsidRPr="00493B0B" w:rsidRDefault="00A418E2" w:rsidP="00494B9A">
      <w:pPr>
        <w:spacing w:line="360" w:lineRule="auto"/>
        <w:jc w:val="center"/>
        <w:rPr>
          <w:b/>
        </w:rPr>
      </w:pPr>
      <w:r w:rsidRPr="00493B0B">
        <w:rPr>
          <w:b/>
        </w:rPr>
        <w:t>Abstract</w:t>
      </w:r>
    </w:p>
    <w:p w:rsidR="00145C4F" w:rsidRDefault="00145C4F" w:rsidP="00145C4F">
      <w:pPr>
        <w:spacing w:line="360" w:lineRule="auto"/>
      </w:pPr>
    </w:p>
    <w:p w:rsidR="003D1BA0" w:rsidRDefault="00677826" w:rsidP="003D1BA0">
      <w:pPr>
        <w:spacing w:line="360" w:lineRule="auto"/>
        <w:jc w:val="both"/>
      </w:pPr>
      <w:r w:rsidRPr="00493B0B">
        <w:t>This paper examines the impact of</w:t>
      </w:r>
      <w:r w:rsidR="00FB4E4F">
        <w:t xml:space="preserve"> firm</w:t>
      </w:r>
      <w:r w:rsidRPr="00493B0B">
        <w:t xml:space="preserve"> visibility </w:t>
      </w:r>
      <w:r w:rsidR="00BD6CF4" w:rsidRPr="00493B0B">
        <w:t>on bond liquidity</w:t>
      </w:r>
      <w:r w:rsidR="003D1BA0">
        <w:t xml:space="preserve">. </w:t>
      </w:r>
      <w:r w:rsidRPr="00493B0B">
        <w:t>Using</w:t>
      </w:r>
      <w:r w:rsidR="004814EF" w:rsidRPr="00493B0B">
        <w:t xml:space="preserve"> a range of </w:t>
      </w:r>
      <w:r w:rsidRPr="00493B0B">
        <w:t xml:space="preserve">visibility </w:t>
      </w:r>
      <w:r w:rsidR="004814EF" w:rsidRPr="00493B0B">
        <w:t>measures</w:t>
      </w:r>
      <w:r w:rsidR="00BD6CF4" w:rsidRPr="00493B0B">
        <w:t xml:space="preserve"> such as </w:t>
      </w:r>
      <w:r w:rsidR="004814EF" w:rsidRPr="00493B0B">
        <w:t xml:space="preserve">firm size, advertising expenses, breadth of </w:t>
      </w:r>
      <w:r w:rsidR="0026785B">
        <w:t>stock</w:t>
      </w:r>
      <w:r w:rsidR="004814EF" w:rsidRPr="00493B0B">
        <w:t xml:space="preserve"> </w:t>
      </w:r>
      <w:r w:rsidR="0026785B">
        <w:t xml:space="preserve">and bond </w:t>
      </w:r>
      <w:r w:rsidR="004814EF" w:rsidRPr="00493B0B">
        <w:t>ownership</w:t>
      </w:r>
      <w:r w:rsidR="0026785B">
        <w:t>s</w:t>
      </w:r>
      <w:r w:rsidR="004814EF" w:rsidRPr="00493B0B">
        <w:t xml:space="preserve">, </w:t>
      </w:r>
      <w:r w:rsidR="0026785B">
        <w:t xml:space="preserve">and </w:t>
      </w:r>
      <w:r w:rsidR="004814EF" w:rsidRPr="00493B0B">
        <w:t>analyst coverage</w:t>
      </w:r>
      <w:r w:rsidRPr="00493B0B">
        <w:t>,</w:t>
      </w:r>
      <w:r w:rsidR="004814EF" w:rsidRPr="00493B0B">
        <w:t xml:space="preserve"> we find </w:t>
      </w:r>
      <w:r w:rsidR="0026785B">
        <w:t>strong</w:t>
      </w:r>
      <w:r w:rsidR="004814EF" w:rsidRPr="00493B0B">
        <w:t xml:space="preserve"> evidence that visibility posi</w:t>
      </w:r>
      <w:r w:rsidR="003D1BA0">
        <w:t xml:space="preserve">tively impacts bond liquidity. </w:t>
      </w:r>
      <w:r w:rsidR="0026785B">
        <w:t>Our</w:t>
      </w:r>
      <w:r w:rsidR="004814EF" w:rsidRPr="00493B0B">
        <w:t xml:space="preserve"> result is robust to </w:t>
      </w:r>
      <w:r w:rsidRPr="00493B0B">
        <w:t>alternative</w:t>
      </w:r>
      <w:r w:rsidR="004814EF" w:rsidRPr="00493B0B">
        <w:t xml:space="preserve"> measures of liquidity </w:t>
      </w:r>
      <w:r w:rsidR="0026785B">
        <w:t xml:space="preserve">and </w:t>
      </w:r>
      <w:r w:rsidR="004814EF" w:rsidRPr="00493B0B">
        <w:t>different estimation methodolog</w:t>
      </w:r>
      <w:r w:rsidR="0026785B">
        <w:t>ies</w:t>
      </w:r>
      <w:r w:rsidRPr="00493B0B">
        <w:t>,</w:t>
      </w:r>
      <w:r w:rsidR="004814EF" w:rsidRPr="00493B0B">
        <w:t xml:space="preserve"> and holds </w:t>
      </w:r>
      <w:r w:rsidR="0026785B">
        <w:t>for bonds in all rating categories</w:t>
      </w:r>
      <w:r w:rsidR="003D1BA0">
        <w:t>.</w:t>
      </w:r>
      <w:r w:rsidR="004814EF" w:rsidRPr="00493B0B">
        <w:t xml:space="preserve"> </w:t>
      </w:r>
      <w:r w:rsidR="0026785B">
        <w:t>To further prove the direct link between firm visibility and bond liquidity, w</w:t>
      </w:r>
      <w:r w:rsidR="004814EF" w:rsidRPr="00493B0B">
        <w:t xml:space="preserve">e examine </w:t>
      </w:r>
      <w:r w:rsidRPr="00493B0B">
        <w:t xml:space="preserve">liquidity changes in bonds </w:t>
      </w:r>
      <w:r w:rsidR="0026785B">
        <w:t>upon</w:t>
      </w:r>
      <w:r w:rsidRPr="00493B0B">
        <w:t xml:space="preserve"> their issuing </w:t>
      </w:r>
      <w:r w:rsidR="004814EF" w:rsidRPr="00493B0B">
        <w:t xml:space="preserve">firms </w:t>
      </w:r>
      <w:r w:rsidR="0026785B">
        <w:t xml:space="preserve">being </w:t>
      </w:r>
      <w:r w:rsidR="004814EF" w:rsidRPr="00493B0B">
        <w:t xml:space="preserve">added to the S&amp;P 500 </w:t>
      </w:r>
      <w:r w:rsidR="0026785B">
        <w:t>i</w:t>
      </w:r>
      <w:r w:rsidR="004814EF" w:rsidRPr="00493B0B">
        <w:t>ndex, an exogenou</w:t>
      </w:r>
      <w:r w:rsidR="003D1BA0">
        <w:t xml:space="preserve">s visibility increasing event. </w:t>
      </w:r>
      <w:r w:rsidR="0026785B">
        <w:t>We find</w:t>
      </w:r>
      <w:r w:rsidR="004814EF" w:rsidRPr="00493B0B">
        <w:t xml:space="preserve"> a significant increase in bond liquidity </w:t>
      </w:r>
      <w:r w:rsidR="0026785B">
        <w:t xml:space="preserve">relative to a control group </w:t>
      </w:r>
      <w:r w:rsidR="004814EF" w:rsidRPr="00493B0B">
        <w:t xml:space="preserve">after the </w:t>
      </w:r>
      <w:r w:rsidR="005955F8">
        <w:t>index inclusion.</w:t>
      </w:r>
      <w:r w:rsidR="005955F8" w:rsidRPr="00493B0B" w:rsidDel="005955F8">
        <w:t xml:space="preserve"> </w:t>
      </w:r>
    </w:p>
    <w:p w:rsidR="003D1BA0" w:rsidRDefault="003D1BA0" w:rsidP="003D1BA0">
      <w:pPr>
        <w:spacing w:line="360" w:lineRule="auto"/>
        <w:jc w:val="both"/>
      </w:pPr>
    </w:p>
    <w:p w:rsidR="003D1BA0" w:rsidRDefault="003D1BA0" w:rsidP="003D1BA0">
      <w:pPr>
        <w:spacing w:line="360" w:lineRule="auto"/>
        <w:jc w:val="both"/>
      </w:pPr>
    </w:p>
    <w:p w:rsidR="003D1BA0" w:rsidRDefault="003D1BA0" w:rsidP="003D1BA0">
      <w:pPr>
        <w:spacing w:line="360" w:lineRule="auto"/>
        <w:jc w:val="both"/>
      </w:pPr>
    </w:p>
    <w:p w:rsidR="003D1BA0" w:rsidRPr="00493B0B" w:rsidRDefault="003D1BA0" w:rsidP="003D1BA0">
      <w:pPr>
        <w:spacing w:line="360" w:lineRule="auto"/>
        <w:jc w:val="center"/>
      </w:pPr>
      <w:r w:rsidRPr="00493B0B">
        <w:t>This Draft:  March 2012</w:t>
      </w:r>
    </w:p>
    <w:p w:rsidR="008134EC" w:rsidRDefault="008134EC">
      <w:r>
        <w:br w:type="page"/>
      </w:r>
    </w:p>
    <w:p w:rsidR="00381689" w:rsidRPr="00493B0B" w:rsidRDefault="00381689" w:rsidP="003D1BA0">
      <w:pPr>
        <w:spacing w:line="360" w:lineRule="auto"/>
        <w:jc w:val="both"/>
      </w:pPr>
      <w:r w:rsidRPr="00493B0B">
        <w:lastRenderedPageBreak/>
        <w:t xml:space="preserve">It </w:t>
      </w:r>
      <w:r w:rsidR="00384281">
        <w:t xml:space="preserve">has been shown </w:t>
      </w:r>
      <w:r w:rsidRPr="00493B0B">
        <w:t xml:space="preserve">in the literature that firm visibility affects stock liquidity and </w:t>
      </w:r>
      <w:r w:rsidR="00BD6CF4" w:rsidRPr="00493B0B">
        <w:t>investors’</w:t>
      </w:r>
      <w:r w:rsidRPr="00493B0B">
        <w:t xml:space="preserve"> stock selection. It is also known that</w:t>
      </w:r>
      <w:r w:rsidR="00DE0FFD" w:rsidRPr="00493B0B">
        <w:t>, in the fixed income market,</w:t>
      </w:r>
      <w:r w:rsidRPr="00493B0B">
        <w:t xml:space="preserve"> liquidity affects the yield spreads of corporate bonds. Insofar as liquidity is an important pricing factor for bonds and firm visibility influences stock liquidity, it is natural to ask whether firm visibility also affects bond liquidity. </w:t>
      </w:r>
      <w:r w:rsidR="00A86027" w:rsidRPr="00493B0B">
        <w:t>In this paper, we establish a strong link between bond liquidity and firm visibility, in addition to the commonly known liquidity determinants.</w:t>
      </w:r>
      <w:r w:rsidRPr="00493B0B">
        <w:t xml:space="preserve">  </w:t>
      </w:r>
    </w:p>
    <w:p w:rsidR="00BA6A9D" w:rsidRPr="00493B0B" w:rsidRDefault="00A75313" w:rsidP="003D1BA0">
      <w:pPr>
        <w:spacing w:line="360" w:lineRule="auto"/>
        <w:jc w:val="both"/>
      </w:pPr>
      <w:r w:rsidRPr="00493B0B">
        <w:tab/>
        <w:t xml:space="preserve">The importance of bond liquidity has been well recognized both in the industry and in academia, partly due to the fact that </w:t>
      </w:r>
      <w:r w:rsidR="00C84348" w:rsidRPr="00493B0B">
        <w:t xml:space="preserve">corporate bonds have </w:t>
      </w:r>
      <w:r w:rsidRPr="00493B0B">
        <w:t xml:space="preserve">much </w:t>
      </w:r>
      <w:r w:rsidR="00C84348" w:rsidRPr="00493B0B">
        <w:t>low</w:t>
      </w:r>
      <w:r w:rsidRPr="00493B0B">
        <w:t>er</w:t>
      </w:r>
      <w:r w:rsidR="00C84348" w:rsidRPr="00493B0B">
        <w:t xml:space="preserve"> liquidity</w:t>
      </w:r>
      <w:r w:rsidRPr="00493B0B">
        <w:t xml:space="preserve"> compared with equity</w:t>
      </w:r>
      <w:r w:rsidR="00C84348" w:rsidRPr="00493B0B">
        <w:t xml:space="preserve">. </w:t>
      </w:r>
      <w:r w:rsidR="00EA1466" w:rsidRPr="00493B0B">
        <w:t>In a recent survey conducted by the International Capital Market Association (ICMA)</w:t>
      </w:r>
      <w:r w:rsidRPr="00493B0B">
        <w:t>,</w:t>
      </w:r>
      <w:r w:rsidR="00EA1466" w:rsidRPr="00493B0B">
        <w:t xml:space="preserve"> liquidity was ranked as the most important factor </w:t>
      </w:r>
      <w:r w:rsidRPr="00493B0B">
        <w:t>in bond trading</w:t>
      </w:r>
      <w:r w:rsidR="00DE0FFD" w:rsidRPr="00493B0B">
        <w:t>.</w:t>
      </w:r>
      <w:r w:rsidR="00BF40C6" w:rsidRPr="00493B0B">
        <w:t xml:space="preserve"> Th</w:t>
      </w:r>
      <w:r w:rsidR="00F35182" w:rsidRPr="00493B0B">
        <w:t>e</w:t>
      </w:r>
      <w:r w:rsidR="00BF40C6" w:rsidRPr="00493B0B">
        <w:t xml:space="preserve"> lack of transparency and liquidity in the corporate bond markets </w:t>
      </w:r>
      <w:r w:rsidR="00F35182" w:rsidRPr="00493B0B">
        <w:t>was</w:t>
      </w:r>
      <w:r w:rsidR="00BF40C6" w:rsidRPr="00493B0B">
        <w:t xml:space="preserve"> stressed by Arthur Levitt, </w:t>
      </w:r>
      <w:r w:rsidR="0026785B">
        <w:t xml:space="preserve">the </w:t>
      </w:r>
      <w:r w:rsidR="00BD6CF4" w:rsidRPr="00493B0B">
        <w:t xml:space="preserve">former </w:t>
      </w:r>
      <w:r w:rsidR="00BF40C6" w:rsidRPr="00493B0B">
        <w:t xml:space="preserve">Chairman of the SEC, in a 1998 </w:t>
      </w:r>
      <w:r w:rsidR="00457DE2" w:rsidRPr="00493B0B">
        <w:t xml:space="preserve">speech </w:t>
      </w:r>
      <w:r w:rsidR="00F35182" w:rsidRPr="00493B0B">
        <w:t>that prompt</w:t>
      </w:r>
      <w:r w:rsidR="00BF40C6" w:rsidRPr="00493B0B">
        <w:t xml:space="preserve">ed the establishment of </w:t>
      </w:r>
      <w:r w:rsidR="00F35182" w:rsidRPr="00493B0B">
        <w:t>Trade Reporting and Compliance Engine (</w:t>
      </w:r>
      <w:r w:rsidR="00BF40C6" w:rsidRPr="00493B0B">
        <w:t>TRACE</w:t>
      </w:r>
      <w:r w:rsidR="00F35182" w:rsidRPr="00493B0B">
        <w:t>)</w:t>
      </w:r>
      <w:r w:rsidR="00384281">
        <w:t>.</w:t>
      </w:r>
      <w:r w:rsidR="00384281" w:rsidRPr="00493B0B">
        <w:rPr>
          <w:rStyle w:val="FootnoteReference"/>
        </w:rPr>
        <w:footnoteReference w:id="2"/>
      </w:r>
      <w:r w:rsidR="00384281">
        <w:t xml:space="preserve"> </w:t>
      </w:r>
      <w:r w:rsidR="00F35182" w:rsidRPr="00493B0B">
        <w:t>In the academic world, s</w:t>
      </w:r>
      <w:r w:rsidR="00BF40C6" w:rsidRPr="00493B0B">
        <w:t xml:space="preserve">everal papers </w:t>
      </w:r>
      <w:r w:rsidR="00F35182" w:rsidRPr="00493B0B">
        <w:t>(e.g., Chen, Lesmond and Wei</w:t>
      </w:r>
      <w:r w:rsidR="00BD6CF4" w:rsidRPr="00493B0B">
        <w:t xml:space="preserve"> (</w:t>
      </w:r>
      <w:r w:rsidR="00F35182" w:rsidRPr="00493B0B">
        <w:t>2007</w:t>
      </w:r>
      <w:r w:rsidR="00BD6CF4" w:rsidRPr="00493B0B">
        <w:t>)</w:t>
      </w:r>
      <w:r w:rsidR="00F35182" w:rsidRPr="00493B0B">
        <w:t xml:space="preserve">) </w:t>
      </w:r>
      <w:r w:rsidR="00BF40C6" w:rsidRPr="00493B0B">
        <w:t xml:space="preserve">have documented that </w:t>
      </w:r>
      <w:r w:rsidR="00F35182" w:rsidRPr="00493B0B">
        <w:t xml:space="preserve">bond </w:t>
      </w:r>
      <w:r w:rsidR="00BF40C6" w:rsidRPr="00493B0B">
        <w:t xml:space="preserve">liquidity is priced and </w:t>
      </w:r>
      <w:r w:rsidR="00BD6CF4" w:rsidRPr="00493B0B">
        <w:t xml:space="preserve">affects </w:t>
      </w:r>
      <w:r w:rsidR="00BF40C6" w:rsidRPr="00493B0B">
        <w:t>yield</w:t>
      </w:r>
      <w:r w:rsidR="00F35182" w:rsidRPr="00493B0B">
        <w:t xml:space="preserve"> spreads</w:t>
      </w:r>
      <w:r w:rsidR="00BF40C6" w:rsidRPr="00493B0B">
        <w:t>.</w:t>
      </w:r>
      <w:r w:rsidR="00C84348" w:rsidRPr="00493B0B">
        <w:t xml:space="preserve"> </w:t>
      </w:r>
      <w:r w:rsidR="00324900" w:rsidRPr="00493B0B">
        <w:t xml:space="preserve">Although researchers have linked basic bond characteristics to liquidity, it is generally not known what drives the cross-sectional differences in bond liquidity. </w:t>
      </w:r>
      <w:r w:rsidR="00BF40C6" w:rsidRPr="00493B0B">
        <w:t xml:space="preserve">Why do </w:t>
      </w:r>
      <w:r w:rsidR="00BA6A9D" w:rsidRPr="00493B0B">
        <w:t xml:space="preserve">bonds with similar characteristics </w:t>
      </w:r>
      <w:r w:rsidR="00324900" w:rsidRPr="00493B0B">
        <w:t>such as</w:t>
      </w:r>
      <w:r w:rsidR="00BA6A9D" w:rsidRPr="00493B0B">
        <w:t xml:space="preserve"> age, maturity, offering size</w:t>
      </w:r>
      <w:r w:rsidR="00BF40C6" w:rsidRPr="00493B0B">
        <w:t xml:space="preserve"> and credit risk</w:t>
      </w:r>
      <w:r w:rsidR="00BA6A9D" w:rsidRPr="00493B0B">
        <w:t xml:space="preserve"> </w:t>
      </w:r>
      <w:r w:rsidR="00BF40C6" w:rsidRPr="00493B0B">
        <w:t xml:space="preserve">have different </w:t>
      </w:r>
      <w:r w:rsidR="00324900" w:rsidRPr="00493B0B">
        <w:t xml:space="preserve">levels of </w:t>
      </w:r>
      <w:r w:rsidR="00BF40C6" w:rsidRPr="00493B0B">
        <w:t>liquidity</w:t>
      </w:r>
      <w:r w:rsidR="00BA6A9D" w:rsidRPr="00493B0B">
        <w:t xml:space="preserve">? </w:t>
      </w:r>
      <w:r w:rsidR="00B64B4C" w:rsidRPr="00493B0B">
        <w:t xml:space="preserve">While the </w:t>
      </w:r>
      <w:r w:rsidR="004B44FC" w:rsidRPr="00493B0B">
        <w:t>answer to this question may potentially hinge upon many factors, in this paper, we focus on the role of firm visibility.</w:t>
      </w:r>
    </w:p>
    <w:p w:rsidR="00C84348" w:rsidRPr="00493B0B" w:rsidRDefault="00C84348" w:rsidP="003D1BA0">
      <w:pPr>
        <w:spacing w:line="360" w:lineRule="auto"/>
        <w:ind w:firstLine="720"/>
        <w:jc w:val="both"/>
      </w:pPr>
      <w:r w:rsidRPr="00493B0B">
        <w:t xml:space="preserve">Firm visibility has been known to impact stock selection and liquidity. Several prominent equity fund managers </w:t>
      </w:r>
      <w:r w:rsidR="004B44FC" w:rsidRPr="00493B0B">
        <w:t xml:space="preserve">(e.g., </w:t>
      </w:r>
      <w:r w:rsidRPr="00493B0B">
        <w:t>Peter Lynch and Warrant Buffet</w:t>
      </w:r>
      <w:r w:rsidR="004B44FC" w:rsidRPr="00493B0B">
        <w:t>)</w:t>
      </w:r>
      <w:r w:rsidRPr="00493B0B">
        <w:t xml:space="preserve"> have espoused the philosophy of “buying what you know</w:t>
      </w:r>
      <w:r w:rsidR="004B44FC" w:rsidRPr="00493B0B">
        <w:t>.</w:t>
      </w:r>
      <w:r w:rsidRPr="00493B0B">
        <w:t xml:space="preserve">” </w:t>
      </w:r>
      <w:r w:rsidR="004B44FC" w:rsidRPr="00493B0B">
        <w:t xml:space="preserve">Individual retail investors also appear to make their investment decisions based on </w:t>
      </w:r>
      <w:r w:rsidRPr="00493B0B">
        <w:t xml:space="preserve">familiarity </w:t>
      </w:r>
      <w:r w:rsidR="004B44FC" w:rsidRPr="00493B0B">
        <w:t xml:space="preserve">as </w:t>
      </w:r>
      <w:r w:rsidRPr="00493B0B">
        <w:t>documented by Huberman (2001)</w:t>
      </w:r>
      <w:r w:rsidR="004B44FC" w:rsidRPr="00493B0B">
        <w:t>,</w:t>
      </w:r>
      <w:r w:rsidRPr="00493B0B">
        <w:t xml:space="preserve"> and Grinblatt and Keloharju (2001). </w:t>
      </w:r>
      <w:r w:rsidR="002835D2" w:rsidRPr="00493B0B">
        <w:t xml:space="preserve"> F</w:t>
      </w:r>
      <w:r w:rsidR="004B44FC" w:rsidRPr="00493B0B">
        <w:t xml:space="preserve">irm visibility </w:t>
      </w:r>
      <w:r w:rsidR="002835D2" w:rsidRPr="00493B0B">
        <w:t xml:space="preserve">has also been shown to </w:t>
      </w:r>
      <w:r w:rsidR="004B44FC" w:rsidRPr="00493B0B">
        <w:t xml:space="preserve">impact stock liquidity through various channels. For instance, </w:t>
      </w:r>
      <w:r w:rsidRPr="00493B0B">
        <w:t xml:space="preserve">Grullon, Kanatas and Weston (2004) document </w:t>
      </w:r>
      <w:r w:rsidR="00457DE2" w:rsidRPr="00493B0B">
        <w:t xml:space="preserve">that </w:t>
      </w:r>
      <w:r w:rsidRPr="00493B0B">
        <w:t xml:space="preserve">the </w:t>
      </w:r>
      <w:r w:rsidR="004B44FC" w:rsidRPr="00493B0B">
        <w:t xml:space="preserve">enhanced visibility </w:t>
      </w:r>
      <w:r w:rsidR="00160DD5" w:rsidRPr="00493B0B">
        <w:t xml:space="preserve">from </w:t>
      </w:r>
      <w:r w:rsidRPr="00493B0B">
        <w:t>advertising has a positive impact on stock liquidity</w:t>
      </w:r>
      <w:r w:rsidR="00160DD5" w:rsidRPr="00493B0B">
        <w:t>;</w:t>
      </w:r>
      <w:r w:rsidRPr="00493B0B">
        <w:t xml:space="preserve"> Kadlec and McConnell (1994)</w:t>
      </w:r>
      <w:r w:rsidR="00160DD5" w:rsidRPr="00493B0B">
        <w:t>,</w:t>
      </w:r>
      <w:r w:rsidRPr="00493B0B">
        <w:t xml:space="preserve"> and Foester and Karolyi (2001) </w:t>
      </w:r>
      <w:r w:rsidR="00160DD5" w:rsidRPr="00493B0B">
        <w:t xml:space="preserve">show that newly listed stocks on the NYSE enjoy a decrease in bid-ask spreads </w:t>
      </w:r>
      <w:r w:rsidR="002835D2" w:rsidRPr="00493B0B">
        <w:t xml:space="preserve">in response to </w:t>
      </w:r>
      <w:r w:rsidR="00160DD5" w:rsidRPr="00493B0B">
        <w:t xml:space="preserve">the increased visibility. While </w:t>
      </w:r>
      <w:r w:rsidRPr="00493B0B">
        <w:t xml:space="preserve">the impact of visibility on </w:t>
      </w:r>
      <w:r w:rsidR="00457DE2" w:rsidRPr="00493B0B">
        <w:t xml:space="preserve">stock </w:t>
      </w:r>
      <w:r w:rsidRPr="00493B0B">
        <w:t xml:space="preserve">liquidity </w:t>
      </w:r>
      <w:r w:rsidRPr="00493B0B">
        <w:lastRenderedPageBreak/>
        <w:t xml:space="preserve">has been well documented, little </w:t>
      </w:r>
      <w:r w:rsidR="00160DD5" w:rsidRPr="00493B0B">
        <w:t xml:space="preserve">is known about how firm visibility might impact liquidity in the </w:t>
      </w:r>
      <w:r w:rsidRPr="00493B0B">
        <w:t>bond market.</w:t>
      </w:r>
    </w:p>
    <w:p w:rsidR="00F34E7C" w:rsidRPr="00493B0B" w:rsidRDefault="00C84348" w:rsidP="003D1BA0">
      <w:pPr>
        <w:spacing w:line="360" w:lineRule="auto"/>
        <w:ind w:firstLine="720"/>
        <w:jc w:val="both"/>
      </w:pPr>
      <w:r w:rsidRPr="00493B0B">
        <w:t xml:space="preserve"> </w:t>
      </w:r>
      <w:r w:rsidR="002835D2" w:rsidRPr="00493B0B">
        <w:t xml:space="preserve">We fill this </w:t>
      </w:r>
      <w:r w:rsidR="00DE0FFD" w:rsidRPr="00493B0B">
        <w:t xml:space="preserve">gap </w:t>
      </w:r>
      <w:r w:rsidR="002835D2" w:rsidRPr="00493B0B">
        <w:t>by examining</w:t>
      </w:r>
      <w:r w:rsidRPr="00493B0B">
        <w:t xml:space="preserve"> </w:t>
      </w:r>
      <w:r w:rsidR="00DE0FFD" w:rsidRPr="00493B0B">
        <w:t xml:space="preserve">whether </w:t>
      </w:r>
      <w:r w:rsidRPr="00493B0B">
        <w:t xml:space="preserve">bonds issued by highly visible firms </w:t>
      </w:r>
      <w:r w:rsidR="00457DE2" w:rsidRPr="00493B0B">
        <w:t xml:space="preserve">are likely to </w:t>
      </w:r>
      <w:r w:rsidRPr="00493B0B">
        <w:t xml:space="preserve">enjoy higher liquidity. We employ several proxies to capture firm visibility. </w:t>
      </w:r>
      <w:r w:rsidR="00DE0FFD" w:rsidRPr="00493B0B">
        <w:t>Our first proxy is firm size</w:t>
      </w:r>
      <w:r w:rsidR="00813DFA" w:rsidRPr="00493B0B">
        <w:t>.</w:t>
      </w:r>
      <w:r w:rsidRPr="00493B0B">
        <w:t xml:space="preserve"> Larger firms are more likely to be visible and known to capital market </w:t>
      </w:r>
      <w:r w:rsidR="00DE0FFD" w:rsidRPr="00493B0B">
        <w:t>participants</w:t>
      </w:r>
      <w:r w:rsidRPr="00493B0B">
        <w:t xml:space="preserve">. </w:t>
      </w:r>
      <w:r w:rsidR="00DE0FFD" w:rsidRPr="00493B0B">
        <w:t xml:space="preserve">The second proxy is the </w:t>
      </w:r>
      <w:r w:rsidR="004F3553" w:rsidRPr="00493B0B">
        <w:t>firm’</w:t>
      </w:r>
      <w:r w:rsidR="00DE0FFD" w:rsidRPr="00493B0B">
        <w:t xml:space="preserve">s advertising expense </w:t>
      </w:r>
      <w:r w:rsidR="004F3553" w:rsidRPr="00493B0B">
        <w:t>as in</w:t>
      </w:r>
      <w:r w:rsidRPr="00493B0B">
        <w:t xml:space="preserve"> Grullon, Kanatas and Weston (2004)</w:t>
      </w:r>
      <w:r w:rsidR="00813DFA" w:rsidRPr="00493B0B">
        <w:t>.</w:t>
      </w:r>
      <w:r w:rsidRPr="00493B0B">
        <w:t xml:space="preserve"> </w:t>
      </w:r>
      <w:r w:rsidR="00361FB9" w:rsidRPr="00493B0B">
        <w:t xml:space="preserve">The next two proxies capture visibility in the equity markets.  The first of these, </w:t>
      </w:r>
      <w:r w:rsidR="0026785B">
        <w:t xml:space="preserve">the </w:t>
      </w:r>
      <w:r w:rsidR="004F3553" w:rsidRPr="00493B0B">
        <w:t xml:space="preserve">number of institutions holding the firm’s stock, </w:t>
      </w:r>
      <w:r w:rsidR="00361FB9" w:rsidRPr="00493B0B">
        <w:t xml:space="preserve">captures </w:t>
      </w:r>
      <w:r w:rsidR="006A76FC" w:rsidRPr="00493B0B">
        <w:t>the breadth of institutional ownership</w:t>
      </w:r>
      <w:r w:rsidR="00361FB9" w:rsidRPr="00493B0B">
        <w:t xml:space="preserve"> and represents visibility in the equity markets.</w:t>
      </w:r>
      <w:r w:rsidR="00F34E7C" w:rsidRPr="00493B0B">
        <w:rPr>
          <w:rStyle w:val="FootnoteReference"/>
        </w:rPr>
        <w:footnoteReference w:id="3"/>
      </w:r>
      <w:r w:rsidR="00F34E7C" w:rsidRPr="00493B0B">
        <w:t xml:space="preserve"> </w:t>
      </w:r>
      <w:r w:rsidR="00361FB9" w:rsidRPr="00493B0B">
        <w:t xml:space="preserve"> The </w:t>
      </w:r>
      <w:r w:rsidR="0026785B">
        <w:t>other proxy</w:t>
      </w:r>
      <w:r w:rsidR="004F3553" w:rsidRPr="00493B0B">
        <w:t>, the number of analysts following the firm,</w:t>
      </w:r>
      <w:r w:rsidR="00F437EC" w:rsidRPr="00493B0B">
        <w:t xml:space="preserve"> also</w:t>
      </w:r>
      <w:r w:rsidR="004F3553" w:rsidRPr="00493B0B">
        <w:t xml:space="preserve"> </w:t>
      </w:r>
      <w:r w:rsidR="00F437EC" w:rsidRPr="00493B0B">
        <w:t>measures the visibility in the equity market.</w:t>
      </w:r>
      <w:r w:rsidR="004F3553" w:rsidRPr="00493B0B">
        <w:t xml:space="preserve"> </w:t>
      </w:r>
      <w:r w:rsidR="00F437EC" w:rsidRPr="00493B0B">
        <w:t xml:space="preserve">The larger the number of analysts, the greater visibility they create for the firm. </w:t>
      </w:r>
    </w:p>
    <w:p w:rsidR="004A63AD" w:rsidRPr="00493B0B" w:rsidRDefault="00D856A7" w:rsidP="003D1BA0">
      <w:pPr>
        <w:spacing w:line="360" w:lineRule="auto"/>
        <w:ind w:firstLine="720"/>
        <w:jc w:val="both"/>
      </w:pPr>
      <w:r w:rsidRPr="00493B0B">
        <w:t xml:space="preserve">We </w:t>
      </w:r>
      <w:r w:rsidR="001A60BA" w:rsidRPr="00493B0B">
        <w:t xml:space="preserve">also use multiple proxies for </w:t>
      </w:r>
      <w:r w:rsidR="00030D0D" w:rsidRPr="00493B0B">
        <w:t xml:space="preserve">bond liquidity. </w:t>
      </w:r>
      <w:r w:rsidRPr="00493B0B">
        <w:t>The first measure of liquidity</w:t>
      </w:r>
      <w:r w:rsidR="002B662C" w:rsidRPr="00493B0B">
        <w:t xml:space="preserve">, </w:t>
      </w:r>
      <w:r w:rsidRPr="00493B0B">
        <w:t>based on Chen, Lesmond and Wei (</w:t>
      </w:r>
      <w:r w:rsidR="002B662C" w:rsidRPr="00493B0B">
        <w:t xml:space="preserve">2007), is the percentage of days in the quarter the bond has zero returns. </w:t>
      </w:r>
      <w:r w:rsidR="00030D0D" w:rsidRPr="00493B0B">
        <w:t xml:space="preserve">We also use </w:t>
      </w:r>
      <w:r w:rsidR="002B662C" w:rsidRPr="00493B0B">
        <w:t xml:space="preserve">the number of trades in the quarter and </w:t>
      </w:r>
      <w:r w:rsidR="000C234B" w:rsidRPr="00493B0B">
        <w:t xml:space="preserve">the </w:t>
      </w:r>
      <w:r w:rsidR="00030D0D" w:rsidRPr="00493B0B">
        <w:t>total par value</w:t>
      </w:r>
      <w:r w:rsidR="002B662C" w:rsidRPr="00493B0B">
        <w:t xml:space="preserve"> traded as measures of liquidity. </w:t>
      </w:r>
      <w:r w:rsidR="000C234B" w:rsidRPr="00493B0B">
        <w:t>Our last set of proxies, the gamma (γ) of Bao, Pan and Wang (2011) and the Amihud’s illiquidity measure (Amihud, 2002), are based on transaction prices and volume and are described in detail in the data section.</w:t>
      </w:r>
      <w:r w:rsidR="000C234B" w:rsidRPr="00493B0B" w:rsidDel="000C234B">
        <w:t xml:space="preserve"> </w:t>
      </w:r>
      <w:r w:rsidR="00B9300F" w:rsidRPr="00493B0B">
        <w:t xml:space="preserve">We find a significant positive impact of visibility on bond liquidity. </w:t>
      </w:r>
      <w:r w:rsidR="004B23F1" w:rsidRPr="00493B0B">
        <w:t xml:space="preserve">In </w:t>
      </w:r>
      <w:r w:rsidR="000C234B" w:rsidRPr="00493B0B">
        <w:t xml:space="preserve">the </w:t>
      </w:r>
      <w:r w:rsidR="004B23F1" w:rsidRPr="00493B0B">
        <w:t xml:space="preserve">univariate analysis, a move from the </w:t>
      </w:r>
      <w:r w:rsidR="000C234B" w:rsidRPr="00493B0B">
        <w:t>low</w:t>
      </w:r>
      <w:r w:rsidR="004A63AD" w:rsidRPr="00493B0B">
        <w:t xml:space="preserve">est </w:t>
      </w:r>
      <w:r w:rsidR="000C234B" w:rsidRPr="00493B0B">
        <w:t xml:space="preserve">visibility </w:t>
      </w:r>
      <w:r w:rsidR="004A63AD" w:rsidRPr="00493B0B">
        <w:t xml:space="preserve">quartile to the </w:t>
      </w:r>
      <w:r w:rsidR="000C234B" w:rsidRPr="00493B0B">
        <w:t>high</w:t>
      </w:r>
      <w:r w:rsidR="004A63AD" w:rsidRPr="00493B0B">
        <w:t xml:space="preserve">est is associated with </w:t>
      </w:r>
      <w:r w:rsidR="000C234B" w:rsidRPr="00493B0B">
        <w:t xml:space="preserve">a </w:t>
      </w:r>
      <w:r w:rsidR="004A63AD" w:rsidRPr="00493B0B">
        <w:t>reduction in</w:t>
      </w:r>
      <w:r w:rsidR="00E65C58" w:rsidRPr="00493B0B">
        <w:t xml:space="preserve"> </w:t>
      </w:r>
      <w:r w:rsidR="004B23F1" w:rsidRPr="00493B0B">
        <w:t xml:space="preserve">percentage of </w:t>
      </w:r>
      <w:r w:rsidR="0061307A" w:rsidRPr="00493B0B">
        <w:t xml:space="preserve">zero </w:t>
      </w:r>
      <w:r w:rsidR="004B23F1" w:rsidRPr="00493B0B">
        <w:t xml:space="preserve">returns </w:t>
      </w:r>
      <w:r w:rsidR="00D7708F" w:rsidRPr="00493B0B">
        <w:t xml:space="preserve">ranging from 23% to 33%, depending on which visibility proxy </w:t>
      </w:r>
      <w:r w:rsidR="00813DFA" w:rsidRPr="00493B0B">
        <w:t xml:space="preserve">is </w:t>
      </w:r>
      <w:r w:rsidR="00D7708F" w:rsidRPr="00493B0B">
        <w:t>in use</w:t>
      </w:r>
      <w:r w:rsidR="004B23F1" w:rsidRPr="00493B0B">
        <w:t xml:space="preserve">. </w:t>
      </w:r>
      <w:r w:rsidR="00E65C58" w:rsidRPr="00493B0B">
        <w:t xml:space="preserve">Similarly, the </w:t>
      </w:r>
      <w:r w:rsidR="00D7708F" w:rsidRPr="00493B0B">
        <w:t xml:space="preserve">number of trades in the highest visibility quartile is three to six times larger than that in the lowest visibility quartile. </w:t>
      </w:r>
      <w:r w:rsidR="00E65C58" w:rsidRPr="00493B0B">
        <w:t>The</w:t>
      </w:r>
      <w:r w:rsidR="009B4AFC" w:rsidRPr="00493B0B">
        <w:t xml:space="preserve"> </w:t>
      </w:r>
      <w:r w:rsidR="00D7708F" w:rsidRPr="00493B0B">
        <w:t>g</w:t>
      </w:r>
      <w:r w:rsidR="009B4AFC" w:rsidRPr="00493B0B">
        <w:t xml:space="preserve">amma </w:t>
      </w:r>
      <w:r w:rsidR="00D7708F" w:rsidRPr="00493B0B">
        <w:t>(γ) of the highest visibility quartile is a</w:t>
      </w:r>
      <w:r w:rsidR="006243DA" w:rsidRPr="00493B0B">
        <w:t>lso substantially lower than</w:t>
      </w:r>
      <w:r w:rsidR="00D7708F" w:rsidRPr="00493B0B">
        <w:t xml:space="preserve"> the lowest visibility quartile. </w:t>
      </w:r>
    </w:p>
    <w:p w:rsidR="009B4AFC" w:rsidRPr="00493B0B" w:rsidRDefault="00DF56A3" w:rsidP="003D1BA0">
      <w:pPr>
        <w:spacing w:line="360" w:lineRule="auto"/>
        <w:ind w:firstLine="720"/>
        <w:jc w:val="both"/>
      </w:pPr>
      <w:r w:rsidRPr="00493B0B">
        <w:t xml:space="preserve">The positive relation between bond liquidity and firm visibility </w:t>
      </w:r>
      <w:r w:rsidR="009B4AFC" w:rsidRPr="00493B0B">
        <w:t>continue</w:t>
      </w:r>
      <w:r w:rsidRPr="00493B0B">
        <w:t>s</w:t>
      </w:r>
      <w:r w:rsidR="009B4AFC" w:rsidRPr="00493B0B">
        <w:t xml:space="preserve"> to hold in </w:t>
      </w:r>
      <w:r w:rsidR="004B23F1" w:rsidRPr="00493B0B">
        <w:t>multivariable analys</w:t>
      </w:r>
      <w:r w:rsidR="006243DA" w:rsidRPr="00493B0B">
        <w:t>e</w:t>
      </w:r>
      <w:r w:rsidR="004B23F1" w:rsidRPr="00493B0B">
        <w:t xml:space="preserve">s </w:t>
      </w:r>
      <w:r w:rsidR="009B4AFC" w:rsidRPr="00493B0B">
        <w:t xml:space="preserve">that control for bond and firm characteristics that </w:t>
      </w:r>
      <w:r w:rsidRPr="00493B0B">
        <w:t>are</w:t>
      </w:r>
      <w:r w:rsidR="009B4AFC" w:rsidRPr="00493B0B">
        <w:t xml:space="preserve"> </w:t>
      </w:r>
      <w:r w:rsidR="006243DA" w:rsidRPr="00493B0B">
        <w:t>kn</w:t>
      </w:r>
      <w:r w:rsidR="009B4AFC" w:rsidRPr="00493B0B">
        <w:t xml:space="preserve">own to impact liquidity. </w:t>
      </w:r>
      <w:r w:rsidR="004A3B63" w:rsidRPr="00493B0B">
        <w:t>The multivariate results are robust across all proxies of visibility and liquidity</w:t>
      </w:r>
      <w:r w:rsidRPr="00493B0B">
        <w:t xml:space="preserve"> and across alternative estimation methods such as Fama-McBeth regressions and pooled regressions</w:t>
      </w:r>
      <w:r w:rsidR="004A3B63" w:rsidRPr="00493B0B">
        <w:t xml:space="preserve">. </w:t>
      </w:r>
      <w:r w:rsidRPr="00493B0B">
        <w:t xml:space="preserve">The impact of visibility on liquidity exists in subsamples of both high-yield bonds and investment grade bonds. Not only significant statistically, the impact of visibility on liquidity is also significant economically. </w:t>
      </w:r>
      <w:r w:rsidR="005D7D5C" w:rsidRPr="00493B0B">
        <w:t xml:space="preserve">For instance, when liquidity is measured by the percentage of zero </w:t>
      </w:r>
      <w:r w:rsidR="005D7D5C" w:rsidRPr="00493B0B">
        <w:lastRenderedPageBreak/>
        <w:t>returns, a</w:t>
      </w:r>
      <w:r w:rsidR="008D79C6" w:rsidRPr="00493B0B">
        <w:t xml:space="preserve"> move from the first to the third quartile of visibility is associated with a 15.6% to 18.4% increase in liquidity from its mean</w:t>
      </w:r>
      <w:r w:rsidR="005D7D5C" w:rsidRPr="00493B0B">
        <w:t>, depending on which visibility proxy we us</w:t>
      </w:r>
      <w:r w:rsidR="00ED5C86">
        <w:t>e</w:t>
      </w:r>
      <w:r w:rsidR="008D79C6" w:rsidRPr="00493B0B">
        <w:t>.</w:t>
      </w:r>
      <w:r w:rsidR="008D79C6" w:rsidRPr="00493B0B">
        <w:rPr>
          <w:rStyle w:val="FootnoteReference"/>
        </w:rPr>
        <w:footnoteReference w:id="4"/>
      </w:r>
      <w:r w:rsidR="004A3B63" w:rsidRPr="00493B0B">
        <w:t xml:space="preserve">  </w:t>
      </w:r>
    </w:p>
    <w:p w:rsidR="00F9043B" w:rsidRPr="00493B0B" w:rsidRDefault="00DB21CF" w:rsidP="003D1BA0">
      <w:pPr>
        <w:spacing w:line="360" w:lineRule="auto"/>
        <w:ind w:firstLine="720"/>
        <w:jc w:val="both"/>
      </w:pPr>
      <w:r w:rsidRPr="00493B0B">
        <w:t xml:space="preserve">As an additional analysis, we also relate liquidity directly to visibility of the bond market. To this end, we use as a proxy </w:t>
      </w:r>
      <w:r w:rsidR="00E63C34" w:rsidRPr="00493B0B">
        <w:t xml:space="preserve">the </w:t>
      </w:r>
      <w:r w:rsidRPr="00493B0B">
        <w:t xml:space="preserve">average </w:t>
      </w:r>
      <w:r w:rsidR="00E63C34" w:rsidRPr="00493B0B">
        <w:t xml:space="preserve">number of institutions </w:t>
      </w:r>
      <w:r w:rsidR="00F01CDE" w:rsidRPr="00493B0B">
        <w:t xml:space="preserve">in the past four quarters that </w:t>
      </w:r>
      <w:r w:rsidR="00E63C34" w:rsidRPr="00493B0B">
        <w:t xml:space="preserve">hold bonds issued by the </w:t>
      </w:r>
      <w:r w:rsidRPr="00493B0B">
        <w:t xml:space="preserve">same </w:t>
      </w:r>
      <w:r w:rsidR="00E63C34" w:rsidRPr="00493B0B">
        <w:t xml:space="preserve">firm. </w:t>
      </w:r>
      <w:r w:rsidR="00F5796B" w:rsidRPr="00493B0B">
        <w:t xml:space="preserve">We find </w:t>
      </w:r>
      <w:r w:rsidR="009237EE" w:rsidRPr="00493B0B">
        <w:t xml:space="preserve">a </w:t>
      </w:r>
      <w:r w:rsidR="00F5796B" w:rsidRPr="00493B0B">
        <w:t>significant positive effect of bond visibility on liquidity</w:t>
      </w:r>
      <w:r w:rsidR="009237EE" w:rsidRPr="00493B0B">
        <w:t xml:space="preserve">, </w:t>
      </w:r>
      <w:r w:rsidR="00F9043B" w:rsidRPr="00493B0B">
        <w:t xml:space="preserve">over and above the </w:t>
      </w:r>
      <w:r w:rsidR="009237EE" w:rsidRPr="00493B0B">
        <w:t>impact</w:t>
      </w:r>
      <w:r w:rsidR="00F9043B" w:rsidRPr="00493B0B">
        <w:t xml:space="preserve"> </w:t>
      </w:r>
      <w:r w:rsidR="009237EE" w:rsidRPr="00493B0B">
        <w:t xml:space="preserve">of </w:t>
      </w:r>
      <w:r w:rsidR="00E031C7" w:rsidRPr="00493B0B">
        <w:t xml:space="preserve">other measures of </w:t>
      </w:r>
      <w:r w:rsidR="00F5796B" w:rsidRPr="00493B0B">
        <w:t xml:space="preserve">firm visibility. </w:t>
      </w:r>
      <w:r w:rsidR="0039181B" w:rsidRPr="00493B0B">
        <w:t>A move from the first to the third quartile of bond visibility is associated with a</w:t>
      </w:r>
      <w:r w:rsidR="00BD6CF4" w:rsidRPr="00493B0B">
        <w:t>n</w:t>
      </w:r>
      <w:r w:rsidR="0039181B" w:rsidRPr="00493B0B">
        <w:t xml:space="preserve"> 11.4% increase in liquidity from its mean. </w:t>
      </w:r>
    </w:p>
    <w:p w:rsidR="00AA48B5" w:rsidRPr="00493B0B" w:rsidRDefault="00944D14" w:rsidP="003D1BA0">
      <w:pPr>
        <w:spacing w:line="360" w:lineRule="auto"/>
        <w:ind w:firstLine="720"/>
        <w:jc w:val="both"/>
      </w:pPr>
      <w:r w:rsidRPr="00493B0B">
        <w:t xml:space="preserve">Notwithstanding controlling for various firm/bond characteristics and the careful design of visibility and liquidity proxies, the observed relationship between liquidity and visibility might </w:t>
      </w:r>
      <w:r w:rsidR="00AF298C" w:rsidRPr="00493B0B">
        <w:t xml:space="preserve">simply be a manifestation of our visibility measures capturing other missing characteristics that influence bond liquidity. To address this concern, we </w:t>
      </w:r>
      <w:r w:rsidR="00617355" w:rsidRPr="00493B0B">
        <w:t xml:space="preserve">examine changes in bond liquidity around an exogenous </w:t>
      </w:r>
      <w:r w:rsidR="00AF298C" w:rsidRPr="00493B0B">
        <w:t xml:space="preserve">event involving an increase in </w:t>
      </w:r>
      <w:r w:rsidR="00617355" w:rsidRPr="00493B0B">
        <w:t>visibility</w:t>
      </w:r>
      <w:r w:rsidR="00AF298C" w:rsidRPr="00493B0B">
        <w:t xml:space="preserve">, viz. the addition of stocks to the S&amp;P 500 index. </w:t>
      </w:r>
      <w:r w:rsidR="00191D78" w:rsidRPr="00493B0B">
        <w:t>Th</w:t>
      </w:r>
      <w:r w:rsidR="00AF298C" w:rsidRPr="00493B0B">
        <w:t>e</w:t>
      </w:r>
      <w:r w:rsidR="00191D78" w:rsidRPr="00493B0B">
        <w:t xml:space="preserve"> addition to the S&amp;P 500 </w:t>
      </w:r>
      <w:r w:rsidR="00AF298C" w:rsidRPr="00493B0B">
        <w:t xml:space="preserve">index increases a firm’s visibility while not altering any other </w:t>
      </w:r>
      <w:r w:rsidR="00191D78" w:rsidRPr="00493B0B">
        <w:t xml:space="preserve">characteristics </w:t>
      </w:r>
      <w:r w:rsidR="00AF298C" w:rsidRPr="00493B0B">
        <w:t xml:space="preserve">of the firm or bond </w:t>
      </w:r>
      <w:r w:rsidR="00191D78" w:rsidRPr="00493B0B">
        <w:t xml:space="preserve">that are likely to </w:t>
      </w:r>
      <w:r w:rsidR="00AF298C" w:rsidRPr="00493B0B">
        <w:t>influence</w:t>
      </w:r>
      <w:r w:rsidR="00191D78" w:rsidRPr="00493B0B">
        <w:t xml:space="preserve"> bond liquidity. We find </w:t>
      </w:r>
      <w:r w:rsidR="00AF298C" w:rsidRPr="00493B0B">
        <w:t xml:space="preserve">a </w:t>
      </w:r>
      <w:r w:rsidR="00191D78" w:rsidRPr="00493B0B">
        <w:t>significant increase in bond liquidity in the quarter following the addition to the S&amp;P</w:t>
      </w:r>
      <w:r w:rsidR="00617355" w:rsidRPr="00493B0B">
        <w:t xml:space="preserve"> </w:t>
      </w:r>
      <w:r w:rsidR="00AF298C" w:rsidRPr="00493B0B">
        <w:t xml:space="preserve">500 index </w:t>
      </w:r>
      <w:r w:rsidR="00617355" w:rsidRPr="00493B0B">
        <w:t xml:space="preserve">relative to the </w:t>
      </w:r>
      <w:r w:rsidR="00AF298C" w:rsidRPr="00493B0B">
        <w:t xml:space="preserve">preceding </w:t>
      </w:r>
      <w:r w:rsidR="00617355" w:rsidRPr="00493B0B">
        <w:t xml:space="preserve">quarter and to a control sample. </w:t>
      </w:r>
    </w:p>
    <w:p w:rsidR="0061307A" w:rsidRPr="00493B0B" w:rsidRDefault="0061307A" w:rsidP="003D1BA0">
      <w:pPr>
        <w:spacing w:line="360" w:lineRule="auto"/>
        <w:jc w:val="both"/>
      </w:pPr>
      <w:r w:rsidRPr="00493B0B">
        <w:tab/>
      </w:r>
      <w:r w:rsidR="005B36CF" w:rsidRPr="00493B0B">
        <w:t>The</w:t>
      </w:r>
      <w:r w:rsidRPr="00493B0B">
        <w:t xml:space="preserve"> paper proceeds as follows.</w:t>
      </w:r>
      <w:r w:rsidR="00617355" w:rsidRPr="00493B0B">
        <w:t xml:space="preserve"> Section </w:t>
      </w:r>
      <w:r w:rsidR="005B36CF" w:rsidRPr="00493B0B">
        <w:t>1</w:t>
      </w:r>
      <w:r w:rsidR="00617355" w:rsidRPr="00493B0B">
        <w:t xml:space="preserve"> discuss</w:t>
      </w:r>
      <w:r w:rsidR="00BE01B3" w:rsidRPr="00493B0B">
        <w:t>es</w:t>
      </w:r>
      <w:r w:rsidR="00617355" w:rsidRPr="00493B0B">
        <w:t xml:space="preserve"> the related lite</w:t>
      </w:r>
      <w:r w:rsidR="00BE01B3" w:rsidRPr="00493B0B">
        <w:t>rature</w:t>
      </w:r>
      <w:r w:rsidR="005B36CF" w:rsidRPr="00493B0B">
        <w:t>.</w:t>
      </w:r>
      <w:r w:rsidR="00BE01B3" w:rsidRPr="00493B0B">
        <w:t xml:space="preserve"> Section </w:t>
      </w:r>
      <w:r w:rsidR="005B36CF" w:rsidRPr="00493B0B">
        <w:t>2</w:t>
      </w:r>
      <w:r w:rsidR="00BE01B3" w:rsidRPr="00493B0B">
        <w:t xml:space="preserve"> describes the data and our measures of visibility and liquidity</w:t>
      </w:r>
      <w:r w:rsidR="005B36CF" w:rsidRPr="00493B0B">
        <w:t>.</w:t>
      </w:r>
      <w:r w:rsidR="00BE01B3" w:rsidRPr="00493B0B">
        <w:t xml:space="preserve"> Section </w:t>
      </w:r>
      <w:r w:rsidR="005B36CF" w:rsidRPr="00493B0B">
        <w:t>3</w:t>
      </w:r>
      <w:r w:rsidR="00BE01B3" w:rsidRPr="00493B0B">
        <w:t xml:space="preserve"> presents our main empirical results</w:t>
      </w:r>
      <w:r w:rsidR="005B36CF" w:rsidRPr="00493B0B">
        <w:t>.</w:t>
      </w:r>
      <w:r w:rsidR="00BE01B3" w:rsidRPr="00493B0B">
        <w:t xml:space="preserve"> Section </w:t>
      </w:r>
      <w:r w:rsidR="005B36CF" w:rsidRPr="00493B0B">
        <w:t>4</w:t>
      </w:r>
      <w:r w:rsidR="00BE01B3" w:rsidRPr="00493B0B">
        <w:t xml:space="preserve"> discusses the impact of S&amp;P 500 </w:t>
      </w:r>
      <w:r w:rsidR="00DB259D">
        <w:t xml:space="preserve">index </w:t>
      </w:r>
      <w:r w:rsidR="00BE01B3" w:rsidRPr="00493B0B">
        <w:t xml:space="preserve">additions and Section </w:t>
      </w:r>
      <w:r w:rsidR="005B36CF" w:rsidRPr="00493B0B">
        <w:t>5</w:t>
      </w:r>
      <w:r w:rsidR="00BE01B3" w:rsidRPr="00493B0B">
        <w:t xml:space="preserve"> concludes.</w:t>
      </w:r>
    </w:p>
    <w:p w:rsidR="00515418" w:rsidRPr="00493B0B" w:rsidRDefault="00515418" w:rsidP="0061307A">
      <w:pPr>
        <w:spacing w:line="360" w:lineRule="auto"/>
      </w:pPr>
    </w:p>
    <w:p w:rsidR="00515418" w:rsidRPr="00493B0B" w:rsidRDefault="00515418" w:rsidP="0061307A">
      <w:pPr>
        <w:spacing w:line="360" w:lineRule="auto"/>
        <w:rPr>
          <w:b/>
        </w:rPr>
      </w:pPr>
      <w:r w:rsidRPr="00493B0B">
        <w:rPr>
          <w:b/>
        </w:rPr>
        <w:t xml:space="preserve">1. Literature </w:t>
      </w:r>
      <w:r w:rsidR="005315DB" w:rsidRPr="00493B0B">
        <w:rPr>
          <w:b/>
        </w:rPr>
        <w:t>r</w:t>
      </w:r>
      <w:r w:rsidRPr="00493B0B">
        <w:rPr>
          <w:b/>
        </w:rPr>
        <w:t>eview</w:t>
      </w:r>
    </w:p>
    <w:p w:rsidR="00515418" w:rsidRPr="00493B0B" w:rsidRDefault="00515418" w:rsidP="00984298">
      <w:pPr>
        <w:autoSpaceDE w:val="0"/>
        <w:autoSpaceDN w:val="0"/>
        <w:adjustRightInd w:val="0"/>
        <w:spacing w:line="360" w:lineRule="auto"/>
        <w:ind w:firstLine="720"/>
        <w:rPr>
          <w:rFonts w:eastAsia="Times New Roman"/>
          <w:lang w:eastAsia="en-US"/>
        </w:rPr>
      </w:pPr>
    </w:p>
    <w:p w:rsidR="00A13006" w:rsidRPr="00493B0B" w:rsidRDefault="00A13006" w:rsidP="003D1BA0">
      <w:pPr>
        <w:autoSpaceDE w:val="0"/>
        <w:autoSpaceDN w:val="0"/>
        <w:adjustRightInd w:val="0"/>
        <w:spacing w:line="360" w:lineRule="auto"/>
        <w:jc w:val="both"/>
        <w:rPr>
          <w:rFonts w:eastAsia="Times New Roman"/>
          <w:lang w:eastAsia="en-US"/>
        </w:rPr>
      </w:pPr>
      <w:r w:rsidRPr="00493B0B">
        <w:rPr>
          <w:rFonts w:eastAsia="Times New Roman"/>
          <w:lang w:eastAsia="en-US"/>
        </w:rPr>
        <w:t>Our paper is related to sever</w:t>
      </w:r>
      <w:r w:rsidR="00F04438" w:rsidRPr="00493B0B">
        <w:rPr>
          <w:rFonts w:eastAsia="Times New Roman"/>
          <w:lang w:eastAsia="en-US"/>
        </w:rPr>
        <w:t xml:space="preserve">al strands of literature. As discussed earlier, the paper is closely tied to the </w:t>
      </w:r>
      <w:r w:rsidRPr="00493B0B">
        <w:rPr>
          <w:rFonts w:eastAsia="Times New Roman"/>
          <w:lang w:eastAsia="en-US"/>
        </w:rPr>
        <w:t>literature document</w:t>
      </w:r>
      <w:r w:rsidR="0006045E" w:rsidRPr="00493B0B">
        <w:rPr>
          <w:rFonts w:eastAsia="Times New Roman"/>
          <w:lang w:eastAsia="en-US"/>
        </w:rPr>
        <w:t>ing</w:t>
      </w:r>
      <w:r w:rsidRPr="00493B0B">
        <w:rPr>
          <w:rFonts w:eastAsia="Times New Roman"/>
          <w:lang w:eastAsia="en-US"/>
        </w:rPr>
        <w:t xml:space="preserve"> the role of visibility and familiarity in stock selection and liquidity. In particular, Huberman </w:t>
      </w:r>
      <w:r w:rsidR="00F04438" w:rsidRPr="00493B0B">
        <w:rPr>
          <w:rFonts w:eastAsia="Times New Roman"/>
          <w:lang w:eastAsia="en-US"/>
        </w:rPr>
        <w:t>(2001)</w:t>
      </w:r>
      <w:r w:rsidR="0006045E" w:rsidRPr="00493B0B">
        <w:rPr>
          <w:rFonts w:eastAsia="Times New Roman"/>
          <w:lang w:eastAsia="en-US"/>
        </w:rPr>
        <w:t>,</w:t>
      </w:r>
      <w:r w:rsidR="00F04438" w:rsidRPr="00493B0B">
        <w:rPr>
          <w:rFonts w:eastAsia="Times New Roman"/>
          <w:lang w:eastAsia="en-US"/>
        </w:rPr>
        <w:t xml:space="preserve"> </w:t>
      </w:r>
      <w:r w:rsidRPr="00493B0B">
        <w:rPr>
          <w:rFonts w:eastAsia="Times New Roman"/>
          <w:lang w:eastAsia="en-US"/>
        </w:rPr>
        <w:t>and Grinblatt and Ke</w:t>
      </w:r>
      <w:r w:rsidR="00F04438" w:rsidRPr="00493B0B">
        <w:rPr>
          <w:rFonts w:eastAsia="Times New Roman"/>
          <w:lang w:eastAsia="en-US"/>
        </w:rPr>
        <w:t>l</w:t>
      </w:r>
      <w:r w:rsidRPr="00493B0B">
        <w:rPr>
          <w:rFonts w:eastAsia="Times New Roman"/>
          <w:lang w:eastAsia="en-US"/>
        </w:rPr>
        <w:t xml:space="preserve">oharju </w:t>
      </w:r>
      <w:r w:rsidR="00F04438" w:rsidRPr="00493B0B">
        <w:rPr>
          <w:rFonts w:eastAsia="Times New Roman"/>
          <w:lang w:eastAsia="en-US"/>
        </w:rPr>
        <w:t xml:space="preserve">(2001) </w:t>
      </w:r>
      <w:r w:rsidRPr="00493B0B">
        <w:rPr>
          <w:rFonts w:eastAsia="Times New Roman"/>
          <w:lang w:eastAsia="en-US"/>
        </w:rPr>
        <w:t xml:space="preserve">show that individual investors are more likely to buy </w:t>
      </w:r>
      <w:r w:rsidR="0006045E" w:rsidRPr="00493B0B">
        <w:rPr>
          <w:rFonts w:eastAsia="Times New Roman"/>
          <w:lang w:eastAsia="en-US"/>
        </w:rPr>
        <w:t xml:space="preserve">familiar </w:t>
      </w:r>
      <w:r w:rsidRPr="00493B0B">
        <w:rPr>
          <w:rFonts w:eastAsia="Times New Roman"/>
          <w:lang w:eastAsia="en-US"/>
        </w:rPr>
        <w:t xml:space="preserve">stocks. </w:t>
      </w:r>
      <w:r w:rsidR="00F04438" w:rsidRPr="00493B0B">
        <w:rPr>
          <w:rFonts w:eastAsia="Times New Roman"/>
          <w:lang w:eastAsia="en-US"/>
        </w:rPr>
        <w:t>Grullon, Kanatas and Weston (2004) document that</w:t>
      </w:r>
      <w:r w:rsidR="0006045E" w:rsidRPr="00493B0B">
        <w:rPr>
          <w:rFonts w:eastAsia="Times New Roman"/>
          <w:lang w:eastAsia="en-US"/>
        </w:rPr>
        <w:t>,</w:t>
      </w:r>
      <w:r w:rsidR="00F04438" w:rsidRPr="00493B0B">
        <w:rPr>
          <w:rFonts w:eastAsia="Times New Roman"/>
          <w:lang w:eastAsia="en-US"/>
        </w:rPr>
        <w:t xml:space="preserve"> </w:t>
      </w:r>
      <w:r w:rsidR="0006045E" w:rsidRPr="00493B0B">
        <w:rPr>
          <w:rFonts w:eastAsia="Times New Roman"/>
          <w:lang w:eastAsia="en-US"/>
        </w:rPr>
        <w:t xml:space="preserve">in addition to stock holdings, </w:t>
      </w:r>
      <w:r w:rsidR="00F04438" w:rsidRPr="00493B0B">
        <w:rPr>
          <w:rFonts w:eastAsia="Times New Roman"/>
          <w:lang w:eastAsia="en-US"/>
        </w:rPr>
        <w:t>vi</w:t>
      </w:r>
      <w:r w:rsidRPr="00493B0B">
        <w:rPr>
          <w:rFonts w:eastAsia="Times New Roman"/>
          <w:lang w:eastAsia="en-US"/>
        </w:rPr>
        <w:t>sibility</w:t>
      </w:r>
      <w:r w:rsidR="008E0199" w:rsidRPr="00493B0B">
        <w:rPr>
          <w:rFonts w:eastAsia="Times New Roman"/>
          <w:lang w:eastAsia="en-US"/>
        </w:rPr>
        <w:t>, as captured by advertising expenses,</w:t>
      </w:r>
      <w:r w:rsidRPr="00493B0B">
        <w:rPr>
          <w:rFonts w:eastAsia="Times New Roman"/>
          <w:lang w:eastAsia="en-US"/>
        </w:rPr>
        <w:t xml:space="preserve"> </w:t>
      </w:r>
      <w:r w:rsidR="0006045E" w:rsidRPr="00493B0B">
        <w:rPr>
          <w:rFonts w:eastAsia="Times New Roman"/>
          <w:lang w:eastAsia="en-US"/>
        </w:rPr>
        <w:t>also</w:t>
      </w:r>
      <w:r w:rsidRPr="00493B0B">
        <w:rPr>
          <w:rFonts w:eastAsia="Times New Roman"/>
          <w:lang w:eastAsia="en-US"/>
        </w:rPr>
        <w:t xml:space="preserve"> impact</w:t>
      </w:r>
      <w:r w:rsidR="0006045E" w:rsidRPr="00493B0B">
        <w:rPr>
          <w:rFonts w:eastAsia="Times New Roman"/>
          <w:lang w:eastAsia="en-US"/>
        </w:rPr>
        <w:t>s</w:t>
      </w:r>
      <w:r w:rsidRPr="00493B0B">
        <w:rPr>
          <w:rFonts w:eastAsia="Times New Roman"/>
          <w:lang w:eastAsia="en-US"/>
        </w:rPr>
        <w:t xml:space="preserve"> </w:t>
      </w:r>
      <w:r w:rsidRPr="00493B0B">
        <w:rPr>
          <w:rFonts w:eastAsia="Times New Roman"/>
          <w:lang w:eastAsia="en-US"/>
        </w:rPr>
        <w:lastRenderedPageBreak/>
        <w:t xml:space="preserve">stock liquidity. </w:t>
      </w:r>
      <w:r w:rsidR="00F04438" w:rsidRPr="00493B0B">
        <w:rPr>
          <w:rFonts w:eastAsia="Times New Roman"/>
          <w:lang w:eastAsia="en-US"/>
        </w:rPr>
        <w:t>Further</w:t>
      </w:r>
      <w:r w:rsidR="008F7FC2" w:rsidRPr="00493B0B">
        <w:rPr>
          <w:rFonts w:eastAsia="Times New Roman"/>
          <w:lang w:eastAsia="en-US"/>
        </w:rPr>
        <w:t>more</w:t>
      </w:r>
      <w:r w:rsidR="00F04438" w:rsidRPr="00493B0B">
        <w:rPr>
          <w:rFonts w:eastAsia="Times New Roman"/>
          <w:lang w:eastAsia="en-US"/>
        </w:rPr>
        <w:t xml:space="preserve">, </w:t>
      </w:r>
      <w:r w:rsidR="008F7FC2" w:rsidRPr="00493B0B">
        <w:rPr>
          <w:rFonts w:eastAsia="Times New Roman"/>
          <w:lang w:eastAsia="en-US"/>
        </w:rPr>
        <w:t xml:space="preserve">as shown by Kadlec and McConnel (1994), and Foester and Karoli (2001), when a </w:t>
      </w:r>
      <w:r w:rsidR="00F04438" w:rsidRPr="00493B0B">
        <w:rPr>
          <w:rFonts w:eastAsia="Times New Roman"/>
          <w:lang w:eastAsia="en-US"/>
        </w:rPr>
        <w:t xml:space="preserve">firm </w:t>
      </w:r>
      <w:r w:rsidR="008F7FC2" w:rsidRPr="00493B0B">
        <w:rPr>
          <w:rFonts w:eastAsia="Times New Roman"/>
          <w:lang w:eastAsia="en-US"/>
        </w:rPr>
        <w:t>is being listed</w:t>
      </w:r>
      <w:r w:rsidR="00463FD5" w:rsidRPr="00493B0B">
        <w:rPr>
          <w:rFonts w:eastAsia="Times New Roman"/>
          <w:lang w:eastAsia="en-US"/>
        </w:rPr>
        <w:t xml:space="preserve"> on the NYSE for the first time</w:t>
      </w:r>
      <w:r w:rsidR="00F04438" w:rsidRPr="00493B0B">
        <w:rPr>
          <w:rFonts w:eastAsia="Times New Roman"/>
          <w:lang w:eastAsia="en-US"/>
        </w:rPr>
        <w:t xml:space="preserve"> </w:t>
      </w:r>
      <w:r w:rsidR="008F7FC2" w:rsidRPr="00493B0B">
        <w:rPr>
          <w:rFonts w:eastAsia="Times New Roman"/>
          <w:lang w:eastAsia="en-US"/>
        </w:rPr>
        <w:t xml:space="preserve">which constitutes </w:t>
      </w:r>
      <w:r w:rsidR="00F04438" w:rsidRPr="00493B0B">
        <w:rPr>
          <w:rFonts w:eastAsia="Times New Roman"/>
          <w:lang w:eastAsia="en-US"/>
        </w:rPr>
        <w:t xml:space="preserve">a visibility increasing event, </w:t>
      </w:r>
      <w:r w:rsidR="008F7FC2" w:rsidRPr="00493B0B">
        <w:rPr>
          <w:rFonts w:eastAsia="Times New Roman"/>
          <w:lang w:eastAsia="en-US"/>
        </w:rPr>
        <w:t>the liquidity of its stock (measured by bid-ask spreads) improves significantly</w:t>
      </w:r>
      <w:r w:rsidR="00F04438" w:rsidRPr="00493B0B">
        <w:rPr>
          <w:rFonts w:eastAsia="Times New Roman"/>
          <w:lang w:eastAsia="en-US"/>
        </w:rPr>
        <w:t>.</w:t>
      </w:r>
      <w:r w:rsidR="00D45FB3" w:rsidRPr="00493B0B">
        <w:rPr>
          <w:rStyle w:val="FootnoteReference"/>
          <w:rFonts w:eastAsia="Times New Roman"/>
          <w:lang w:eastAsia="en-US"/>
        </w:rPr>
        <w:footnoteReference w:id="5"/>
      </w:r>
      <w:r w:rsidR="00F04438" w:rsidRPr="00493B0B">
        <w:rPr>
          <w:rFonts w:eastAsia="Times New Roman"/>
          <w:lang w:eastAsia="en-US"/>
        </w:rPr>
        <w:t xml:space="preserve"> </w:t>
      </w:r>
      <w:r w:rsidR="00056E57" w:rsidRPr="00493B0B">
        <w:rPr>
          <w:rFonts w:eastAsia="Times New Roman"/>
          <w:lang w:eastAsia="en-US"/>
        </w:rPr>
        <w:t xml:space="preserve">Despite numerous studies examining </w:t>
      </w:r>
      <w:r w:rsidRPr="00493B0B">
        <w:rPr>
          <w:rFonts w:eastAsia="Times New Roman"/>
          <w:lang w:eastAsia="en-US"/>
        </w:rPr>
        <w:t>the impact of visibility on stock selection, liquidity and returns</w:t>
      </w:r>
      <w:r w:rsidR="00056E57" w:rsidRPr="00493B0B">
        <w:rPr>
          <w:rFonts w:eastAsia="Times New Roman"/>
          <w:lang w:eastAsia="en-US"/>
        </w:rPr>
        <w:t xml:space="preserve">, the literature has been silent on </w:t>
      </w:r>
      <w:r w:rsidR="003B7921" w:rsidRPr="00493B0B">
        <w:rPr>
          <w:rFonts w:eastAsia="Times New Roman"/>
          <w:lang w:eastAsia="en-US"/>
        </w:rPr>
        <w:t>the potential role of visibility in the liquidity of corporate bonds.</w:t>
      </w:r>
      <w:r w:rsidR="00056E57" w:rsidRPr="00493B0B">
        <w:rPr>
          <w:rFonts w:eastAsia="Times New Roman"/>
          <w:lang w:eastAsia="en-US"/>
        </w:rPr>
        <w:t xml:space="preserve"> </w:t>
      </w:r>
      <w:r w:rsidR="00C043B7" w:rsidRPr="00493B0B">
        <w:rPr>
          <w:rFonts w:eastAsia="Times New Roman"/>
          <w:lang w:eastAsia="en-US"/>
        </w:rPr>
        <w:t>Our paper fills this gap.</w:t>
      </w:r>
      <w:r w:rsidRPr="00493B0B">
        <w:rPr>
          <w:rFonts w:eastAsia="Times New Roman"/>
          <w:lang w:eastAsia="en-US"/>
        </w:rPr>
        <w:t xml:space="preserve"> </w:t>
      </w:r>
    </w:p>
    <w:p w:rsidR="006D25F5" w:rsidRPr="00493B0B" w:rsidRDefault="003B7921" w:rsidP="003D1BA0">
      <w:pPr>
        <w:autoSpaceDE w:val="0"/>
        <w:autoSpaceDN w:val="0"/>
        <w:adjustRightInd w:val="0"/>
        <w:spacing w:line="360" w:lineRule="auto"/>
        <w:ind w:firstLine="720"/>
        <w:jc w:val="both"/>
      </w:pPr>
      <w:r w:rsidRPr="00493B0B">
        <w:rPr>
          <w:rFonts w:eastAsia="Times New Roman"/>
          <w:lang w:eastAsia="en-US"/>
        </w:rPr>
        <w:t xml:space="preserve">Our work </w:t>
      </w:r>
      <w:r w:rsidR="00A13006" w:rsidRPr="00493B0B">
        <w:rPr>
          <w:rFonts w:eastAsia="Times New Roman"/>
          <w:lang w:eastAsia="en-US"/>
        </w:rPr>
        <w:t>is also related to the recent and emerging lit</w:t>
      </w:r>
      <w:r w:rsidR="00781540" w:rsidRPr="00493B0B">
        <w:rPr>
          <w:rFonts w:eastAsia="Times New Roman"/>
          <w:lang w:eastAsia="en-US"/>
        </w:rPr>
        <w:t>er</w:t>
      </w:r>
      <w:r w:rsidR="00A13006" w:rsidRPr="00493B0B">
        <w:rPr>
          <w:rFonts w:eastAsia="Times New Roman"/>
          <w:lang w:eastAsia="en-US"/>
        </w:rPr>
        <w:t>ature that examines the determinants of bond liquid</w:t>
      </w:r>
      <w:r w:rsidR="00781540" w:rsidRPr="00493B0B">
        <w:rPr>
          <w:rFonts w:eastAsia="Times New Roman"/>
          <w:lang w:eastAsia="en-US"/>
        </w:rPr>
        <w:t>i</w:t>
      </w:r>
      <w:r w:rsidR="00A13006" w:rsidRPr="00493B0B">
        <w:rPr>
          <w:rFonts w:eastAsia="Times New Roman"/>
          <w:lang w:eastAsia="en-US"/>
        </w:rPr>
        <w:t>ty</w:t>
      </w:r>
      <w:r w:rsidR="003644EE" w:rsidRPr="00493B0B">
        <w:rPr>
          <w:rFonts w:eastAsia="Times New Roman"/>
          <w:lang w:eastAsia="en-US"/>
        </w:rPr>
        <w:t xml:space="preserve">. </w:t>
      </w:r>
      <w:r w:rsidR="00C043B7" w:rsidRPr="00493B0B">
        <w:rPr>
          <w:rFonts w:eastAsia="Times New Roman"/>
          <w:lang w:eastAsia="en-US"/>
        </w:rPr>
        <w:t xml:space="preserve">For instance, </w:t>
      </w:r>
      <w:r w:rsidR="002E54A0" w:rsidRPr="00493B0B">
        <w:t>Hotchkiss and Jostova (2007)</w:t>
      </w:r>
      <w:r w:rsidR="00795D12" w:rsidRPr="00493B0B">
        <w:t xml:space="preserve"> </w:t>
      </w:r>
      <w:r w:rsidR="003644EE" w:rsidRPr="00493B0B">
        <w:t xml:space="preserve">examine </w:t>
      </w:r>
      <w:r w:rsidR="00535CD7" w:rsidRPr="00493B0B">
        <w:t xml:space="preserve">bonds in </w:t>
      </w:r>
      <w:r w:rsidR="003644EE" w:rsidRPr="00493B0B">
        <w:t>the</w:t>
      </w:r>
      <w:r w:rsidR="00535CD7" w:rsidRPr="00493B0B">
        <w:t xml:space="preserve"> dataset of National Association of Insurance Commissioners (</w:t>
      </w:r>
      <w:r w:rsidR="003644EE" w:rsidRPr="00493B0B">
        <w:t>NAIC</w:t>
      </w:r>
      <w:r w:rsidR="00535CD7" w:rsidRPr="00493B0B">
        <w:t>)</w:t>
      </w:r>
      <w:r w:rsidR="003644EE" w:rsidRPr="00493B0B">
        <w:t xml:space="preserve"> over the period </w:t>
      </w:r>
      <w:r w:rsidR="00535CD7" w:rsidRPr="00493B0B">
        <w:t xml:space="preserve">of </w:t>
      </w:r>
      <w:r w:rsidR="003644EE" w:rsidRPr="00493B0B">
        <w:t xml:space="preserve">1995 to 1999 and document the role of </w:t>
      </w:r>
      <w:r w:rsidR="00535CD7" w:rsidRPr="00493B0B">
        <w:t xml:space="preserve">firm and bond </w:t>
      </w:r>
      <w:r w:rsidR="001D45D1" w:rsidRPr="00493B0B">
        <w:t xml:space="preserve">characteristics </w:t>
      </w:r>
      <w:r w:rsidR="00535CD7" w:rsidRPr="00493B0B">
        <w:t>in</w:t>
      </w:r>
      <w:r w:rsidR="001D45D1" w:rsidRPr="00493B0B">
        <w:t xml:space="preserve"> </w:t>
      </w:r>
      <w:r w:rsidR="00535CD7" w:rsidRPr="00493B0B">
        <w:t xml:space="preserve">shaping up </w:t>
      </w:r>
      <w:r w:rsidR="001D45D1" w:rsidRPr="00493B0B">
        <w:t xml:space="preserve">bond liquidity. </w:t>
      </w:r>
      <w:r w:rsidR="00535CD7" w:rsidRPr="00493B0B">
        <w:t>They</w:t>
      </w:r>
      <w:r w:rsidR="001D45D1" w:rsidRPr="00493B0B">
        <w:t xml:space="preserve"> find that trading volume increas</w:t>
      </w:r>
      <w:r w:rsidR="00C043B7" w:rsidRPr="00493B0B">
        <w:t>es</w:t>
      </w:r>
      <w:r w:rsidR="001D45D1" w:rsidRPr="00493B0B">
        <w:t xml:space="preserve"> in issue size </w:t>
      </w:r>
      <w:r w:rsidR="00C043B7" w:rsidRPr="00493B0B">
        <w:t>but</w:t>
      </w:r>
      <w:r w:rsidR="001D45D1" w:rsidRPr="00493B0B">
        <w:t xml:space="preserve"> decreas</w:t>
      </w:r>
      <w:r w:rsidR="00C043B7" w:rsidRPr="00493B0B">
        <w:t>es</w:t>
      </w:r>
      <w:r w:rsidR="001D45D1" w:rsidRPr="00493B0B">
        <w:t xml:space="preserve"> in </w:t>
      </w:r>
      <w:r w:rsidR="00C043B7" w:rsidRPr="00493B0B">
        <w:t xml:space="preserve">bond </w:t>
      </w:r>
      <w:r w:rsidR="001D45D1" w:rsidRPr="00493B0B">
        <w:t xml:space="preserve">age. </w:t>
      </w:r>
      <w:r w:rsidR="00C043B7" w:rsidRPr="00493B0B">
        <w:t>They</w:t>
      </w:r>
      <w:r w:rsidR="001D45D1" w:rsidRPr="00493B0B">
        <w:t xml:space="preserve"> also report that</w:t>
      </w:r>
      <w:r w:rsidR="00C043B7" w:rsidRPr="00493B0B">
        <w:t>, as far as their impact on liquidity is concerned, credit risk plays a bigger role in</w:t>
      </w:r>
      <w:r w:rsidR="001D45D1" w:rsidRPr="00493B0B">
        <w:t xml:space="preserve"> </w:t>
      </w:r>
      <w:r w:rsidR="003644EE" w:rsidRPr="00493B0B">
        <w:rPr>
          <w:lang w:eastAsia="en-US"/>
        </w:rPr>
        <w:t xml:space="preserve">high-yield bonds </w:t>
      </w:r>
      <w:r w:rsidR="00C043B7" w:rsidRPr="00493B0B">
        <w:rPr>
          <w:lang w:eastAsia="en-US"/>
        </w:rPr>
        <w:t xml:space="preserve">while interest-rate risk exerts a bigger influence in </w:t>
      </w:r>
      <w:r w:rsidR="001D45D1" w:rsidRPr="00493B0B">
        <w:rPr>
          <w:lang w:eastAsia="en-US"/>
        </w:rPr>
        <w:t>investment</w:t>
      </w:r>
      <w:r w:rsidR="008C45A0" w:rsidRPr="00493B0B">
        <w:rPr>
          <w:lang w:eastAsia="en-US"/>
        </w:rPr>
        <w:t>-</w:t>
      </w:r>
      <w:r w:rsidR="001D45D1" w:rsidRPr="00493B0B">
        <w:rPr>
          <w:lang w:eastAsia="en-US"/>
        </w:rPr>
        <w:t>grade bonds.</w:t>
      </w:r>
      <w:r w:rsidR="00C043B7" w:rsidRPr="00493B0B">
        <w:rPr>
          <w:lang w:eastAsia="en-US"/>
        </w:rPr>
        <w:t xml:space="preserve"> When examining the impact of visibility on bond liquidity, we control for a battery of firm/bond characteristics known to affect liquidity</w:t>
      </w:r>
      <w:r w:rsidR="008C45A0" w:rsidRPr="00493B0B">
        <w:rPr>
          <w:lang w:eastAsia="en-US"/>
        </w:rPr>
        <w:t>. We also examine</w:t>
      </w:r>
      <w:r w:rsidR="00C043B7" w:rsidRPr="00493B0B">
        <w:rPr>
          <w:lang w:eastAsia="en-US"/>
        </w:rPr>
        <w:t xml:space="preserve"> </w:t>
      </w:r>
      <w:r w:rsidR="001D45D1" w:rsidRPr="00493B0B">
        <w:rPr>
          <w:lang w:eastAsia="en-US"/>
        </w:rPr>
        <w:t>investment</w:t>
      </w:r>
      <w:r w:rsidR="008C45A0" w:rsidRPr="00493B0B">
        <w:rPr>
          <w:lang w:eastAsia="en-US"/>
        </w:rPr>
        <w:t>-</w:t>
      </w:r>
      <w:r w:rsidR="001D45D1" w:rsidRPr="00493B0B">
        <w:rPr>
          <w:lang w:eastAsia="en-US"/>
        </w:rPr>
        <w:t xml:space="preserve">grade and high-yield bonds separately </w:t>
      </w:r>
      <w:r w:rsidR="008C45A0" w:rsidRPr="00493B0B">
        <w:rPr>
          <w:lang w:eastAsia="en-US"/>
        </w:rPr>
        <w:t>for robustness</w:t>
      </w:r>
      <w:r w:rsidR="001D45D1" w:rsidRPr="00493B0B">
        <w:rPr>
          <w:lang w:eastAsia="en-US"/>
        </w:rPr>
        <w:t xml:space="preserve">. </w:t>
      </w:r>
    </w:p>
    <w:p w:rsidR="008C45A0" w:rsidRPr="00493B0B" w:rsidRDefault="008C45A0" w:rsidP="003D1BA0">
      <w:pPr>
        <w:autoSpaceDE w:val="0"/>
        <w:autoSpaceDN w:val="0"/>
        <w:adjustRightInd w:val="0"/>
        <w:spacing w:line="360" w:lineRule="auto"/>
        <w:ind w:firstLine="720"/>
        <w:jc w:val="both"/>
      </w:pPr>
      <w:r w:rsidRPr="00493B0B">
        <w:t>Ultimately, our study is related to the literature documenting that liquidity is an important factor affecting bond yields and returns. Motivated by the finding that credit risk determinants cannot fully explain yield spreads of corporate bonds (Collin-Dufresne, Goldstein and Martin</w:t>
      </w:r>
      <w:r w:rsidR="006D0B36" w:rsidRPr="00493B0B">
        <w:t xml:space="preserve"> (</w:t>
      </w:r>
      <w:r w:rsidRPr="00493B0B">
        <w:t>2001</w:t>
      </w:r>
      <w:r w:rsidR="006D0B36" w:rsidRPr="00493B0B">
        <w:t xml:space="preserve">), </w:t>
      </w:r>
      <w:r w:rsidRPr="00493B0B">
        <w:t>and Huang and Huang</w:t>
      </w:r>
      <w:r w:rsidR="006D0B36" w:rsidRPr="00493B0B">
        <w:t xml:space="preserve"> (</w:t>
      </w:r>
      <w:r w:rsidRPr="00493B0B">
        <w:t>2003</w:t>
      </w:r>
      <w:r w:rsidR="006D0B36" w:rsidRPr="00493B0B">
        <w:t>)</w:t>
      </w:r>
      <w:r w:rsidRPr="00493B0B">
        <w:t>)</w:t>
      </w:r>
      <w:r w:rsidR="006D0B36" w:rsidRPr="00493B0B">
        <w:t>,</w:t>
      </w:r>
      <w:r w:rsidRPr="00493B0B">
        <w:t xml:space="preserve"> and that liquidity might be a potential determinant (Longstaff, Mithal and Neis</w:t>
      </w:r>
      <w:r w:rsidR="006D0B36" w:rsidRPr="00493B0B">
        <w:t xml:space="preserve"> (</w:t>
      </w:r>
      <w:r w:rsidRPr="00493B0B">
        <w:t>2005</w:t>
      </w:r>
      <w:r w:rsidR="006D0B36" w:rsidRPr="00493B0B">
        <w:t>)</w:t>
      </w:r>
      <w:r w:rsidRPr="00493B0B">
        <w:t>), Chen, Lesmond and Wei (2007) undergo thorough empirical investigations and show that liquidity is priced in both the level and changes in yield spreads. Their finding is subsequently confirmed by many other studies (</w:t>
      </w:r>
      <w:r w:rsidR="00ED5C86">
        <w:t xml:space="preserve">e.g., </w:t>
      </w:r>
      <w:r w:rsidRPr="00493B0B">
        <w:t>Bao, Pan and Wang</w:t>
      </w:r>
      <w:r w:rsidR="006D0B36" w:rsidRPr="00493B0B">
        <w:t xml:space="preserve"> (</w:t>
      </w:r>
      <w:r w:rsidRPr="00493B0B">
        <w:t>2011</w:t>
      </w:r>
      <w:r w:rsidR="006D0B36" w:rsidRPr="00493B0B">
        <w:t>), Friewald, Jankowitsch, and Subrahmanyam (2010))</w:t>
      </w:r>
      <w:r w:rsidR="00ED5C86">
        <w:t>.</w:t>
      </w:r>
      <w:r w:rsidRPr="00493B0B">
        <w:t xml:space="preserve"> Meanwhile, Lin, Wang and Wu (2011) and Acharya, Amihud and Bharath (2012) demonstrate that liquidity risk is also priced in corporate bond returns. All these studies underscore the importance of understanding the determinants of bond liquidity, an issue the current paper attempts to shed light on.   </w:t>
      </w:r>
    </w:p>
    <w:p w:rsidR="007C6E6B" w:rsidRPr="00493B0B" w:rsidRDefault="007C6E6B" w:rsidP="003D1BA0">
      <w:pPr>
        <w:spacing w:line="360" w:lineRule="auto"/>
        <w:jc w:val="both"/>
      </w:pPr>
    </w:p>
    <w:p w:rsidR="003D5ED0" w:rsidRPr="00493B0B" w:rsidRDefault="00516A79" w:rsidP="00672263">
      <w:pPr>
        <w:spacing w:line="360" w:lineRule="auto"/>
        <w:rPr>
          <w:b/>
        </w:rPr>
      </w:pPr>
      <w:r w:rsidRPr="00493B0B">
        <w:rPr>
          <w:b/>
        </w:rPr>
        <w:lastRenderedPageBreak/>
        <w:t xml:space="preserve">2. </w:t>
      </w:r>
      <w:r w:rsidR="003D5ED0" w:rsidRPr="00493B0B">
        <w:rPr>
          <w:b/>
        </w:rPr>
        <w:t xml:space="preserve">Data </w:t>
      </w:r>
      <w:r w:rsidR="005315DB" w:rsidRPr="00493B0B">
        <w:rPr>
          <w:b/>
        </w:rPr>
        <w:t>d</w:t>
      </w:r>
      <w:r w:rsidR="003D5ED0" w:rsidRPr="00493B0B">
        <w:rPr>
          <w:b/>
        </w:rPr>
        <w:t>escription</w:t>
      </w:r>
    </w:p>
    <w:p w:rsidR="00356518" w:rsidRPr="00493B0B" w:rsidRDefault="00356518" w:rsidP="003D1BA0">
      <w:pPr>
        <w:spacing w:line="360" w:lineRule="auto"/>
        <w:ind w:firstLine="720"/>
        <w:jc w:val="both"/>
      </w:pPr>
    </w:p>
    <w:p w:rsidR="007D460C" w:rsidRDefault="007D460C" w:rsidP="003D1BA0">
      <w:pPr>
        <w:spacing w:line="360" w:lineRule="auto"/>
        <w:jc w:val="both"/>
      </w:pPr>
      <w:r w:rsidRPr="00493B0B">
        <w:t xml:space="preserve">We start with a sample of corporate bonds whose transaction information was disseminated through FINRA’s TRACE system during the period 2003-2010. Upon its initiation on July 1, 2002, TRACE only disseminated transaction information on large investment-grade and 50 high-yield issues. Subsequently, TRACE experienced three stages of implementation when the dissemination was expanded to include smaller and less liquidity issues. On February 7, 2005, TRACE began to cover almost all over-the-counter bond transactions but Rule 144A corporate bonds. Several filters </w:t>
      </w:r>
      <w:r>
        <w:t>are</w:t>
      </w:r>
      <w:r w:rsidRPr="00493B0B">
        <w:t xml:space="preserve"> applied to the bond transaction data from TRACE before we estimate liquidity measures. We </w:t>
      </w:r>
      <w:r>
        <w:t>e</w:t>
      </w:r>
      <w:r w:rsidRPr="00493B0B">
        <w:t>liminate the following bonds/transactions: when-issued, cancelled, subsequently corrected, reversed trades, and commission trades. In addition, trades with special prices, special sales conditions, and longer than 2-day settlements are also removed. We also delete potentially erroneous records such as transactions with missing price or quantity values, par-value not a multiple of $1,000, price outside the range of 10 and 200, yield is either zero, negative or above 100%, and price reversals over 20 percent in adjacent trades</w:t>
      </w:r>
      <w:r>
        <w:t>.</w:t>
      </w:r>
      <w:r w:rsidRPr="00493B0B">
        <w:t xml:space="preserve"> </w:t>
      </w:r>
      <w:r>
        <w:t>After we retrieve bond characteristic information, including credit rating histories from Mergent’s FISD database, and merge it with TRACE data, w</w:t>
      </w:r>
      <w:r w:rsidRPr="00493B0B">
        <w:t xml:space="preserve">e end up with a sample of </w:t>
      </w:r>
      <w:r>
        <w:t xml:space="preserve">30,718 bonds </w:t>
      </w:r>
      <w:r w:rsidR="00ED5C86">
        <w:t xml:space="preserve">issued </w:t>
      </w:r>
      <w:r>
        <w:t>by 4,080 firms.</w:t>
      </w:r>
    </w:p>
    <w:p w:rsidR="007D460C" w:rsidRPr="00493B0B" w:rsidRDefault="007D460C" w:rsidP="003D1BA0">
      <w:pPr>
        <w:spacing w:line="360" w:lineRule="auto"/>
        <w:jc w:val="both"/>
      </w:pPr>
      <w:r>
        <w:tab/>
        <w:t>For 6,613 bonds by 1,636 issuers, we are able to obtain stock trading data from CRSP and firm accounting information from COMPUSTAT. Further, a</w:t>
      </w:r>
      <w:r w:rsidRPr="00493B0B">
        <w:t xml:space="preserve">s two of our visibility measures are based on mutual fund holding and analyst coverage, we require the </w:t>
      </w:r>
      <w:r>
        <w:t>issuer</w:t>
      </w:r>
      <w:r w:rsidRPr="00493B0B">
        <w:t xml:space="preserve"> to have available data on Thomson 13f Filings and I/B/E/S. This gives us a sample of 5,635 bonds by 1,360 firms. It should be noted that, requiring the presence in the Thomson 13f Filings and I/B/E/S datasets entails a sample of large firms which already enjoy high visibility and better liquidity for their bonds. As such, the documented importance of firm visibility in this sample will likely underestimate the true impact of firm visibility on bond liquidity.  </w:t>
      </w:r>
    </w:p>
    <w:p w:rsidR="002973D3" w:rsidRPr="00493B0B" w:rsidRDefault="00050F94" w:rsidP="003D1BA0">
      <w:pPr>
        <w:spacing w:line="360" w:lineRule="auto"/>
        <w:ind w:firstLine="720"/>
        <w:jc w:val="both"/>
      </w:pPr>
      <w:r w:rsidRPr="00493B0B">
        <w:t>As shown in Panel A of Table 1,</w:t>
      </w:r>
      <w:r w:rsidR="002973D3" w:rsidRPr="00493B0B">
        <w:t xml:space="preserve"> </w:t>
      </w:r>
      <w:r w:rsidR="00352639" w:rsidRPr="00493B0B">
        <w:t xml:space="preserve">the bonds in </w:t>
      </w:r>
      <w:r w:rsidRPr="00493B0B">
        <w:t>o</w:t>
      </w:r>
      <w:r w:rsidR="002973D3" w:rsidRPr="00493B0B">
        <w:t xml:space="preserve">ur sample are </w:t>
      </w:r>
      <w:r w:rsidR="00352639" w:rsidRPr="00493B0B">
        <w:t xml:space="preserve">generally </w:t>
      </w:r>
      <w:r w:rsidR="002973D3" w:rsidRPr="00493B0B">
        <w:t xml:space="preserve">large issues with a mean issue size of $480.95 million. </w:t>
      </w:r>
      <w:r w:rsidR="00CF29DE" w:rsidRPr="00493B0B">
        <w:t>B</w:t>
      </w:r>
      <w:r w:rsidR="002973D3" w:rsidRPr="00493B0B">
        <w:t>onds with trading information are relatively young</w:t>
      </w:r>
      <w:r w:rsidR="005315DB" w:rsidRPr="00493B0B">
        <w:t>,</w:t>
      </w:r>
      <w:r w:rsidR="002973D3" w:rsidRPr="00493B0B">
        <w:t xml:space="preserve"> with an average age of </w:t>
      </w:r>
      <w:r w:rsidR="005315DB" w:rsidRPr="00493B0B">
        <w:t>slightly</w:t>
      </w:r>
      <w:r w:rsidR="002973D3" w:rsidRPr="00493B0B">
        <w:t xml:space="preserve"> over two years, and tend to be long term bonds</w:t>
      </w:r>
      <w:r w:rsidR="005315DB" w:rsidRPr="00493B0B">
        <w:t>,</w:t>
      </w:r>
      <w:r w:rsidR="002973D3" w:rsidRPr="00493B0B">
        <w:t xml:space="preserve"> with an average time to maturity of over 10 years. About 63% of </w:t>
      </w:r>
      <w:r w:rsidR="005315DB" w:rsidRPr="00493B0B">
        <w:t xml:space="preserve">the </w:t>
      </w:r>
      <w:r w:rsidR="002973D3" w:rsidRPr="00493B0B">
        <w:t>bonds are investment</w:t>
      </w:r>
      <w:r w:rsidR="005315DB" w:rsidRPr="00493B0B">
        <w:t xml:space="preserve"> </w:t>
      </w:r>
      <w:r w:rsidR="002973D3" w:rsidRPr="00493B0B">
        <w:t>grade, and over 22% are from the finance industry</w:t>
      </w:r>
      <w:r w:rsidRPr="00493B0B">
        <w:t xml:space="preserve"> (see Panel B)</w:t>
      </w:r>
      <w:r w:rsidR="002973D3" w:rsidRPr="00493B0B">
        <w:t xml:space="preserve">. Most of the bonds analyzed in this paper carry some embedded options: </w:t>
      </w:r>
      <w:r w:rsidR="005315DB" w:rsidRPr="00493B0B">
        <w:t>A</w:t>
      </w:r>
      <w:r w:rsidR="002973D3" w:rsidRPr="00493B0B">
        <w:t>bout 68% (10%) are callable (put</w:t>
      </w:r>
      <w:r w:rsidR="005315DB" w:rsidRPr="00493B0B">
        <w:t>t</w:t>
      </w:r>
      <w:r w:rsidR="002973D3" w:rsidRPr="00493B0B">
        <w:t>able)</w:t>
      </w:r>
      <w:r w:rsidR="005315DB" w:rsidRPr="00493B0B">
        <w:t xml:space="preserve"> </w:t>
      </w:r>
      <w:r w:rsidR="002973D3" w:rsidRPr="00493B0B">
        <w:t xml:space="preserve">and over 15% are convertible. </w:t>
      </w:r>
      <w:r w:rsidR="002973D3" w:rsidRPr="00493B0B">
        <w:lastRenderedPageBreak/>
        <w:t>Finally, very few bonds have sinking fund provisions (0.64%) and variable coupon rates (1.4%)</w:t>
      </w:r>
      <w:r w:rsidR="005315DB" w:rsidRPr="00493B0B">
        <w:t>,</w:t>
      </w:r>
      <w:r w:rsidR="002973D3" w:rsidRPr="00493B0B">
        <w:t xml:space="preserve"> </w:t>
      </w:r>
      <w:r w:rsidR="005315DB" w:rsidRPr="00493B0B">
        <w:t>b</w:t>
      </w:r>
      <w:r w:rsidR="002973D3" w:rsidRPr="00493B0B">
        <w:t>ut most of them carry some covenants (over 91%).</w:t>
      </w:r>
    </w:p>
    <w:p w:rsidR="00FE214D" w:rsidRPr="00493B0B" w:rsidRDefault="00FE214D" w:rsidP="003D1BA0">
      <w:pPr>
        <w:spacing w:line="360" w:lineRule="auto"/>
        <w:jc w:val="both"/>
      </w:pPr>
    </w:p>
    <w:p w:rsidR="007C6E6B" w:rsidRPr="00493B0B" w:rsidRDefault="004E0639" w:rsidP="003D1BA0">
      <w:pPr>
        <w:spacing w:line="360" w:lineRule="auto"/>
        <w:jc w:val="both"/>
        <w:rPr>
          <w:i/>
        </w:rPr>
      </w:pPr>
      <w:r w:rsidRPr="00493B0B">
        <w:rPr>
          <w:i/>
        </w:rPr>
        <w:t xml:space="preserve">2.1 </w:t>
      </w:r>
      <w:r w:rsidR="007C6E6B" w:rsidRPr="00493B0B">
        <w:rPr>
          <w:i/>
        </w:rPr>
        <w:t xml:space="preserve">Measures of </w:t>
      </w:r>
      <w:r w:rsidR="005315DB" w:rsidRPr="00493B0B">
        <w:rPr>
          <w:i/>
        </w:rPr>
        <w:t>v</w:t>
      </w:r>
      <w:r w:rsidR="007C6E6B" w:rsidRPr="00493B0B">
        <w:rPr>
          <w:i/>
        </w:rPr>
        <w:t xml:space="preserve">isibility </w:t>
      </w:r>
    </w:p>
    <w:p w:rsidR="00984298" w:rsidRPr="00493B0B" w:rsidRDefault="00984298" w:rsidP="003D1BA0">
      <w:pPr>
        <w:spacing w:line="360" w:lineRule="auto"/>
        <w:jc w:val="both"/>
        <w:rPr>
          <w:u w:val="single"/>
        </w:rPr>
      </w:pPr>
    </w:p>
    <w:p w:rsidR="00EB2B2A" w:rsidRPr="00493B0B" w:rsidRDefault="00EB2B2A" w:rsidP="003D1BA0">
      <w:pPr>
        <w:spacing w:line="360" w:lineRule="auto"/>
        <w:jc w:val="both"/>
      </w:pPr>
      <w:r w:rsidRPr="00493B0B">
        <w:t xml:space="preserve">We use several measures of firm visibility. </w:t>
      </w:r>
      <w:r w:rsidR="005315DB" w:rsidRPr="00493B0B">
        <w:t>The first measure or proxy is</w:t>
      </w:r>
      <w:r w:rsidRPr="00493B0B">
        <w:t xml:space="preserve"> firm size</w:t>
      </w:r>
      <w:r w:rsidR="005315DB" w:rsidRPr="00493B0B">
        <w:t xml:space="preserve"> (SIZE)</w:t>
      </w:r>
      <w:r w:rsidRPr="00493B0B">
        <w:t xml:space="preserve"> </w:t>
      </w:r>
      <w:r w:rsidR="005315DB" w:rsidRPr="00493B0B">
        <w:t>since l</w:t>
      </w:r>
      <w:r w:rsidR="004E0639" w:rsidRPr="00493B0B">
        <w:t>arger firms are more likely to be visible</w:t>
      </w:r>
      <w:r w:rsidRPr="00493B0B">
        <w:t xml:space="preserve">. </w:t>
      </w:r>
      <w:r w:rsidR="004E0639" w:rsidRPr="00493B0B">
        <w:t xml:space="preserve">We measure firm size in the prior fiscal year </w:t>
      </w:r>
      <w:r w:rsidR="005315DB" w:rsidRPr="00493B0B">
        <w:t>as</w:t>
      </w:r>
      <w:r w:rsidR="004E0639" w:rsidRPr="00493B0B">
        <w:t xml:space="preserve"> the market </w:t>
      </w:r>
      <w:r w:rsidRPr="00493B0B">
        <w:t xml:space="preserve">value of equity plus the book value of debt. </w:t>
      </w:r>
      <w:r w:rsidR="004E0639" w:rsidRPr="00493B0B">
        <w:t>T</w:t>
      </w:r>
      <w:r w:rsidRPr="00493B0B">
        <w:t>he average firm size is about $14 billion</w:t>
      </w:r>
      <w:r w:rsidR="004E0639" w:rsidRPr="00493B0B">
        <w:t xml:space="preserve"> (</w:t>
      </w:r>
      <w:r w:rsidR="005315DB" w:rsidRPr="00493B0B">
        <w:t>s</w:t>
      </w:r>
      <w:r w:rsidR="004E0639" w:rsidRPr="00493B0B">
        <w:t xml:space="preserve">ee </w:t>
      </w:r>
      <w:r w:rsidR="005315DB" w:rsidRPr="00493B0B">
        <w:t>Panel A of T</w:t>
      </w:r>
      <w:r w:rsidR="004E0639" w:rsidRPr="00493B0B">
        <w:t>able 2).</w:t>
      </w:r>
      <w:r w:rsidRPr="00493B0B">
        <w:t xml:space="preserve"> </w:t>
      </w:r>
    </w:p>
    <w:p w:rsidR="00EB2B2A" w:rsidRPr="00493B0B" w:rsidRDefault="008A7E82" w:rsidP="003D1BA0">
      <w:pPr>
        <w:spacing w:line="360" w:lineRule="auto"/>
        <w:ind w:firstLine="720"/>
        <w:jc w:val="both"/>
      </w:pPr>
      <w:r w:rsidRPr="00493B0B">
        <w:t>The</w:t>
      </w:r>
      <w:r w:rsidR="00EB2B2A" w:rsidRPr="00493B0B">
        <w:t xml:space="preserve"> second measure of firm visibility is </w:t>
      </w:r>
      <w:r w:rsidR="00B15145" w:rsidRPr="00493B0B">
        <w:t xml:space="preserve">the advertising expenditure in the prior fiscal year (XAD). </w:t>
      </w:r>
      <w:r w:rsidR="00EB2B2A" w:rsidRPr="00493B0B">
        <w:t xml:space="preserve">Grullon, Kanatas and Weston (2004) document that advertising increases the visibility of the firm not only in the product market but also in the </w:t>
      </w:r>
      <w:r w:rsidRPr="00493B0B">
        <w:t xml:space="preserve">equity </w:t>
      </w:r>
      <w:r w:rsidR="00EB2B2A" w:rsidRPr="00493B0B">
        <w:t xml:space="preserve">market. </w:t>
      </w:r>
      <w:r w:rsidR="00B15145" w:rsidRPr="00493B0B">
        <w:t>Logically, the</w:t>
      </w:r>
      <w:r w:rsidR="00EB2B2A" w:rsidRPr="00493B0B">
        <w:t xml:space="preserve"> </w:t>
      </w:r>
      <w:r w:rsidRPr="00493B0B">
        <w:t xml:space="preserve">increase in visibility due to </w:t>
      </w:r>
      <w:r w:rsidR="00EB2B2A" w:rsidRPr="00493B0B">
        <w:t xml:space="preserve">advertising </w:t>
      </w:r>
      <w:r w:rsidRPr="00493B0B">
        <w:t xml:space="preserve">should </w:t>
      </w:r>
      <w:r w:rsidR="00B15145" w:rsidRPr="00493B0B">
        <w:t xml:space="preserve">also extend to the bond market and hence improve </w:t>
      </w:r>
      <w:r w:rsidRPr="00493B0B">
        <w:t xml:space="preserve">bond liquidity. </w:t>
      </w:r>
      <w:r w:rsidR="00B15145" w:rsidRPr="00493B0B">
        <w:t>As shown in Panel A of Table 2, t</w:t>
      </w:r>
      <w:r w:rsidR="00EB2B2A" w:rsidRPr="00493B0B">
        <w:t xml:space="preserve">he average advertising </w:t>
      </w:r>
      <w:r w:rsidR="00B15145" w:rsidRPr="00493B0B">
        <w:t xml:space="preserve">expenditure </w:t>
      </w:r>
      <w:r w:rsidR="00EB2B2A" w:rsidRPr="00493B0B">
        <w:t xml:space="preserve">is </w:t>
      </w:r>
      <w:r w:rsidR="00B15145" w:rsidRPr="00493B0B">
        <w:t>$</w:t>
      </w:r>
      <w:r w:rsidR="00EB2B2A" w:rsidRPr="00493B0B">
        <w:t>202</w:t>
      </w:r>
      <w:r w:rsidR="00B15145" w:rsidRPr="00493B0B">
        <w:t>,250</w:t>
      </w:r>
      <w:r w:rsidRPr="00493B0B">
        <w:t xml:space="preserve">, </w:t>
      </w:r>
      <w:r w:rsidR="00B15145" w:rsidRPr="00493B0B">
        <w:t xml:space="preserve">much higher than </w:t>
      </w:r>
      <w:r w:rsidR="00EB2B2A" w:rsidRPr="00493B0B">
        <w:t xml:space="preserve">the median </w:t>
      </w:r>
      <w:r w:rsidR="00B15145" w:rsidRPr="00493B0B">
        <w:t>of $29,660</w:t>
      </w:r>
      <w:r w:rsidR="00EB2B2A" w:rsidRPr="00493B0B">
        <w:t xml:space="preserve">. Note that </w:t>
      </w:r>
      <w:r w:rsidR="00B15145" w:rsidRPr="00493B0B">
        <w:t>this measure</w:t>
      </w:r>
      <w:r w:rsidR="00EB2B2A" w:rsidRPr="00493B0B">
        <w:t xml:space="preserve"> is available for only 555 of the total 1</w:t>
      </w:r>
      <w:r w:rsidR="00B15145" w:rsidRPr="00493B0B">
        <w:t>,</w:t>
      </w:r>
      <w:r w:rsidR="00EB2B2A" w:rsidRPr="00493B0B">
        <w:t xml:space="preserve">360 firms </w:t>
      </w:r>
      <w:r w:rsidR="00B15145" w:rsidRPr="00493B0B">
        <w:t>in the sample</w:t>
      </w:r>
      <w:r w:rsidR="00EB2B2A" w:rsidRPr="00493B0B">
        <w:t>.</w:t>
      </w:r>
      <w:r w:rsidR="00EB2B2A" w:rsidRPr="00493B0B">
        <w:rPr>
          <w:rStyle w:val="FootnoteReference"/>
        </w:rPr>
        <w:footnoteReference w:id="6"/>
      </w:r>
      <w:r w:rsidR="00EB2B2A" w:rsidRPr="00493B0B">
        <w:t xml:space="preserve"> </w:t>
      </w:r>
    </w:p>
    <w:p w:rsidR="00425E58" w:rsidRPr="00493B0B" w:rsidRDefault="008221FB" w:rsidP="003D1BA0">
      <w:pPr>
        <w:spacing w:line="360" w:lineRule="auto"/>
        <w:ind w:firstLine="720"/>
        <w:jc w:val="both"/>
      </w:pPr>
      <w:r w:rsidRPr="00493B0B">
        <w:t>Our third proxy, the average number of institutions holding the firm’s stock in the previous four quarter</w:t>
      </w:r>
      <w:r w:rsidR="00067256" w:rsidRPr="00493B0B">
        <w:t>s</w:t>
      </w:r>
      <w:r w:rsidRPr="00493B0B">
        <w:t xml:space="preserve"> (</w:t>
      </w:r>
      <w:r w:rsidR="00425E58" w:rsidRPr="00493B0B">
        <w:t>N</w:t>
      </w:r>
      <w:r w:rsidRPr="00493B0B">
        <w:t xml:space="preserve">EQUITY), captures </w:t>
      </w:r>
      <w:r w:rsidR="00EF6AEB" w:rsidRPr="00493B0B">
        <w:t xml:space="preserve">a firm’s </w:t>
      </w:r>
      <w:r w:rsidRPr="00493B0B">
        <w:t xml:space="preserve">visibility </w:t>
      </w:r>
      <w:r w:rsidR="00EB2B2A" w:rsidRPr="00493B0B">
        <w:t xml:space="preserve">in the equity market. </w:t>
      </w:r>
      <w:r w:rsidRPr="00493B0B">
        <w:t xml:space="preserve">This measure of breadth </w:t>
      </w:r>
      <w:r w:rsidR="00D927EA" w:rsidRPr="00493B0B">
        <w:t xml:space="preserve">of institutional </w:t>
      </w:r>
      <w:r w:rsidRPr="00493B0B">
        <w:t xml:space="preserve">ownership </w:t>
      </w:r>
      <w:r w:rsidR="00D927EA" w:rsidRPr="00493B0B">
        <w:t xml:space="preserve">has been used in </w:t>
      </w:r>
      <w:r w:rsidR="00CF29DE" w:rsidRPr="00493B0B">
        <w:t xml:space="preserve">the </w:t>
      </w:r>
      <w:r w:rsidR="00D927EA" w:rsidRPr="00493B0B">
        <w:t>prior literature to capture investor recognition and visibility in the equity market (</w:t>
      </w:r>
      <w:r w:rsidRPr="00493B0B">
        <w:t>s</w:t>
      </w:r>
      <w:r w:rsidR="00D927EA" w:rsidRPr="00493B0B">
        <w:t>ee</w:t>
      </w:r>
      <w:r w:rsidRPr="00493B0B">
        <w:t>, e.g.,</w:t>
      </w:r>
      <w:r w:rsidR="00D927EA" w:rsidRPr="00493B0B">
        <w:t xml:space="preserve"> Kadlec and McConnell </w:t>
      </w:r>
      <w:r w:rsidR="00EF6AEB" w:rsidRPr="00493B0B">
        <w:t>(</w:t>
      </w:r>
      <w:r w:rsidR="00D927EA" w:rsidRPr="00493B0B">
        <w:t>1994</w:t>
      </w:r>
      <w:r w:rsidR="00EF6AEB" w:rsidRPr="00493B0B">
        <w:t>)</w:t>
      </w:r>
      <w:r w:rsidRPr="00493B0B">
        <w:t>;</w:t>
      </w:r>
      <w:r w:rsidR="00D927EA" w:rsidRPr="00493B0B">
        <w:t xml:space="preserve"> Grullon, Kanatas and Weston</w:t>
      </w:r>
      <w:r w:rsidR="00ED5C86">
        <w:t xml:space="preserve"> </w:t>
      </w:r>
      <w:r w:rsidR="00EF6AEB" w:rsidRPr="00493B0B">
        <w:t>(</w:t>
      </w:r>
      <w:r w:rsidR="00D927EA" w:rsidRPr="00493B0B">
        <w:t>2004</w:t>
      </w:r>
      <w:r w:rsidR="00EF6AEB" w:rsidRPr="00493B0B">
        <w:t>)</w:t>
      </w:r>
      <w:r w:rsidRPr="00493B0B">
        <w:t>;</w:t>
      </w:r>
      <w:r w:rsidR="00D927EA" w:rsidRPr="00493B0B">
        <w:t xml:space="preserve"> Lehavy and Sloan </w:t>
      </w:r>
      <w:r w:rsidR="00EF6AEB" w:rsidRPr="00493B0B">
        <w:t>(</w:t>
      </w:r>
      <w:r w:rsidR="00D927EA" w:rsidRPr="00493B0B">
        <w:t>2008</w:t>
      </w:r>
      <w:r w:rsidR="00EF6AEB" w:rsidRPr="00493B0B">
        <w:t>)</w:t>
      </w:r>
      <w:r w:rsidRPr="00493B0B">
        <w:t>;</w:t>
      </w:r>
      <w:r w:rsidR="00D927EA" w:rsidRPr="00493B0B">
        <w:t xml:space="preserve"> and Bodnaruk and Ostberg </w:t>
      </w:r>
      <w:r w:rsidR="00EF6AEB" w:rsidRPr="00493B0B">
        <w:t>(</w:t>
      </w:r>
      <w:r w:rsidR="00D927EA" w:rsidRPr="00493B0B">
        <w:t>2009</w:t>
      </w:r>
      <w:r w:rsidR="00EF6AEB" w:rsidRPr="00493B0B">
        <w:t>)</w:t>
      </w:r>
      <w:r w:rsidR="00D927EA" w:rsidRPr="00493B0B">
        <w:t>). Averag</w:t>
      </w:r>
      <w:r w:rsidR="00425E58" w:rsidRPr="00493B0B">
        <w:t>ing</w:t>
      </w:r>
      <w:r w:rsidR="00D927EA" w:rsidRPr="00493B0B">
        <w:t xml:space="preserve"> the number</w:t>
      </w:r>
      <w:r w:rsidR="00425E58" w:rsidRPr="00493B0B">
        <w:t>s</w:t>
      </w:r>
      <w:r w:rsidR="00D927EA" w:rsidRPr="00493B0B">
        <w:t xml:space="preserve"> of institutions over the prior four quarters </w:t>
      </w:r>
      <w:r w:rsidR="00425E58" w:rsidRPr="00493B0B">
        <w:t xml:space="preserve">helps </w:t>
      </w:r>
      <w:r w:rsidR="00D927EA" w:rsidRPr="00493B0B">
        <w:t xml:space="preserve">avoid the potential influence of temporary changes in ownership.  </w:t>
      </w:r>
    </w:p>
    <w:p w:rsidR="00EB2B2A" w:rsidRPr="00493B0B" w:rsidRDefault="00D927EA" w:rsidP="003D1BA0">
      <w:pPr>
        <w:spacing w:line="360" w:lineRule="auto"/>
        <w:ind w:firstLine="720"/>
        <w:jc w:val="both"/>
      </w:pPr>
      <w:r w:rsidRPr="00493B0B">
        <w:t xml:space="preserve">The </w:t>
      </w:r>
      <w:r w:rsidR="00CF29DE" w:rsidRPr="00493B0B">
        <w:t>fourth measure</w:t>
      </w:r>
      <w:r w:rsidR="00425E58" w:rsidRPr="00493B0B">
        <w:t>,</w:t>
      </w:r>
      <w:r w:rsidRPr="00493B0B">
        <w:t xml:space="preserve"> </w:t>
      </w:r>
      <w:r w:rsidR="00425E58" w:rsidRPr="00493B0B">
        <w:t xml:space="preserve">the average </w:t>
      </w:r>
      <w:r w:rsidRPr="00493B0B">
        <w:t>number of analysts follow</w:t>
      </w:r>
      <w:r w:rsidR="00425E58" w:rsidRPr="00493B0B">
        <w:t>ing</w:t>
      </w:r>
      <w:r w:rsidRPr="00493B0B">
        <w:t xml:space="preserve"> the firm </w:t>
      </w:r>
      <w:r w:rsidR="00425E58" w:rsidRPr="00493B0B">
        <w:t xml:space="preserve">in the prior four quarters </w:t>
      </w:r>
      <w:r w:rsidRPr="00493B0B">
        <w:t>(NANALYST)</w:t>
      </w:r>
      <w:r w:rsidR="00425E58" w:rsidRPr="00493B0B">
        <w:t>, is also based on equity market visibility.</w:t>
      </w:r>
      <w:r w:rsidRPr="00493B0B">
        <w:t xml:space="preserve"> </w:t>
      </w:r>
      <w:r w:rsidR="00425E58" w:rsidRPr="00493B0B">
        <w:t xml:space="preserve">The rationale of averaging over the previous four quarters is the same as that for the NEQUITY measure. </w:t>
      </w:r>
      <w:r w:rsidR="00AF37A5" w:rsidRPr="00493B0B">
        <w:t xml:space="preserve">One of the </w:t>
      </w:r>
      <w:r w:rsidR="00EB2B2A" w:rsidRPr="00493B0B">
        <w:t>advantage</w:t>
      </w:r>
      <w:r w:rsidR="00AF37A5" w:rsidRPr="00493B0B">
        <w:t>s</w:t>
      </w:r>
      <w:r w:rsidR="00EB2B2A" w:rsidRPr="00493B0B">
        <w:t xml:space="preserve"> of using equity market visibility is </w:t>
      </w:r>
      <w:r w:rsidR="00AF37A5" w:rsidRPr="00493B0B">
        <w:t xml:space="preserve">the fact </w:t>
      </w:r>
      <w:r w:rsidR="00EB2B2A" w:rsidRPr="00493B0B">
        <w:t xml:space="preserve">that it captures visibility specific to </w:t>
      </w:r>
      <w:r w:rsidR="00AF37A5" w:rsidRPr="00493B0B">
        <w:t xml:space="preserve">the </w:t>
      </w:r>
      <w:r w:rsidR="00EB2B2A" w:rsidRPr="00493B0B">
        <w:t xml:space="preserve">capital market </w:t>
      </w:r>
      <w:r w:rsidR="00AF37A5" w:rsidRPr="00493B0B">
        <w:t>as opposed to the firm</w:t>
      </w:r>
      <w:r w:rsidR="00CF29DE" w:rsidRPr="00493B0B">
        <w:t xml:space="preserve"> alone</w:t>
      </w:r>
      <w:r w:rsidR="00AF37A5" w:rsidRPr="00493B0B">
        <w:t>.</w:t>
      </w:r>
      <w:r w:rsidR="00EB2B2A" w:rsidRPr="00493B0B">
        <w:t xml:space="preserve"> </w:t>
      </w:r>
    </w:p>
    <w:p w:rsidR="00EB2B2A" w:rsidRPr="00493B0B" w:rsidRDefault="00C97AB4" w:rsidP="003D1BA0">
      <w:pPr>
        <w:spacing w:line="360" w:lineRule="auto"/>
        <w:ind w:firstLine="720"/>
        <w:jc w:val="both"/>
      </w:pPr>
      <w:r w:rsidRPr="00493B0B">
        <w:lastRenderedPageBreak/>
        <w:t xml:space="preserve">Panel A of </w:t>
      </w:r>
      <w:r w:rsidR="00816A48" w:rsidRPr="00493B0B">
        <w:t>Table 2</w:t>
      </w:r>
      <w:r w:rsidRPr="00493B0B">
        <w:t xml:space="preserve"> </w:t>
      </w:r>
      <w:r w:rsidR="00816A48" w:rsidRPr="00493B0B">
        <w:t xml:space="preserve">displays the summary statistics for </w:t>
      </w:r>
      <w:r w:rsidRPr="00493B0B">
        <w:t xml:space="preserve">the </w:t>
      </w:r>
      <w:r w:rsidR="00816A48" w:rsidRPr="00493B0B">
        <w:t>number of institutions and the number of analysts at the firm level.</w:t>
      </w:r>
      <w:r w:rsidR="007A2DDB" w:rsidRPr="00493B0B">
        <w:t xml:space="preserve"> T</w:t>
      </w:r>
      <w:r w:rsidR="00EB2B2A" w:rsidRPr="00493B0B">
        <w:t>he average number of institutions that hold the firm</w:t>
      </w:r>
      <w:r w:rsidR="00CF29DE" w:rsidRPr="00493B0B">
        <w:t>’</w:t>
      </w:r>
      <w:r w:rsidR="00EB2B2A" w:rsidRPr="00493B0B">
        <w:t>s stock is 256</w:t>
      </w:r>
      <w:r w:rsidRPr="00493B0B">
        <w:t>, compared</w:t>
      </w:r>
      <w:r w:rsidR="00EB2B2A" w:rsidRPr="00493B0B">
        <w:t xml:space="preserve"> with </w:t>
      </w:r>
      <w:r w:rsidRPr="00493B0B">
        <w:t>a</w:t>
      </w:r>
      <w:r w:rsidR="00EB2B2A" w:rsidRPr="00493B0B">
        <w:t xml:space="preserve"> median </w:t>
      </w:r>
      <w:r w:rsidRPr="00493B0B">
        <w:t>of</w:t>
      </w:r>
      <w:r w:rsidR="00EB2B2A" w:rsidRPr="00493B0B">
        <w:t xml:space="preserve"> 183. The average (median) number of analysts following the firm is 10 (9).  These numbers are higher than the average</w:t>
      </w:r>
      <w:r w:rsidR="007C032F" w:rsidRPr="00493B0B">
        <w:t>s</w:t>
      </w:r>
      <w:r w:rsidR="00EB2B2A" w:rsidRPr="00493B0B">
        <w:t xml:space="preserve"> for the universe of firms on Compustat </w:t>
      </w:r>
      <w:r w:rsidR="007C032F" w:rsidRPr="00493B0B">
        <w:t>a</w:t>
      </w:r>
      <w:r w:rsidR="00EB2B2A" w:rsidRPr="00493B0B">
        <w:t>s our sample biase</w:t>
      </w:r>
      <w:r w:rsidR="007C032F" w:rsidRPr="00493B0B">
        <w:t>s</w:t>
      </w:r>
      <w:r w:rsidR="00EB2B2A" w:rsidRPr="00493B0B">
        <w:t xml:space="preserve"> towards larger and more established firms. </w:t>
      </w:r>
      <w:r w:rsidR="007A2DDB" w:rsidRPr="00493B0B">
        <w:t>Even t</w:t>
      </w:r>
      <w:r w:rsidR="00EB2B2A" w:rsidRPr="00493B0B">
        <w:t xml:space="preserve">hough the average visibility is high in our sample, there </w:t>
      </w:r>
      <w:r w:rsidR="00ED5C86">
        <w:t>are</w:t>
      </w:r>
      <w:r w:rsidR="00EB2B2A" w:rsidRPr="00493B0B">
        <w:t xml:space="preserve"> significant cross-sectional variation</w:t>
      </w:r>
      <w:r w:rsidR="00ED5C86">
        <w:t>s</w:t>
      </w:r>
      <w:r w:rsidR="00EB2B2A" w:rsidRPr="00493B0B">
        <w:t xml:space="preserve"> to allow us to examine the impact of visibility on bond liquidity.  </w:t>
      </w:r>
    </w:p>
    <w:p w:rsidR="00EB2B2A" w:rsidRPr="00493B0B" w:rsidRDefault="007A2DDB" w:rsidP="003D1BA0">
      <w:pPr>
        <w:spacing w:line="360" w:lineRule="auto"/>
        <w:ind w:firstLine="720"/>
        <w:jc w:val="both"/>
      </w:pPr>
      <w:r w:rsidRPr="00493B0B">
        <w:t>As expected</w:t>
      </w:r>
      <w:r w:rsidR="007C032F" w:rsidRPr="00493B0B">
        <w:t>,</w:t>
      </w:r>
      <w:r w:rsidRPr="00493B0B">
        <w:t xml:space="preserve"> t</w:t>
      </w:r>
      <w:r w:rsidR="00EB2B2A" w:rsidRPr="00493B0B">
        <w:t>he</w:t>
      </w:r>
      <w:r w:rsidRPr="00493B0B">
        <w:t xml:space="preserve"> different </w:t>
      </w:r>
      <w:r w:rsidR="00EB2B2A" w:rsidRPr="00493B0B">
        <w:t xml:space="preserve">measures </w:t>
      </w:r>
      <w:r w:rsidRPr="00493B0B">
        <w:t>of visibility are correlated with each other</w:t>
      </w:r>
      <w:r w:rsidR="007C032F" w:rsidRPr="00493B0B">
        <w:t>, as shown in Panel B of Table 2</w:t>
      </w:r>
      <w:r w:rsidRPr="00493B0B">
        <w:t xml:space="preserve">. The highest correlation of 0.65 is between firm </w:t>
      </w:r>
      <w:r w:rsidR="0063656C" w:rsidRPr="00493B0B">
        <w:t xml:space="preserve">size </w:t>
      </w:r>
      <w:r w:rsidR="007C032F" w:rsidRPr="00493B0B">
        <w:t xml:space="preserve">(SIZE) </w:t>
      </w:r>
      <w:r w:rsidR="0063656C" w:rsidRPr="00493B0B">
        <w:t xml:space="preserve">and </w:t>
      </w:r>
      <w:r w:rsidR="007C032F" w:rsidRPr="00493B0B">
        <w:t>the institutional ownership (</w:t>
      </w:r>
      <w:r w:rsidR="0063656C" w:rsidRPr="00493B0B">
        <w:t>NEQUITY</w:t>
      </w:r>
      <w:r w:rsidR="007C032F" w:rsidRPr="00493B0B">
        <w:t>)</w:t>
      </w:r>
      <w:r w:rsidR="0063656C" w:rsidRPr="00493B0B">
        <w:t xml:space="preserve">. The </w:t>
      </w:r>
      <w:r w:rsidR="007C032F" w:rsidRPr="00493B0B">
        <w:t>low</w:t>
      </w:r>
      <w:r w:rsidR="0063656C" w:rsidRPr="00493B0B">
        <w:t xml:space="preserve">est correlation of 0.259 is between advertising expenses </w:t>
      </w:r>
      <w:r w:rsidR="00144CBD" w:rsidRPr="00493B0B">
        <w:t>(</w:t>
      </w:r>
      <w:r w:rsidR="007C032F" w:rsidRPr="00493B0B">
        <w:t>X</w:t>
      </w:r>
      <w:r w:rsidR="00144CBD" w:rsidRPr="00493B0B">
        <w:t>AD</w:t>
      </w:r>
      <w:r w:rsidR="007C032F" w:rsidRPr="00493B0B">
        <w:t xml:space="preserve">) </w:t>
      </w:r>
      <w:r w:rsidR="0063656C" w:rsidRPr="00493B0B">
        <w:t>and the number of analysts</w:t>
      </w:r>
      <w:r w:rsidR="007C032F" w:rsidRPr="00493B0B">
        <w:t xml:space="preserve"> (NANALYST)</w:t>
      </w:r>
      <w:r w:rsidR="0063656C" w:rsidRPr="00493B0B">
        <w:t xml:space="preserve">. </w:t>
      </w:r>
      <w:r w:rsidR="007C032F" w:rsidRPr="00493B0B">
        <w:t>The</w:t>
      </w:r>
      <w:r w:rsidR="0063656C" w:rsidRPr="00493B0B">
        <w:t xml:space="preserve"> </w:t>
      </w:r>
      <w:r w:rsidR="007C032F" w:rsidRPr="00493B0B">
        <w:t xml:space="preserve">less-than-perfect and </w:t>
      </w:r>
      <w:r w:rsidR="0063656C" w:rsidRPr="00493B0B">
        <w:t>lower correlations suggest</w:t>
      </w:r>
      <w:r w:rsidR="00EB2B2A" w:rsidRPr="00493B0B">
        <w:t xml:space="preserve"> that the measures likely capture </w:t>
      </w:r>
      <w:r w:rsidR="0063656C" w:rsidRPr="00493B0B">
        <w:t xml:space="preserve">differing </w:t>
      </w:r>
      <w:r w:rsidR="00EB2B2A" w:rsidRPr="00493B0B">
        <w:t>aspects of visibility</w:t>
      </w:r>
      <w:r w:rsidR="007C032F" w:rsidRPr="00493B0B">
        <w:t>, justifying the use of all of them in the analysis.</w:t>
      </w:r>
    </w:p>
    <w:p w:rsidR="00984298" w:rsidRPr="00493B0B" w:rsidRDefault="00984298" w:rsidP="003D1BA0">
      <w:pPr>
        <w:spacing w:line="360" w:lineRule="auto"/>
        <w:ind w:firstLine="720"/>
        <w:jc w:val="both"/>
      </w:pPr>
    </w:p>
    <w:p w:rsidR="00483126" w:rsidRPr="00493B0B" w:rsidRDefault="000F74D7" w:rsidP="003D1BA0">
      <w:pPr>
        <w:spacing w:line="360" w:lineRule="auto"/>
        <w:jc w:val="both"/>
        <w:rPr>
          <w:i/>
        </w:rPr>
      </w:pPr>
      <w:r w:rsidRPr="00493B0B">
        <w:rPr>
          <w:i/>
        </w:rPr>
        <w:t xml:space="preserve">2.2 </w:t>
      </w:r>
      <w:r w:rsidR="00483126" w:rsidRPr="00493B0B">
        <w:rPr>
          <w:i/>
        </w:rPr>
        <w:t>Measure</w:t>
      </w:r>
      <w:r w:rsidR="00A62B5E" w:rsidRPr="00493B0B">
        <w:rPr>
          <w:i/>
        </w:rPr>
        <w:t>s</w:t>
      </w:r>
      <w:r w:rsidR="00483126" w:rsidRPr="00493B0B">
        <w:rPr>
          <w:i/>
        </w:rPr>
        <w:t xml:space="preserve"> of </w:t>
      </w:r>
      <w:r w:rsidR="00A62B5E" w:rsidRPr="00493B0B">
        <w:rPr>
          <w:i/>
        </w:rPr>
        <w:t>l</w:t>
      </w:r>
      <w:r w:rsidR="00483126" w:rsidRPr="00493B0B">
        <w:rPr>
          <w:i/>
        </w:rPr>
        <w:t>iquidity</w:t>
      </w:r>
    </w:p>
    <w:p w:rsidR="00984298" w:rsidRPr="00493B0B" w:rsidRDefault="00984298" w:rsidP="003D1BA0">
      <w:pPr>
        <w:spacing w:line="360" w:lineRule="auto"/>
        <w:jc w:val="both"/>
        <w:rPr>
          <w:u w:val="single"/>
        </w:rPr>
      </w:pPr>
    </w:p>
    <w:p w:rsidR="00A82412" w:rsidRDefault="00483126" w:rsidP="003D1BA0">
      <w:pPr>
        <w:spacing w:line="360" w:lineRule="auto"/>
        <w:jc w:val="both"/>
        <w:rPr>
          <w:lang w:eastAsia="en-US"/>
        </w:rPr>
      </w:pPr>
      <w:r w:rsidRPr="00493B0B">
        <w:rPr>
          <w:lang w:eastAsia="en-US"/>
        </w:rPr>
        <w:t xml:space="preserve">Our first measure of liquidity is the fraction of days in </w:t>
      </w:r>
      <w:r w:rsidR="00A62B5E" w:rsidRPr="00493B0B">
        <w:rPr>
          <w:lang w:eastAsia="en-US"/>
        </w:rPr>
        <w:t>a</w:t>
      </w:r>
      <w:r w:rsidRPr="00493B0B">
        <w:rPr>
          <w:lang w:eastAsia="en-US"/>
        </w:rPr>
        <w:t xml:space="preserve"> quarter </w:t>
      </w:r>
      <w:r w:rsidR="00A62B5E" w:rsidRPr="00493B0B">
        <w:rPr>
          <w:lang w:eastAsia="en-US"/>
        </w:rPr>
        <w:t xml:space="preserve">on which </w:t>
      </w:r>
      <w:r w:rsidRPr="00493B0B">
        <w:rPr>
          <w:lang w:eastAsia="en-US"/>
        </w:rPr>
        <w:t>the bond ha</w:t>
      </w:r>
      <w:r w:rsidR="00A62B5E" w:rsidRPr="00493B0B">
        <w:rPr>
          <w:lang w:eastAsia="en-US"/>
        </w:rPr>
        <w:t>s</w:t>
      </w:r>
      <w:r w:rsidRPr="00493B0B">
        <w:rPr>
          <w:lang w:eastAsia="en-US"/>
        </w:rPr>
        <w:t xml:space="preserve"> </w:t>
      </w:r>
      <w:r w:rsidR="000951B9" w:rsidRPr="00493B0B">
        <w:rPr>
          <w:lang w:eastAsia="en-US"/>
        </w:rPr>
        <w:t xml:space="preserve">a return of </w:t>
      </w:r>
      <w:r w:rsidRPr="00493B0B">
        <w:rPr>
          <w:lang w:eastAsia="en-US"/>
        </w:rPr>
        <w:t>zero (Z</w:t>
      </w:r>
      <w:r w:rsidR="00DD0391" w:rsidRPr="00493B0B">
        <w:rPr>
          <w:lang w:eastAsia="en-US"/>
        </w:rPr>
        <w:t>ERO</w:t>
      </w:r>
      <w:r w:rsidRPr="00493B0B">
        <w:rPr>
          <w:lang w:eastAsia="en-US"/>
        </w:rPr>
        <w:t xml:space="preserve">PCT). This measure has been used </w:t>
      </w:r>
      <w:r w:rsidR="00A62B5E" w:rsidRPr="00493B0B">
        <w:rPr>
          <w:lang w:eastAsia="en-US"/>
        </w:rPr>
        <w:t>in</w:t>
      </w:r>
      <w:r w:rsidRPr="00493B0B">
        <w:rPr>
          <w:lang w:eastAsia="en-US"/>
        </w:rPr>
        <w:t xml:space="preserve"> several </w:t>
      </w:r>
      <w:r w:rsidR="00A62B5E" w:rsidRPr="00493B0B">
        <w:rPr>
          <w:lang w:eastAsia="en-US"/>
        </w:rPr>
        <w:t>previous</w:t>
      </w:r>
      <w:r w:rsidRPr="00493B0B">
        <w:rPr>
          <w:lang w:eastAsia="en-US"/>
        </w:rPr>
        <w:t xml:space="preserve"> papers</w:t>
      </w:r>
      <w:r w:rsidR="00A62B5E" w:rsidRPr="00493B0B">
        <w:rPr>
          <w:lang w:eastAsia="en-US"/>
        </w:rPr>
        <w:t xml:space="preserve"> starting from Chen, Lesmond and Wei (2007)</w:t>
      </w:r>
      <w:r w:rsidRPr="00493B0B">
        <w:rPr>
          <w:lang w:eastAsia="en-US"/>
        </w:rPr>
        <w:t xml:space="preserve">. </w:t>
      </w:r>
      <w:r w:rsidR="00A62B5E" w:rsidRPr="00493B0B">
        <w:rPr>
          <w:lang w:eastAsia="en-US"/>
        </w:rPr>
        <w:t>For our purpose, we also treat all days with no trading as days with a zero return.</w:t>
      </w:r>
      <w:r w:rsidRPr="00493B0B">
        <w:rPr>
          <w:lang w:eastAsia="en-US"/>
        </w:rPr>
        <w:t xml:space="preserve"> </w:t>
      </w:r>
      <w:r w:rsidR="00A62B5E" w:rsidRPr="00493B0B">
        <w:rPr>
          <w:lang w:eastAsia="en-US"/>
        </w:rPr>
        <w:t>The lower the number of zero-return days in a quarter, the higher the liquidity.</w:t>
      </w:r>
      <w:r w:rsidRPr="00493B0B">
        <w:rPr>
          <w:lang w:eastAsia="en-US"/>
        </w:rPr>
        <w:t xml:space="preserve"> As seen in </w:t>
      </w:r>
      <w:r w:rsidR="000951B9" w:rsidRPr="00493B0B">
        <w:rPr>
          <w:lang w:eastAsia="en-US"/>
        </w:rPr>
        <w:t xml:space="preserve">Panel C of </w:t>
      </w:r>
      <w:r w:rsidRPr="00493B0B">
        <w:rPr>
          <w:lang w:eastAsia="en-US"/>
        </w:rPr>
        <w:t>Table 2, the mean Z</w:t>
      </w:r>
      <w:r w:rsidR="008833A8" w:rsidRPr="00493B0B">
        <w:rPr>
          <w:lang w:eastAsia="en-US"/>
        </w:rPr>
        <w:t>ERO</w:t>
      </w:r>
      <w:r w:rsidRPr="00493B0B">
        <w:rPr>
          <w:lang w:eastAsia="en-US"/>
        </w:rPr>
        <w:t>PCT for bond/quarters in our dataset is 0.68</w:t>
      </w:r>
      <w:r w:rsidR="000951B9" w:rsidRPr="00493B0B">
        <w:rPr>
          <w:lang w:eastAsia="en-US"/>
        </w:rPr>
        <w:t>, indicating that most of the bonds are traded infrequently, if at all</w:t>
      </w:r>
      <w:r w:rsidRPr="00493B0B">
        <w:rPr>
          <w:lang w:eastAsia="en-US"/>
        </w:rPr>
        <w:t xml:space="preserve">. </w:t>
      </w:r>
      <w:r w:rsidR="00E431EE">
        <w:rPr>
          <w:lang w:eastAsia="en-US"/>
        </w:rPr>
        <w:t xml:space="preserve">Consistent with the notion that liquid bonds tend </w:t>
      </w:r>
      <w:r w:rsidR="001F0F54">
        <w:rPr>
          <w:lang w:eastAsia="en-US"/>
        </w:rPr>
        <w:t>to</w:t>
      </w:r>
      <w:r w:rsidR="00E431EE">
        <w:rPr>
          <w:lang w:eastAsia="en-US"/>
        </w:rPr>
        <w:t xml:space="preserve"> trade more often, w</w:t>
      </w:r>
      <w:r w:rsidRPr="00493B0B">
        <w:rPr>
          <w:lang w:eastAsia="en-US"/>
        </w:rPr>
        <w:t xml:space="preserve">e also use </w:t>
      </w:r>
      <w:r w:rsidR="000951B9" w:rsidRPr="00493B0B">
        <w:rPr>
          <w:lang w:eastAsia="en-US"/>
        </w:rPr>
        <w:t xml:space="preserve">the </w:t>
      </w:r>
      <w:r w:rsidRPr="00493B0B">
        <w:rPr>
          <w:lang w:eastAsia="en-US"/>
        </w:rPr>
        <w:t>total number of trades (N</w:t>
      </w:r>
      <w:r w:rsidR="001A6AB1" w:rsidRPr="00493B0B">
        <w:rPr>
          <w:lang w:eastAsia="en-US"/>
        </w:rPr>
        <w:t>TRADES</w:t>
      </w:r>
      <w:r w:rsidRPr="00493B0B">
        <w:rPr>
          <w:lang w:eastAsia="en-US"/>
        </w:rPr>
        <w:t xml:space="preserve">) and total par value of </w:t>
      </w:r>
      <w:r w:rsidR="000951B9" w:rsidRPr="00493B0B">
        <w:rPr>
          <w:lang w:eastAsia="en-US"/>
        </w:rPr>
        <w:t>transactions</w:t>
      </w:r>
      <w:r w:rsidRPr="00493B0B">
        <w:rPr>
          <w:lang w:eastAsia="en-US"/>
        </w:rPr>
        <w:t xml:space="preserve"> (V</w:t>
      </w:r>
      <w:r w:rsidR="008833A8" w:rsidRPr="00493B0B">
        <w:rPr>
          <w:lang w:eastAsia="en-US"/>
        </w:rPr>
        <w:t>OLUME</w:t>
      </w:r>
      <w:r w:rsidRPr="00493B0B">
        <w:rPr>
          <w:lang w:eastAsia="en-US"/>
        </w:rPr>
        <w:t>) within a quarter to measure liquidity.</w:t>
      </w:r>
      <w:r w:rsidR="007D460C">
        <w:rPr>
          <w:rStyle w:val="FootnoteReference"/>
          <w:lang w:eastAsia="en-US"/>
        </w:rPr>
        <w:footnoteReference w:id="7"/>
      </w:r>
      <w:r w:rsidRPr="00493B0B">
        <w:rPr>
          <w:lang w:eastAsia="en-US"/>
        </w:rPr>
        <w:t xml:space="preserve"> The </w:t>
      </w:r>
      <w:r w:rsidR="000951B9" w:rsidRPr="00493B0B">
        <w:rPr>
          <w:lang w:eastAsia="en-US"/>
        </w:rPr>
        <w:t>average</w:t>
      </w:r>
      <w:r w:rsidRPr="00493B0B">
        <w:rPr>
          <w:lang w:eastAsia="en-US"/>
        </w:rPr>
        <w:t xml:space="preserve"> number of trades </w:t>
      </w:r>
      <w:r w:rsidR="00C12B5E" w:rsidRPr="00493B0B">
        <w:rPr>
          <w:lang w:eastAsia="en-US"/>
        </w:rPr>
        <w:t xml:space="preserve">in a bond </w:t>
      </w:r>
      <w:r w:rsidR="000951B9" w:rsidRPr="00493B0B">
        <w:rPr>
          <w:lang w:eastAsia="en-US"/>
        </w:rPr>
        <w:t xml:space="preserve">within each quarter </w:t>
      </w:r>
      <w:r w:rsidRPr="00493B0B">
        <w:rPr>
          <w:lang w:eastAsia="en-US"/>
        </w:rPr>
        <w:t xml:space="preserve">is 214. The distribution of the number of trades is skewed as the median is </w:t>
      </w:r>
      <w:r w:rsidR="00714F23" w:rsidRPr="00493B0B">
        <w:rPr>
          <w:lang w:eastAsia="en-US"/>
        </w:rPr>
        <w:t>only</w:t>
      </w:r>
      <w:r w:rsidRPr="00493B0B">
        <w:rPr>
          <w:lang w:eastAsia="en-US"/>
        </w:rPr>
        <w:t xml:space="preserve"> 61 trades. This is consistent with the </w:t>
      </w:r>
      <w:r w:rsidR="00714F23" w:rsidRPr="00493B0B">
        <w:rPr>
          <w:lang w:eastAsia="en-US"/>
        </w:rPr>
        <w:t>fact</w:t>
      </w:r>
      <w:r w:rsidRPr="00493B0B">
        <w:rPr>
          <w:lang w:eastAsia="en-US"/>
        </w:rPr>
        <w:t xml:space="preserve"> that most corporate bonds are traded</w:t>
      </w:r>
      <w:r w:rsidR="00AD6D0B" w:rsidRPr="00493B0B">
        <w:rPr>
          <w:lang w:eastAsia="en-US"/>
        </w:rPr>
        <w:t xml:space="preserve"> at low </w:t>
      </w:r>
      <w:r w:rsidR="00714F23" w:rsidRPr="00493B0B">
        <w:rPr>
          <w:lang w:eastAsia="en-US"/>
        </w:rPr>
        <w:t>f</w:t>
      </w:r>
      <w:r w:rsidR="00AD6D0B" w:rsidRPr="00493B0B">
        <w:rPr>
          <w:lang w:eastAsia="en-US"/>
        </w:rPr>
        <w:t>requency</w:t>
      </w:r>
      <w:r w:rsidR="00714F23" w:rsidRPr="00493B0B">
        <w:rPr>
          <w:lang w:eastAsia="en-US"/>
        </w:rPr>
        <w:t xml:space="preserve"> while a small fraction of them are traded fairly frequently (see</w:t>
      </w:r>
      <w:r w:rsidR="0038143A" w:rsidRPr="00493B0B">
        <w:rPr>
          <w:lang w:eastAsia="en-US"/>
        </w:rPr>
        <w:t>, e.g.,</w:t>
      </w:r>
      <w:r w:rsidR="00714F23" w:rsidRPr="00493B0B">
        <w:rPr>
          <w:lang w:eastAsia="en-US"/>
        </w:rPr>
        <w:t xml:space="preserve"> </w:t>
      </w:r>
      <w:r w:rsidR="0038143A" w:rsidRPr="00493B0B">
        <w:rPr>
          <w:lang w:eastAsia="en-US"/>
        </w:rPr>
        <w:t xml:space="preserve">Ronen and </w:t>
      </w:r>
      <w:r w:rsidR="00714F23" w:rsidRPr="00493B0B">
        <w:rPr>
          <w:lang w:eastAsia="en-US"/>
        </w:rPr>
        <w:t>Xing</w:t>
      </w:r>
      <w:r w:rsidR="0038143A" w:rsidRPr="00493B0B">
        <w:rPr>
          <w:lang w:eastAsia="en-US"/>
        </w:rPr>
        <w:t xml:space="preserve"> </w:t>
      </w:r>
      <w:r w:rsidR="00C12B5E" w:rsidRPr="00493B0B">
        <w:rPr>
          <w:lang w:eastAsia="en-US"/>
        </w:rPr>
        <w:t>(</w:t>
      </w:r>
      <w:r w:rsidR="0038143A" w:rsidRPr="00493B0B">
        <w:rPr>
          <w:lang w:eastAsia="en-US"/>
        </w:rPr>
        <w:t>2010</w:t>
      </w:r>
      <w:r w:rsidR="00C12B5E" w:rsidRPr="00493B0B">
        <w:rPr>
          <w:lang w:eastAsia="en-US"/>
        </w:rPr>
        <w:t>)</w:t>
      </w:r>
      <w:r w:rsidR="00714F23" w:rsidRPr="00493B0B">
        <w:rPr>
          <w:lang w:eastAsia="en-US"/>
        </w:rPr>
        <w:t>)</w:t>
      </w:r>
      <w:r w:rsidRPr="00493B0B">
        <w:rPr>
          <w:lang w:eastAsia="en-US"/>
        </w:rPr>
        <w:t xml:space="preserve">. The </w:t>
      </w:r>
      <w:r w:rsidR="0038143A" w:rsidRPr="00493B0B">
        <w:rPr>
          <w:lang w:eastAsia="en-US"/>
        </w:rPr>
        <w:t xml:space="preserve">average trading volume </w:t>
      </w:r>
      <w:r w:rsidR="00C12B5E" w:rsidRPr="00493B0B">
        <w:rPr>
          <w:lang w:eastAsia="en-US"/>
        </w:rPr>
        <w:t xml:space="preserve">in a bond </w:t>
      </w:r>
      <w:r w:rsidR="0038143A" w:rsidRPr="00493B0B">
        <w:rPr>
          <w:lang w:eastAsia="en-US"/>
        </w:rPr>
        <w:t xml:space="preserve">within each quarter </w:t>
      </w:r>
      <w:r w:rsidRPr="00493B0B">
        <w:rPr>
          <w:lang w:eastAsia="en-US"/>
        </w:rPr>
        <w:t xml:space="preserve">is $75.9 </w:t>
      </w:r>
      <w:r w:rsidR="00C12B5E" w:rsidRPr="00493B0B">
        <w:rPr>
          <w:lang w:eastAsia="en-US"/>
        </w:rPr>
        <w:t>million</w:t>
      </w:r>
      <w:r w:rsidRPr="00493B0B">
        <w:rPr>
          <w:lang w:eastAsia="en-US"/>
        </w:rPr>
        <w:t xml:space="preserve">. </w:t>
      </w:r>
    </w:p>
    <w:p w:rsidR="00483126" w:rsidRPr="00493B0B" w:rsidRDefault="0036230C" w:rsidP="003D1BA0">
      <w:pPr>
        <w:spacing w:line="360" w:lineRule="auto"/>
        <w:ind w:firstLine="720"/>
        <w:jc w:val="both"/>
      </w:pPr>
      <w:r w:rsidRPr="00493B0B">
        <w:rPr>
          <w:lang w:eastAsia="en-US"/>
        </w:rPr>
        <w:lastRenderedPageBreak/>
        <w:t>In addition, we a</w:t>
      </w:r>
      <w:r w:rsidR="008833A8" w:rsidRPr="00493B0B">
        <w:rPr>
          <w:lang w:eastAsia="en-US"/>
        </w:rPr>
        <w:t>lso estimate</w:t>
      </w:r>
      <w:r w:rsidR="003032CA" w:rsidRPr="00493B0B">
        <w:rPr>
          <w:lang w:eastAsia="en-US"/>
        </w:rPr>
        <w:t xml:space="preserve"> the</w:t>
      </w:r>
      <w:r w:rsidR="008833A8" w:rsidRPr="00493B0B">
        <w:rPr>
          <w:lang w:eastAsia="en-US"/>
        </w:rPr>
        <w:t xml:space="preserve"> γ </w:t>
      </w:r>
      <w:r w:rsidR="003032CA" w:rsidRPr="00493B0B">
        <w:rPr>
          <w:lang w:eastAsia="en-US"/>
        </w:rPr>
        <w:t xml:space="preserve">measure </w:t>
      </w:r>
      <w:r w:rsidR="008833A8" w:rsidRPr="00493B0B">
        <w:rPr>
          <w:lang w:eastAsia="en-US"/>
        </w:rPr>
        <w:t>(GAMMA)</w:t>
      </w:r>
      <w:r w:rsidRPr="00493B0B">
        <w:rPr>
          <w:lang w:eastAsia="en-US"/>
        </w:rPr>
        <w:t xml:space="preserve"> proposed by Bao, Pan and Wang (2011). </w:t>
      </w:r>
      <w:r w:rsidR="003032CA" w:rsidRPr="00493B0B">
        <w:rPr>
          <w:lang w:eastAsia="en-US"/>
        </w:rPr>
        <w:t>We</w:t>
      </w:r>
      <w:r w:rsidRPr="00493B0B">
        <w:rPr>
          <w:lang w:eastAsia="en-US"/>
        </w:rPr>
        <w:t xml:space="preserve"> calculate the volume-weighted daily price for each bond</w:t>
      </w:r>
      <w:r w:rsidR="003032CA" w:rsidRPr="00493B0B">
        <w:rPr>
          <w:lang w:eastAsia="en-US"/>
        </w:rPr>
        <w:t xml:space="preserve"> and then </w:t>
      </w:r>
      <w:r w:rsidR="0028717F" w:rsidRPr="00493B0B">
        <w:rPr>
          <w:lang w:eastAsia="en-US"/>
        </w:rPr>
        <w:t>estimate GAMMA for each bond/quarter by computing the magnitude of negative auto-covariance in daily price changes within each quarter.</w:t>
      </w:r>
      <w:r w:rsidR="001B47E8">
        <w:rPr>
          <w:lang w:eastAsia="en-US"/>
        </w:rPr>
        <w:t xml:space="preserve"> </w:t>
      </w:r>
      <w:r w:rsidR="004413CE">
        <w:rPr>
          <w:lang w:eastAsia="en-US"/>
        </w:rPr>
        <w:t>This measure is aimed at capturing the transitory price movements in bond prices.</w:t>
      </w:r>
      <w:r w:rsidRPr="00493B0B">
        <w:rPr>
          <w:lang w:eastAsia="en-US"/>
        </w:rPr>
        <w:t xml:space="preserve"> Our last measure is the Amihud illiquidity</w:t>
      </w:r>
      <w:r w:rsidR="008833A8" w:rsidRPr="00493B0B">
        <w:rPr>
          <w:lang w:eastAsia="en-US"/>
        </w:rPr>
        <w:t xml:space="preserve"> </w:t>
      </w:r>
      <w:r w:rsidR="00BE64BD" w:rsidRPr="00493B0B">
        <w:rPr>
          <w:lang w:eastAsia="en-US"/>
        </w:rPr>
        <w:t xml:space="preserve">measure </w:t>
      </w:r>
      <w:r w:rsidR="008833A8" w:rsidRPr="00493B0B">
        <w:rPr>
          <w:lang w:eastAsia="en-US"/>
        </w:rPr>
        <w:t>(AMIHUD)</w:t>
      </w:r>
      <w:r w:rsidRPr="00493B0B">
        <w:rPr>
          <w:lang w:eastAsia="en-US"/>
        </w:rPr>
        <w:t xml:space="preserve">. </w:t>
      </w:r>
      <w:r w:rsidR="00BE64BD" w:rsidRPr="00493B0B">
        <w:t xml:space="preserve">To estimate the Amihud measure </w:t>
      </w:r>
      <w:r w:rsidR="0028717F" w:rsidRPr="00493B0B">
        <w:t>at the</w:t>
      </w:r>
      <w:r w:rsidR="00BE64BD" w:rsidRPr="00493B0B">
        <w:t xml:space="preserve"> bond/quarter</w:t>
      </w:r>
      <w:r w:rsidR="0028717F" w:rsidRPr="00493B0B">
        <w:t xml:space="preserve"> level</w:t>
      </w:r>
      <w:r w:rsidR="00BE64BD" w:rsidRPr="00493B0B">
        <w:t xml:space="preserve">, we </w:t>
      </w:r>
      <w:r w:rsidR="0028717F" w:rsidRPr="00493B0B">
        <w:t xml:space="preserve">first </w:t>
      </w:r>
      <w:r w:rsidR="00BE64BD" w:rsidRPr="00493B0B">
        <w:t>calculate the price impact for each bond/day by dividing the absolute changes in volume-weighted daily prices by daily trade volume, whenever prices for two consecutive trading days are available.  We then average the daily price impact across days within each quarter for each bond to obtain a bond/quarter level estimate.</w:t>
      </w:r>
      <w:r w:rsidR="004413CE">
        <w:t xml:space="preserve">  </w:t>
      </w:r>
    </w:p>
    <w:p w:rsidR="00483126" w:rsidRPr="00493B0B" w:rsidRDefault="008833A8" w:rsidP="003D1BA0">
      <w:pPr>
        <w:spacing w:line="360" w:lineRule="auto"/>
        <w:ind w:firstLine="720"/>
        <w:jc w:val="both"/>
      </w:pPr>
      <w:r w:rsidRPr="00493B0B">
        <w:t xml:space="preserve">Panel D of </w:t>
      </w:r>
      <w:r w:rsidR="00483126" w:rsidRPr="00493B0B">
        <w:t>Table 2 displays the correlation</w:t>
      </w:r>
      <w:r w:rsidRPr="00493B0B">
        <w:t>s</w:t>
      </w:r>
      <w:r w:rsidR="00483126" w:rsidRPr="00493B0B">
        <w:t xml:space="preserve"> between the different measures of liquidity. All correlation coefficients are statistically significant at the 1% level and </w:t>
      </w:r>
      <w:r w:rsidR="00F372E4" w:rsidRPr="00493B0B">
        <w:t xml:space="preserve">have </w:t>
      </w:r>
      <w:r w:rsidR="00483126" w:rsidRPr="00493B0B">
        <w:t xml:space="preserve">the expected sign. </w:t>
      </w:r>
      <w:r w:rsidRPr="00493B0B">
        <w:t>The correlation between GAMMA and AMIHUD is 0.322, lower than the correlations between trade-based measures (viz. ZEROPCT</w:t>
      </w:r>
      <w:r w:rsidR="00DD0391" w:rsidRPr="00493B0B">
        <w:t>, NTRADES and VOLUME</w:t>
      </w:r>
      <w:r w:rsidRPr="00493B0B">
        <w:t>)</w:t>
      </w:r>
      <w:r w:rsidR="00DD0391" w:rsidRPr="00493B0B">
        <w:t>. Their correlations with the trade-based measures are even lower.</w:t>
      </w:r>
      <w:r w:rsidRPr="00493B0B">
        <w:t xml:space="preserve"> </w:t>
      </w:r>
      <w:r w:rsidR="00483126" w:rsidRPr="00493B0B">
        <w:t xml:space="preserve">This is consistent with the fact that liquidity is a multi-dimension concept and different measures </w:t>
      </w:r>
      <w:r w:rsidR="00DD0391" w:rsidRPr="00493B0B">
        <w:t>tend to capture</w:t>
      </w:r>
      <w:r w:rsidR="00483126" w:rsidRPr="00493B0B">
        <w:t xml:space="preserve"> </w:t>
      </w:r>
      <w:r w:rsidR="00F372E4" w:rsidRPr="00493B0B">
        <w:t xml:space="preserve">its </w:t>
      </w:r>
      <w:r w:rsidR="00483126" w:rsidRPr="00493B0B">
        <w:t>different aspects.</w:t>
      </w:r>
    </w:p>
    <w:p w:rsidR="00051F46" w:rsidRPr="00493B0B" w:rsidRDefault="00051F46" w:rsidP="003D1BA0">
      <w:pPr>
        <w:spacing w:line="360" w:lineRule="auto"/>
        <w:jc w:val="both"/>
      </w:pPr>
    </w:p>
    <w:p w:rsidR="00571F71" w:rsidRDefault="00516A79" w:rsidP="003D1BA0">
      <w:pPr>
        <w:spacing w:line="360" w:lineRule="auto"/>
        <w:jc w:val="both"/>
        <w:rPr>
          <w:b/>
        </w:rPr>
      </w:pPr>
      <w:r w:rsidRPr="00493B0B">
        <w:rPr>
          <w:b/>
        </w:rPr>
        <w:t xml:space="preserve">3. </w:t>
      </w:r>
      <w:r w:rsidR="00F740A0" w:rsidRPr="00493B0B">
        <w:rPr>
          <w:b/>
        </w:rPr>
        <w:t xml:space="preserve"> Empirical </w:t>
      </w:r>
      <w:r w:rsidR="00A60098" w:rsidRPr="00493B0B">
        <w:rPr>
          <w:b/>
        </w:rPr>
        <w:t>r</w:t>
      </w:r>
      <w:r w:rsidR="00F740A0" w:rsidRPr="00493B0B">
        <w:rPr>
          <w:b/>
        </w:rPr>
        <w:t xml:space="preserve">esults </w:t>
      </w:r>
    </w:p>
    <w:p w:rsidR="00292FC9" w:rsidRPr="00493B0B" w:rsidRDefault="00292FC9" w:rsidP="003D1BA0">
      <w:pPr>
        <w:spacing w:line="360" w:lineRule="auto"/>
        <w:jc w:val="both"/>
        <w:rPr>
          <w:b/>
        </w:rPr>
      </w:pPr>
    </w:p>
    <w:p w:rsidR="00051F46" w:rsidRPr="00493B0B" w:rsidRDefault="00575C91" w:rsidP="003D1BA0">
      <w:pPr>
        <w:spacing w:line="360" w:lineRule="auto"/>
        <w:jc w:val="both"/>
        <w:rPr>
          <w:i/>
        </w:rPr>
      </w:pPr>
      <w:r w:rsidRPr="00493B0B">
        <w:rPr>
          <w:i/>
        </w:rPr>
        <w:t>3.1</w:t>
      </w:r>
      <w:r w:rsidR="00CC33D2" w:rsidRPr="00493B0B">
        <w:rPr>
          <w:i/>
        </w:rPr>
        <w:t>.</w:t>
      </w:r>
      <w:r w:rsidRPr="00493B0B">
        <w:rPr>
          <w:i/>
        </w:rPr>
        <w:t xml:space="preserve"> Univariate</w:t>
      </w:r>
      <w:r w:rsidR="00CC33D2" w:rsidRPr="00493B0B">
        <w:rPr>
          <w:i/>
        </w:rPr>
        <w:t xml:space="preserve"> </w:t>
      </w:r>
      <w:r w:rsidR="00A60098" w:rsidRPr="00493B0B">
        <w:rPr>
          <w:i/>
        </w:rPr>
        <w:t>t</w:t>
      </w:r>
      <w:r w:rsidR="00CC33D2" w:rsidRPr="00493B0B">
        <w:rPr>
          <w:i/>
        </w:rPr>
        <w:t>ests</w:t>
      </w:r>
    </w:p>
    <w:p w:rsidR="00571F71" w:rsidRPr="00493B0B" w:rsidRDefault="00571F71" w:rsidP="003D1BA0">
      <w:pPr>
        <w:spacing w:line="360" w:lineRule="auto"/>
        <w:jc w:val="both"/>
        <w:rPr>
          <w:i/>
        </w:rPr>
      </w:pPr>
    </w:p>
    <w:p w:rsidR="00E12B5A" w:rsidRPr="00493B0B" w:rsidRDefault="00051F46" w:rsidP="003D1BA0">
      <w:pPr>
        <w:spacing w:line="360" w:lineRule="auto"/>
        <w:jc w:val="both"/>
      </w:pPr>
      <w:r w:rsidRPr="00493B0B">
        <w:t>We begin by</w:t>
      </w:r>
      <w:r w:rsidR="00553E21" w:rsidRPr="00493B0B">
        <w:t xml:space="preserve"> examining univariate evidence </w:t>
      </w:r>
      <w:r w:rsidR="00A60098" w:rsidRPr="00493B0B">
        <w:t xml:space="preserve">on the </w:t>
      </w:r>
      <w:r w:rsidR="00553E21" w:rsidRPr="00493B0B">
        <w:t xml:space="preserve">difference </w:t>
      </w:r>
      <w:r w:rsidR="00A60098" w:rsidRPr="00493B0B">
        <w:t>in</w:t>
      </w:r>
      <w:r w:rsidR="00553E21" w:rsidRPr="00493B0B">
        <w:t xml:space="preserve"> liquidity </w:t>
      </w:r>
      <w:r w:rsidR="00A60098" w:rsidRPr="00493B0B">
        <w:t>between</w:t>
      </w:r>
      <w:r w:rsidR="00553E21" w:rsidRPr="00493B0B">
        <w:t xml:space="preserve"> bonds issued by </w:t>
      </w:r>
      <w:r w:rsidR="00A60098" w:rsidRPr="00493B0B">
        <w:t>more</w:t>
      </w:r>
      <w:r w:rsidR="00553E21" w:rsidRPr="00493B0B">
        <w:t xml:space="preserve"> visible </w:t>
      </w:r>
      <w:r w:rsidR="00A60098" w:rsidRPr="00493B0B">
        <w:t>and</w:t>
      </w:r>
      <w:r w:rsidR="00553E21" w:rsidRPr="00493B0B">
        <w:t xml:space="preserve"> less visible firms. All bond</w:t>
      </w:r>
      <w:r w:rsidR="008C2894" w:rsidRPr="00493B0B">
        <w:t>/</w:t>
      </w:r>
      <w:r w:rsidRPr="00493B0B">
        <w:t xml:space="preserve">quarters </w:t>
      </w:r>
      <w:r w:rsidR="00553E21" w:rsidRPr="00493B0B">
        <w:t xml:space="preserve">are sorted </w:t>
      </w:r>
      <w:r w:rsidRPr="00493B0B">
        <w:t xml:space="preserve">into quartiles </w:t>
      </w:r>
      <w:r w:rsidR="00A60098" w:rsidRPr="00493B0B">
        <w:t xml:space="preserve">according to </w:t>
      </w:r>
      <w:r w:rsidR="002D4B69" w:rsidRPr="00493B0B">
        <w:t xml:space="preserve">firm </w:t>
      </w:r>
      <w:r w:rsidRPr="00493B0B">
        <w:t>vi</w:t>
      </w:r>
      <w:r w:rsidR="002D4B69" w:rsidRPr="00493B0B">
        <w:t>sibility</w:t>
      </w:r>
      <w:r w:rsidR="00C650FD" w:rsidRPr="00493B0B">
        <w:t xml:space="preserve"> and </w:t>
      </w:r>
      <w:r w:rsidR="00553E21" w:rsidRPr="00493B0B">
        <w:t xml:space="preserve">Table 3 reports the mean and median </w:t>
      </w:r>
      <w:r w:rsidR="00A60098" w:rsidRPr="00493B0B">
        <w:t xml:space="preserve">of each quartile under each of the </w:t>
      </w:r>
      <w:r w:rsidR="00553E21" w:rsidRPr="00493B0B">
        <w:t xml:space="preserve">liquidity measures. </w:t>
      </w:r>
      <w:r w:rsidR="00E12B5A" w:rsidRPr="00493B0B">
        <w:t xml:space="preserve">As seen in Panel A, </w:t>
      </w:r>
      <w:r w:rsidR="00CC33D2" w:rsidRPr="00493B0B">
        <w:t>Z</w:t>
      </w:r>
      <w:r w:rsidR="00E12B5A" w:rsidRPr="00493B0B">
        <w:t>ERO</w:t>
      </w:r>
      <w:r w:rsidR="00CC33D2" w:rsidRPr="00493B0B">
        <w:t>PCT</w:t>
      </w:r>
      <w:r w:rsidR="00C650FD" w:rsidRPr="00493B0B">
        <w:t xml:space="preserve"> </w:t>
      </w:r>
      <w:r w:rsidR="00E12B5A" w:rsidRPr="00493B0B">
        <w:t xml:space="preserve">decreases </w:t>
      </w:r>
      <w:r w:rsidR="00A60098" w:rsidRPr="00493B0B">
        <w:t xml:space="preserve">monotonically as visibility increases, regardless of which proxy we use for visibility. Moreover, the </w:t>
      </w:r>
      <w:r w:rsidR="00E12B5A" w:rsidRPr="00493B0B">
        <w:t>difference in mean</w:t>
      </w:r>
      <w:r w:rsidR="00A60098" w:rsidRPr="00493B0B">
        <w:t xml:space="preserve"> or median</w:t>
      </w:r>
      <w:r w:rsidR="00E12B5A" w:rsidRPr="00493B0B">
        <w:t xml:space="preserve"> between the first and the fourth quart</w:t>
      </w:r>
      <w:r w:rsidR="00A60098" w:rsidRPr="00493B0B">
        <w:t>iles</w:t>
      </w:r>
      <w:r w:rsidR="00E12B5A" w:rsidRPr="00493B0B">
        <w:t xml:space="preserve"> is significant at </w:t>
      </w:r>
      <w:r w:rsidR="00A60098" w:rsidRPr="00493B0B">
        <w:t xml:space="preserve">the </w:t>
      </w:r>
      <w:r w:rsidR="00E12B5A" w:rsidRPr="00493B0B">
        <w:t>1% level</w:t>
      </w:r>
      <w:r w:rsidR="00A60098" w:rsidRPr="00493B0B">
        <w:t xml:space="preserve"> for all measures of visibility</w:t>
      </w:r>
      <w:r w:rsidR="00E12B5A" w:rsidRPr="00493B0B">
        <w:t xml:space="preserve">. </w:t>
      </w:r>
    </w:p>
    <w:p w:rsidR="000A019A" w:rsidRPr="00493B0B" w:rsidRDefault="00C650FD" w:rsidP="003D1BA0">
      <w:pPr>
        <w:spacing w:line="360" w:lineRule="auto"/>
        <w:jc w:val="both"/>
      </w:pPr>
      <w:r w:rsidRPr="00493B0B">
        <w:tab/>
      </w:r>
      <w:r w:rsidR="000A019A" w:rsidRPr="00493B0B">
        <w:t>Panel</w:t>
      </w:r>
      <w:r w:rsidR="00E74FBF" w:rsidRPr="00493B0B">
        <w:t>s</w:t>
      </w:r>
      <w:r w:rsidR="000A019A" w:rsidRPr="00493B0B">
        <w:t xml:space="preserve"> B </w:t>
      </w:r>
      <w:r w:rsidR="00E74FBF" w:rsidRPr="00493B0B">
        <w:t xml:space="preserve">and C </w:t>
      </w:r>
      <w:r w:rsidR="000A019A" w:rsidRPr="00493B0B">
        <w:t>report similar result</w:t>
      </w:r>
      <w:r w:rsidR="00E74FBF" w:rsidRPr="00493B0B">
        <w:t>s</w:t>
      </w:r>
      <w:r w:rsidR="000A019A" w:rsidRPr="00493B0B">
        <w:t xml:space="preserve"> for the </w:t>
      </w:r>
      <w:r w:rsidR="00E74FBF" w:rsidRPr="00493B0B">
        <w:t xml:space="preserve">other two trade-based liquidity measures: </w:t>
      </w:r>
      <w:r w:rsidR="000A019A" w:rsidRPr="00493B0B">
        <w:t>NTRADES</w:t>
      </w:r>
      <w:r w:rsidR="00E74FBF" w:rsidRPr="00493B0B">
        <w:t xml:space="preserve"> and VOLUME</w:t>
      </w:r>
      <w:r w:rsidR="000A019A" w:rsidRPr="00493B0B">
        <w:t>.</w:t>
      </w:r>
      <w:r w:rsidR="00E74FBF" w:rsidRPr="00493B0B">
        <w:t xml:space="preserve"> Not only increasing monotonically as visibility increases, bond liquidities are different between the two extreme quartiles at the 1% level.</w:t>
      </w:r>
      <w:r w:rsidR="000A019A" w:rsidRPr="00493B0B">
        <w:t xml:space="preserve"> The difference</w:t>
      </w:r>
      <w:r w:rsidR="00E74FBF" w:rsidRPr="00493B0B">
        <w:t>s</w:t>
      </w:r>
      <w:r w:rsidR="000A019A" w:rsidRPr="00493B0B">
        <w:t xml:space="preserve"> </w:t>
      </w:r>
      <w:r w:rsidR="00E74FBF" w:rsidRPr="00493B0B">
        <w:t>are</w:t>
      </w:r>
      <w:r w:rsidR="000A019A" w:rsidRPr="00493B0B">
        <w:t xml:space="preserve"> also economically </w:t>
      </w:r>
      <w:r w:rsidR="00E74FBF" w:rsidRPr="00493B0B">
        <w:t>significant</w:t>
      </w:r>
      <w:r w:rsidR="000A019A" w:rsidRPr="00493B0B">
        <w:t xml:space="preserve">. </w:t>
      </w:r>
      <w:r w:rsidR="00E74FBF" w:rsidRPr="00493B0B">
        <w:t>For instance,</w:t>
      </w:r>
      <w:r w:rsidR="000A019A" w:rsidRPr="00493B0B">
        <w:t xml:space="preserve"> </w:t>
      </w:r>
      <w:r w:rsidR="008C2894" w:rsidRPr="00493B0B">
        <w:t xml:space="preserve">the average number of trades of </w:t>
      </w:r>
      <w:r w:rsidR="00E74FBF" w:rsidRPr="00493B0B">
        <w:t>t</w:t>
      </w:r>
      <w:r w:rsidR="000A019A" w:rsidRPr="00493B0B">
        <w:t xml:space="preserve">he most visible </w:t>
      </w:r>
      <w:r w:rsidR="000A019A" w:rsidRPr="00493B0B">
        <w:lastRenderedPageBreak/>
        <w:t xml:space="preserve">quartile </w:t>
      </w:r>
      <w:r w:rsidR="00E74FBF" w:rsidRPr="00493B0B">
        <w:t>is</w:t>
      </w:r>
      <w:r w:rsidR="000A019A" w:rsidRPr="00493B0B">
        <w:t xml:space="preserve"> 3 to 5.7 times </w:t>
      </w:r>
      <w:r w:rsidR="00E74FBF" w:rsidRPr="00493B0B">
        <w:t xml:space="preserve">that of </w:t>
      </w:r>
      <w:r w:rsidR="000A019A" w:rsidRPr="00493B0B">
        <w:t>the least visible quartile.</w:t>
      </w:r>
      <w:r w:rsidR="00E74FBF" w:rsidRPr="00493B0B">
        <w:t xml:space="preserve"> The corresponding multiples for the average trading volume are around 3.  </w:t>
      </w:r>
    </w:p>
    <w:p w:rsidR="000A019A" w:rsidRPr="00493B0B" w:rsidRDefault="000A019A" w:rsidP="003D1BA0">
      <w:pPr>
        <w:spacing w:line="360" w:lineRule="auto"/>
        <w:jc w:val="both"/>
      </w:pPr>
      <w:r w:rsidRPr="00493B0B">
        <w:tab/>
      </w:r>
      <w:r w:rsidR="00E74FBF" w:rsidRPr="00493B0B">
        <w:t xml:space="preserve">Finally, </w:t>
      </w:r>
      <w:r w:rsidRPr="00493B0B">
        <w:t>Panel</w:t>
      </w:r>
      <w:r w:rsidR="00E74FBF" w:rsidRPr="00493B0B">
        <w:t>s</w:t>
      </w:r>
      <w:r w:rsidRPr="00493B0B">
        <w:t xml:space="preserve"> </w:t>
      </w:r>
      <w:r w:rsidR="00987DE5" w:rsidRPr="00493B0B">
        <w:t xml:space="preserve">C </w:t>
      </w:r>
      <w:r w:rsidR="00E74FBF" w:rsidRPr="00493B0B">
        <w:t xml:space="preserve">and D </w:t>
      </w:r>
      <w:r w:rsidR="00987DE5" w:rsidRPr="00493B0B">
        <w:t xml:space="preserve">present </w:t>
      </w:r>
      <w:r w:rsidR="00E74FBF" w:rsidRPr="00493B0B">
        <w:t>results for the last two liquidity measures: GAMMA and AMIHUD.</w:t>
      </w:r>
      <w:r w:rsidR="00987DE5" w:rsidRPr="00493B0B">
        <w:t xml:space="preserve"> </w:t>
      </w:r>
      <w:r w:rsidR="001629A9" w:rsidRPr="00493B0B">
        <w:t>Once again, bond liquidity increases with firm visibility. Monotonicity prevails in all cases but one: the AMIHUD measure of liquidity when visibility is measured by the advertising expenditure (XAD).</w:t>
      </w:r>
      <w:r w:rsidR="00987DE5" w:rsidRPr="00493B0B">
        <w:t xml:space="preserve"> </w:t>
      </w:r>
      <w:r w:rsidR="001629A9" w:rsidRPr="00493B0B">
        <w:t xml:space="preserve">Otherwise, the differences in liquidity between </w:t>
      </w:r>
      <w:r w:rsidR="008C2894" w:rsidRPr="00493B0B">
        <w:t xml:space="preserve">extreme </w:t>
      </w:r>
      <w:r w:rsidR="001629A9" w:rsidRPr="00493B0B">
        <w:t xml:space="preserve">quartiles are also significant at the 1% level. Notice that we do not observe multiples (contrasting the extreme quartiles) comparable to the trade-based liquidity measures. This is due to the fact that the last two liquidity measures are much less skewed. </w:t>
      </w:r>
    </w:p>
    <w:p w:rsidR="00AC214E" w:rsidRPr="00493B0B" w:rsidRDefault="00AC214E" w:rsidP="003D1BA0">
      <w:pPr>
        <w:spacing w:line="360" w:lineRule="auto"/>
        <w:jc w:val="both"/>
      </w:pPr>
    </w:p>
    <w:p w:rsidR="00AC214E" w:rsidRPr="00493B0B" w:rsidRDefault="00AC214E" w:rsidP="003D1BA0">
      <w:pPr>
        <w:spacing w:line="360" w:lineRule="auto"/>
        <w:jc w:val="both"/>
        <w:rPr>
          <w:i/>
        </w:rPr>
      </w:pPr>
      <w:r w:rsidRPr="00493B0B">
        <w:rPr>
          <w:i/>
        </w:rPr>
        <w:t xml:space="preserve">3.2. Multivarite </w:t>
      </w:r>
      <w:r w:rsidR="001F0F54">
        <w:rPr>
          <w:i/>
        </w:rPr>
        <w:t>a</w:t>
      </w:r>
      <w:r w:rsidRPr="00493B0B">
        <w:rPr>
          <w:i/>
        </w:rPr>
        <w:t>nalysis</w:t>
      </w:r>
    </w:p>
    <w:p w:rsidR="009D4E7A" w:rsidRPr="00493B0B" w:rsidRDefault="009D4E7A" w:rsidP="003D1BA0">
      <w:pPr>
        <w:spacing w:line="360" w:lineRule="auto"/>
        <w:jc w:val="both"/>
      </w:pPr>
    </w:p>
    <w:p w:rsidR="009D2C94" w:rsidRPr="00493B0B" w:rsidRDefault="007E01D6" w:rsidP="003D1BA0">
      <w:pPr>
        <w:spacing w:line="360" w:lineRule="auto"/>
        <w:jc w:val="both"/>
      </w:pPr>
      <w:r w:rsidRPr="00493B0B">
        <w:t>Alt</w:t>
      </w:r>
      <w:r w:rsidR="00034647" w:rsidRPr="00493B0B">
        <w:t>hough t</w:t>
      </w:r>
      <w:r w:rsidR="00661D06" w:rsidRPr="00493B0B">
        <w:t xml:space="preserve">he univariate analysis </w:t>
      </w:r>
      <w:r w:rsidR="00034647" w:rsidRPr="00493B0B">
        <w:t xml:space="preserve">points to the significant </w:t>
      </w:r>
      <w:r w:rsidR="00AC214E" w:rsidRPr="00493B0B">
        <w:t>impact of visibility on bond liquidity</w:t>
      </w:r>
      <w:r w:rsidRPr="00493B0B">
        <w:t>,</w:t>
      </w:r>
      <w:r w:rsidR="00034647" w:rsidRPr="00493B0B">
        <w:t xml:space="preserve"> it does not control for other </w:t>
      </w:r>
      <w:r w:rsidRPr="00493B0B">
        <w:t xml:space="preserve">liquidity </w:t>
      </w:r>
      <w:r w:rsidR="00034647" w:rsidRPr="00493B0B">
        <w:t>determinants</w:t>
      </w:r>
      <w:r w:rsidR="00AC214E" w:rsidRPr="00493B0B">
        <w:t xml:space="preserve">. </w:t>
      </w:r>
      <w:r w:rsidRPr="00493B0B">
        <w:t xml:space="preserve">To properly assess the impact of visibility amongst all liquidity determinants, we need </w:t>
      </w:r>
      <w:r w:rsidR="00661D06" w:rsidRPr="00493B0B">
        <w:t xml:space="preserve">a multivariate framework. </w:t>
      </w:r>
      <w:r w:rsidRPr="00493B0B">
        <w:t>This is the focus of the current section.</w:t>
      </w:r>
      <w:r w:rsidR="00661D06" w:rsidRPr="00493B0B">
        <w:t xml:space="preserve"> </w:t>
      </w:r>
      <w:r w:rsidRPr="00493B0B">
        <w:t>W</w:t>
      </w:r>
      <w:r w:rsidR="00AC214E" w:rsidRPr="00493B0B">
        <w:t>e estimate the following Fama-MacBeth (1973)</w:t>
      </w:r>
      <w:r w:rsidR="00730482" w:rsidRPr="00493B0B">
        <w:t xml:space="preserve"> </w:t>
      </w:r>
      <w:r w:rsidR="00AC214E" w:rsidRPr="00493B0B">
        <w:t>regression:</w:t>
      </w:r>
    </w:p>
    <w:p w:rsidR="009D2C94" w:rsidRPr="00493B0B" w:rsidRDefault="001F0F54" w:rsidP="009D2C94">
      <w:pPr>
        <w:spacing w:line="360" w:lineRule="auto"/>
        <w:jc w:val="center"/>
      </w:pPr>
      <w:r w:rsidRPr="00493B0B">
        <w:rPr>
          <w:position w:val="-28"/>
        </w:rPr>
        <w:object w:dxaOrig="5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2pt;height:35.3pt" o:ole="">
            <v:imagedata r:id="rId9" o:title=""/>
          </v:shape>
          <o:OLEObject Type="Embed" ProgID="Equation.3" ShapeID="_x0000_i1025" DrawAspect="Content" ObjectID="_1394286188" r:id="rId10"/>
        </w:object>
      </w:r>
      <w:r w:rsidR="00034647" w:rsidRPr="00493B0B">
        <w:rPr>
          <w:position w:val="-28"/>
        </w:rPr>
        <w:t xml:space="preserve">          </w:t>
      </w:r>
      <w:r w:rsidR="009D2C94" w:rsidRPr="00493B0B">
        <w:t>(1)</w:t>
      </w:r>
    </w:p>
    <w:p w:rsidR="006A0B2A" w:rsidRPr="00493B0B" w:rsidRDefault="009D2C94" w:rsidP="003D1BA0">
      <w:pPr>
        <w:spacing w:line="360" w:lineRule="auto"/>
        <w:jc w:val="both"/>
      </w:pPr>
      <w:r w:rsidRPr="00493B0B">
        <w:t xml:space="preserve">The </w:t>
      </w:r>
      <w:r w:rsidR="00730482" w:rsidRPr="00493B0B">
        <w:t>main</w:t>
      </w:r>
      <w:r w:rsidRPr="00493B0B">
        <w:t xml:space="preserve"> explanatory variable is Visibility</w:t>
      </w:r>
      <w:r w:rsidR="00730482" w:rsidRPr="00493B0B">
        <w:t>, measured by firm size (SIZE), advertising expenditure (XAD), the number of institutional owners of the firm’s stock (NEQUITY), and the number of analysts following the firm (NANALYST).</w:t>
      </w:r>
    </w:p>
    <w:p w:rsidR="00686DCF" w:rsidRPr="00493B0B" w:rsidRDefault="00730482" w:rsidP="003D1BA0">
      <w:pPr>
        <w:spacing w:line="360" w:lineRule="auto"/>
        <w:ind w:firstLine="720"/>
        <w:jc w:val="both"/>
      </w:pPr>
      <w:r w:rsidRPr="00493B0B">
        <w:t>Following the literature,</w:t>
      </w:r>
      <w:r w:rsidRPr="00493B0B">
        <w:rPr>
          <w:rStyle w:val="FootnoteReference"/>
        </w:rPr>
        <w:footnoteReference w:id="8"/>
      </w:r>
      <w:r w:rsidRPr="00493B0B">
        <w:t xml:space="preserve"> w</w:t>
      </w:r>
      <w:r w:rsidR="006A0B2A" w:rsidRPr="00493B0B">
        <w:t xml:space="preserve">e include several control variables. </w:t>
      </w:r>
      <w:r w:rsidR="00033831" w:rsidRPr="00493B0B">
        <w:t>First, we include a</w:t>
      </w:r>
      <w:r w:rsidR="006A0B2A" w:rsidRPr="00493B0B">
        <w:t xml:space="preserve"> bond’s </w:t>
      </w:r>
      <w:r w:rsidRPr="00493B0B">
        <w:t>age</w:t>
      </w:r>
      <w:r w:rsidR="006A0B2A" w:rsidRPr="00493B0B">
        <w:t xml:space="preserve"> since issuance (AGE</w:t>
      </w:r>
      <w:r w:rsidR="00033831" w:rsidRPr="00493B0B">
        <w:t>) and the log</w:t>
      </w:r>
      <w:r w:rsidRPr="00493B0B">
        <w:t>arithm</w:t>
      </w:r>
      <w:r w:rsidR="00033831" w:rsidRPr="00493B0B">
        <w:t xml:space="preserve"> of its total amount outstanding (D</w:t>
      </w:r>
      <w:r w:rsidR="006A0B2A" w:rsidRPr="00493B0B">
        <w:t>AMOUNT</w:t>
      </w:r>
      <w:r w:rsidR="00033831" w:rsidRPr="00493B0B">
        <w:t>)</w:t>
      </w:r>
      <w:r w:rsidRPr="00493B0B">
        <w:t>, since</w:t>
      </w:r>
      <w:r w:rsidR="00033831" w:rsidRPr="00493B0B">
        <w:t xml:space="preserve"> Hotchkiss and Jostova (2007) document that issue size and age are the two most important determinants of liquidity.</w:t>
      </w:r>
      <w:r w:rsidR="00D93235" w:rsidRPr="00493B0B">
        <w:t xml:space="preserve"> Time to maturity (TTM) is also included. In addition, w</w:t>
      </w:r>
      <w:r w:rsidR="00033831" w:rsidRPr="00493B0B">
        <w:t xml:space="preserve">e include three dummy variables </w:t>
      </w:r>
      <w:r w:rsidR="00700B47" w:rsidRPr="00493B0B">
        <w:t xml:space="preserve">to reflect a bond’s </w:t>
      </w:r>
      <w:r w:rsidR="00033831" w:rsidRPr="00493B0B">
        <w:t>credit rating. The dummy variable BBB</w:t>
      </w:r>
      <w:r w:rsidR="00116AF8" w:rsidRPr="00493B0B">
        <w:t>D</w:t>
      </w:r>
      <w:r w:rsidR="00033831" w:rsidRPr="00493B0B">
        <w:t xml:space="preserve">um takes the value </w:t>
      </w:r>
      <w:r w:rsidR="001F0F54">
        <w:t xml:space="preserve">of </w:t>
      </w:r>
      <w:r w:rsidR="00033831" w:rsidRPr="00493B0B">
        <w:t xml:space="preserve">one if the credit rating is </w:t>
      </w:r>
      <w:r w:rsidR="00700B47" w:rsidRPr="00493B0B">
        <w:t xml:space="preserve">at </w:t>
      </w:r>
      <w:r w:rsidR="00033831" w:rsidRPr="00493B0B">
        <w:t>BBB</w:t>
      </w:r>
      <w:r w:rsidR="00700B47" w:rsidRPr="00493B0B">
        <w:t xml:space="preserve"> or higher;</w:t>
      </w:r>
      <w:r w:rsidR="00033831" w:rsidRPr="00493B0B">
        <w:t xml:space="preserve"> the dummy variable BaboveDum takes the value </w:t>
      </w:r>
      <w:r w:rsidR="001F0F54">
        <w:t xml:space="preserve">of </w:t>
      </w:r>
      <w:r w:rsidR="00033831" w:rsidRPr="00493B0B">
        <w:t>one if the credit rating is BB or B</w:t>
      </w:r>
      <w:r w:rsidR="00700B47" w:rsidRPr="00493B0B">
        <w:t>;</w:t>
      </w:r>
      <w:r w:rsidR="00033831" w:rsidRPr="00493B0B">
        <w:t xml:space="preserve"> and finally the dummy variable CCCbelowDum takes the value </w:t>
      </w:r>
      <w:r w:rsidR="001F0F54">
        <w:t xml:space="preserve">of </w:t>
      </w:r>
      <w:r w:rsidR="00033831" w:rsidRPr="00493B0B">
        <w:t xml:space="preserve">one if the credit rating is </w:t>
      </w:r>
      <w:r w:rsidR="00700B47" w:rsidRPr="00493B0B">
        <w:t xml:space="preserve">at </w:t>
      </w:r>
      <w:r w:rsidR="00033831" w:rsidRPr="00493B0B">
        <w:t>CCC or lower.</w:t>
      </w:r>
      <w:r w:rsidR="00700B47" w:rsidRPr="00493B0B">
        <w:t xml:space="preserve"> Otherwise all the dummy variables take the </w:t>
      </w:r>
      <w:r w:rsidR="00700B47" w:rsidRPr="00493B0B">
        <w:lastRenderedPageBreak/>
        <w:t>value of zero.</w:t>
      </w:r>
      <w:r w:rsidR="00CA4D34" w:rsidRPr="00493B0B">
        <w:rPr>
          <w:rStyle w:val="FootnoteReference"/>
        </w:rPr>
        <w:footnoteReference w:id="9"/>
      </w:r>
      <w:r w:rsidR="00033831" w:rsidRPr="00493B0B">
        <w:t xml:space="preserve"> We control for the issuer’s industry classification by including two dummy variables for the Finance and Utility industries (FinanceDum and Utility</w:t>
      </w:r>
      <w:r w:rsidR="006A0B2A" w:rsidRPr="00493B0B">
        <w:t>D</w:t>
      </w:r>
      <w:r w:rsidR="00033831" w:rsidRPr="00493B0B">
        <w:t>um). We also include a battery of dummy variables on bond complexity features: embedded call or put option (OptionDum), convertibility (ConvertibleDum), sinking fund provisions (SinkfundDum), variable coupon rates (VarcouponDum), whether the issue is offered to global investors (GlobalDum) and whether the bond has any covenant (CovenantsDum). Lastly, as liquidity in a bond is also affected by firm specific news, we include trade volume (Stkturnover) and absolute abnormal returns (Absstkret) of the issuer</w:t>
      </w:r>
      <w:r w:rsidR="00CA4D34" w:rsidRPr="00493B0B">
        <w:t>’</w:t>
      </w:r>
      <w:r w:rsidR="00033831" w:rsidRPr="00493B0B">
        <w:t>s equity.</w:t>
      </w:r>
      <w:r w:rsidR="00803AAF" w:rsidRPr="00493B0B">
        <w:t xml:space="preserve"> T</w:t>
      </w:r>
      <w:r w:rsidR="009D2C94" w:rsidRPr="00493B0B">
        <w:t xml:space="preserve">he Newey-West procedure </w:t>
      </w:r>
      <w:r w:rsidR="00803AAF" w:rsidRPr="00493B0B">
        <w:t xml:space="preserve">is used </w:t>
      </w:r>
      <w:r w:rsidR="009D2C94" w:rsidRPr="00493B0B">
        <w:t>to adjust the standard errors</w:t>
      </w:r>
      <w:r w:rsidR="00803AAF" w:rsidRPr="00493B0B">
        <w:t>.</w:t>
      </w:r>
      <w:r w:rsidR="009D2C94" w:rsidRPr="00493B0B">
        <w:t xml:space="preserve"> </w:t>
      </w:r>
      <w:r w:rsidR="00803AAF" w:rsidRPr="00493B0B">
        <w:t xml:space="preserve">To conserve space, we report </w:t>
      </w:r>
      <w:r w:rsidR="009D2C94" w:rsidRPr="00493B0B">
        <w:t xml:space="preserve">the </w:t>
      </w:r>
      <w:r w:rsidR="00803AAF" w:rsidRPr="00493B0B">
        <w:t xml:space="preserve">complete </w:t>
      </w:r>
      <w:r w:rsidR="009D2C94" w:rsidRPr="00493B0B">
        <w:t xml:space="preserve">results </w:t>
      </w:r>
      <w:r w:rsidR="00803AAF" w:rsidRPr="00493B0B">
        <w:t xml:space="preserve">for the ZEROPCT liquidity measure </w:t>
      </w:r>
      <w:r w:rsidR="009D2C94" w:rsidRPr="00493B0B">
        <w:t>in Table 4</w:t>
      </w:r>
      <w:r w:rsidR="006B79D2" w:rsidRPr="00493B0B">
        <w:t xml:space="preserve"> </w:t>
      </w:r>
      <w:r w:rsidR="00803AAF" w:rsidRPr="00493B0B">
        <w:t xml:space="preserve">and the </w:t>
      </w:r>
      <w:r w:rsidRPr="00493B0B">
        <w:t xml:space="preserve">partial results for all the other </w:t>
      </w:r>
      <w:r w:rsidR="00803AAF" w:rsidRPr="00493B0B">
        <w:t xml:space="preserve">liquidity </w:t>
      </w:r>
      <w:r w:rsidRPr="00493B0B">
        <w:t xml:space="preserve">measures </w:t>
      </w:r>
      <w:r w:rsidR="00803AAF" w:rsidRPr="00493B0B">
        <w:t>in Table 5</w:t>
      </w:r>
      <w:r w:rsidR="004C2D05" w:rsidRPr="00493B0B">
        <w:t xml:space="preserve"> as robustness checks</w:t>
      </w:r>
      <w:r w:rsidR="00803AAF" w:rsidRPr="00493B0B">
        <w:t>.</w:t>
      </w:r>
      <w:r w:rsidRPr="00493B0B">
        <w:t xml:space="preserve"> </w:t>
      </w:r>
      <w:r w:rsidR="00803AAF" w:rsidRPr="00493B0B">
        <w:tab/>
      </w:r>
    </w:p>
    <w:p w:rsidR="00CA4D34" w:rsidRPr="00493B0B" w:rsidRDefault="00686DCF" w:rsidP="003D1BA0">
      <w:pPr>
        <w:spacing w:line="360" w:lineRule="auto"/>
        <w:ind w:firstLine="720"/>
        <w:jc w:val="both"/>
      </w:pPr>
      <w:r w:rsidRPr="00493B0B">
        <w:t>As seen in Table 4, when liquidity is measured by ZEROPCT, v</w:t>
      </w:r>
      <w:r w:rsidR="00873449" w:rsidRPr="00493B0B">
        <w:t>isibility exhibits significant impact on the liquidity of the issuer’s bonds even after controlling for other liquidity determinants. The coefficients for all visibility measures are negative and significant at the 1% level</w:t>
      </w:r>
      <w:r w:rsidRPr="00493B0B">
        <w:t>,</w:t>
      </w:r>
      <w:r w:rsidR="00873449" w:rsidRPr="00493B0B">
        <w:t xml:space="preserve"> </w:t>
      </w:r>
      <w:r w:rsidRPr="00493B0B">
        <w:t>confirming</w:t>
      </w:r>
      <w:r w:rsidR="00873449" w:rsidRPr="00493B0B">
        <w:t xml:space="preserve"> the positive relationship between visibility and liquidity. Further, the effect of firm visibility is also economically significant. </w:t>
      </w:r>
      <w:r w:rsidR="00D54DDA" w:rsidRPr="00493B0B">
        <w:t>An increase in firm size from the first to the third quartile is associated with a</w:t>
      </w:r>
      <w:r w:rsidR="00194B75" w:rsidRPr="00493B0B">
        <w:t>n</w:t>
      </w:r>
      <w:r w:rsidR="00D54DDA" w:rsidRPr="00493B0B">
        <w:t xml:space="preserve"> 18.4% decrease in </w:t>
      </w:r>
      <w:r w:rsidR="0028717F" w:rsidRPr="00493B0B">
        <w:t xml:space="preserve">ZEROPCT </w:t>
      </w:r>
      <w:r w:rsidR="00D54DDA" w:rsidRPr="00493B0B">
        <w:t>from it</w:t>
      </w:r>
      <w:r w:rsidR="001F0F54">
        <w:t>s</w:t>
      </w:r>
      <w:r w:rsidR="00D54DDA" w:rsidRPr="00493B0B">
        <w:t xml:space="preserve"> mean</w:t>
      </w:r>
      <w:r w:rsidR="00873449" w:rsidRPr="00493B0B">
        <w:t xml:space="preserve"> (see Column </w:t>
      </w:r>
      <w:r w:rsidR="006B79D2" w:rsidRPr="00493B0B">
        <w:t>1</w:t>
      </w:r>
      <w:r w:rsidR="00873449" w:rsidRPr="00493B0B">
        <w:t>)</w:t>
      </w:r>
      <w:r w:rsidR="00D54DDA" w:rsidRPr="00493B0B">
        <w:t>.</w:t>
      </w:r>
      <w:r w:rsidR="00D54DDA" w:rsidRPr="00493B0B">
        <w:rPr>
          <w:rStyle w:val="FootnoteReference"/>
        </w:rPr>
        <w:footnoteReference w:id="10"/>
      </w:r>
      <w:r w:rsidR="00D54DDA" w:rsidRPr="00493B0B">
        <w:t xml:space="preserve"> </w:t>
      </w:r>
      <w:r w:rsidR="00873449" w:rsidRPr="00493B0B">
        <w:t xml:space="preserve">Similar effects are observed </w:t>
      </w:r>
      <w:r w:rsidR="00D54DDA" w:rsidRPr="00493B0B">
        <w:t xml:space="preserve">when </w:t>
      </w:r>
      <w:r w:rsidR="00873449" w:rsidRPr="00493B0B">
        <w:t>using</w:t>
      </w:r>
      <w:r w:rsidR="00D54DDA" w:rsidRPr="00493B0B">
        <w:t xml:space="preserve"> </w:t>
      </w:r>
      <w:r w:rsidR="00873449" w:rsidRPr="00493B0B">
        <w:t xml:space="preserve">XAD </w:t>
      </w:r>
      <w:r w:rsidR="006B79D2" w:rsidRPr="00493B0B">
        <w:t xml:space="preserve"> (NEQUITY)</w:t>
      </w:r>
      <w:r w:rsidR="00D54DDA" w:rsidRPr="00493B0B">
        <w:t xml:space="preserve"> </w:t>
      </w:r>
      <w:r w:rsidR="00873449" w:rsidRPr="00493B0B">
        <w:t xml:space="preserve">to measure </w:t>
      </w:r>
      <w:r w:rsidR="00D54DDA" w:rsidRPr="00493B0B">
        <w:t>firm visibility</w:t>
      </w:r>
      <w:r w:rsidR="00873449" w:rsidRPr="00493B0B">
        <w:t xml:space="preserve">. </w:t>
      </w:r>
      <w:r w:rsidR="00D54DDA" w:rsidRPr="00493B0B">
        <w:t xml:space="preserve">A move from the first to the third quartile of </w:t>
      </w:r>
      <w:r w:rsidR="00873449" w:rsidRPr="00493B0B">
        <w:t>XAD</w:t>
      </w:r>
      <w:r w:rsidR="006B79D2" w:rsidRPr="00493B0B">
        <w:t xml:space="preserve"> (NEQUITY)</w:t>
      </w:r>
      <w:r w:rsidR="00D54DDA" w:rsidRPr="00493B0B">
        <w:t xml:space="preserve"> is associated with a 16.3%</w:t>
      </w:r>
      <w:r w:rsidR="006B79D2" w:rsidRPr="00493B0B">
        <w:t xml:space="preserve"> (</w:t>
      </w:r>
      <w:r w:rsidR="00873449" w:rsidRPr="00493B0B">
        <w:t>15.6%</w:t>
      </w:r>
      <w:r w:rsidR="006B79D2" w:rsidRPr="00493B0B">
        <w:t xml:space="preserve">) </w:t>
      </w:r>
      <w:r w:rsidR="00D54DDA" w:rsidRPr="00493B0B">
        <w:t xml:space="preserve">decrease in </w:t>
      </w:r>
      <w:r w:rsidR="00DB1425" w:rsidRPr="00493B0B">
        <w:t>ZEROPCT</w:t>
      </w:r>
      <w:r w:rsidR="00873449" w:rsidRPr="00493B0B">
        <w:t xml:space="preserve"> from its mean. </w:t>
      </w:r>
      <w:r w:rsidR="00D54DDA" w:rsidRPr="00493B0B">
        <w:t xml:space="preserve">The economic significance </w:t>
      </w:r>
      <w:r w:rsidR="001F0F54">
        <w:t xml:space="preserve">is lower </w:t>
      </w:r>
      <w:r w:rsidR="00D54DDA" w:rsidRPr="00493B0B">
        <w:t>w</w:t>
      </w:r>
      <w:r w:rsidR="006B79D2" w:rsidRPr="00493B0B">
        <w:t>hen we use NANALYST as the vis</w:t>
      </w:r>
      <w:r w:rsidR="00CA4D34" w:rsidRPr="00493B0B">
        <w:t>ibility measure</w:t>
      </w:r>
      <w:r w:rsidR="006B79D2" w:rsidRPr="00493B0B">
        <w:t>. A</w:t>
      </w:r>
      <w:r w:rsidR="00D54DDA" w:rsidRPr="00493B0B">
        <w:t>n increase i</w:t>
      </w:r>
      <w:r w:rsidR="0028717F" w:rsidRPr="00493B0B">
        <w:t>n</w:t>
      </w:r>
      <w:r w:rsidR="001F0F54">
        <w:t xml:space="preserve"> analyst coverage</w:t>
      </w:r>
      <w:r w:rsidR="0028717F" w:rsidRPr="00493B0B">
        <w:t xml:space="preserve"> </w:t>
      </w:r>
      <w:r w:rsidR="001F0F54">
        <w:t>(</w:t>
      </w:r>
      <w:r w:rsidR="00116AF8" w:rsidRPr="00493B0B">
        <w:t>NANALYST</w:t>
      </w:r>
      <w:r w:rsidR="001F0F54">
        <w:t>)</w:t>
      </w:r>
      <w:r w:rsidR="00D54DDA" w:rsidRPr="00493B0B">
        <w:t xml:space="preserve"> from the first to the third quartile </w:t>
      </w:r>
      <w:r w:rsidR="006B79D2" w:rsidRPr="00493B0B">
        <w:t xml:space="preserve">is </w:t>
      </w:r>
      <w:r w:rsidR="00D54DDA" w:rsidRPr="00493B0B">
        <w:t xml:space="preserve">associated with a 6% decrease in </w:t>
      </w:r>
      <w:r w:rsidR="00CA4D34" w:rsidRPr="00493B0B">
        <w:t>Z</w:t>
      </w:r>
      <w:r w:rsidR="006B79D2" w:rsidRPr="00493B0B">
        <w:t>ERO</w:t>
      </w:r>
      <w:r w:rsidR="00CA4D34" w:rsidRPr="00493B0B">
        <w:t>PCT.</w:t>
      </w:r>
    </w:p>
    <w:p w:rsidR="0042285D" w:rsidRPr="00493B0B" w:rsidRDefault="00D54DDA" w:rsidP="003D1BA0">
      <w:pPr>
        <w:spacing w:line="360" w:lineRule="auto"/>
        <w:ind w:firstLine="720"/>
        <w:jc w:val="both"/>
      </w:pPr>
      <w:r w:rsidRPr="00493B0B">
        <w:t xml:space="preserve">  </w:t>
      </w:r>
      <w:r w:rsidR="00CA4D34" w:rsidRPr="00493B0B">
        <w:t xml:space="preserve">The estimates of the </w:t>
      </w:r>
      <w:r w:rsidR="007530D0" w:rsidRPr="00493B0B">
        <w:t xml:space="preserve">coefficients of other </w:t>
      </w:r>
      <w:r w:rsidR="00CA4D34" w:rsidRPr="00493B0B">
        <w:t xml:space="preserve">control variables are </w:t>
      </w:r>
      <w:r w:rsidR="007530D0" w:rsidRPr="00493B0B">
        <w:t xml:space="preserve">generally consistent with previous studies. For example, the coefficient for age is positive while that for the total amount outstanding is negative, consistent with </w:t>
      </w:r>
      <w:r w:rsidR="0071799B" w:rsidRPr="00493B0B">
        <w:t xml:space="preserve">the fact </w:t>
      </w:r>
      <w:r w:rsidR="007530D0" w:rsidRPr="00493B0B">
        <w:t xml:space="preserve">that seasoned and small bond issues tend to be less liquid. </w:t>
      </w:r>
      <w:r w:rsidR="00B67F9A" w:rsidRPr="00493B0B">
        <w:t>We find that long-term bonds tend to be less liquid. However, l</w:t>
      </w:r>
      <w:r w:rsidR="00E11B67" w:rsidRPr="00493B0B">
        <w:t>iquidity is not necessarily lower for lower</w:t>
      </w:r>
      <w:r w:rsidR="007D52C8">
        <w:t>-</w:t>
      </w:r>
      <w:r w:rsidR="00E11B67" w:rsidRPr="00493B0B">
        <w:t>rated</w:t>
      </w:r>
      <w:r w:rsidR="00B67F9A" w:rsidRPr="00493B0B">
        <w:t xml:space="preserve"> bonds. In addition, liquidity is higher for convertible bonds and </w:t>
      </w:r>
      <w:r w:rsidR="00B67F9A" w:rsidRPr="00493B0B">
        <w:lastRenderedPageBreak/>
        <w:t xml:space="preserve">bonds offered to global investors, but lower for bonds with variable coupon rates. </w:t>
      </w:r>
      <w:r w:rsidR="001C7B81" w:rsidRPr="00493B0B">
        <w:t>Further</w:t>
      </w:r>
      <w:r w:rsidR="0071799B" w:rsidRPr="00493B0B">
        <w:t>more</w:t>
      </w:r>
      <w:r w:rsidR="001C7B81" w:rsidRPr="00493B0B">
        <w:t xml:space="preserve">, </w:t>
      </w:r>
      <w:r w:rsidR="00B67F9A" w:rsidRPr="00493B0B">
        <w:t>bond liquidity is positively related to the issuer’s equity liquidity and returns.</w:t>
      </w:r>
      <w:r w:rsidR="001C7B81" w:rsidRPr="00493B0B">
        <w:t xml:space="preserve"> Finally, whether a bond has</w:t>
      </w:r>
      <w:r w:rsidR="00BF4937" w:rsidRPr="00493B0B">
        <w:t xml:space="preserve"> sinking fund provisions and covenants</w:t>
      </w:r>
      <w:r w:rsidR="0071799B" w:rsidRPr="00493B0B">
        <w:t xml:space="preserve"> does not seem to have strong impact on liquidity</w:t>
      </w:r>
      <w:r w:rsidR="00BF4937" w:rsidRPr="00493B0B">
        <w:t xml:space="preserve">,  </w:t>
      </w:r>
      <w:r w:rsidR="0071799B" w:rsidRPr="00493B0B">
        <w:t xml:space="preserve">nor does </w:t>
      </w:r>
      <w:r w:rsidR="00BF4937" w:rsidRPr="00493B0B">
        <w:t>a bond’s industry classification.</w:t>
      </w:r>
    </w:p>
    <w:p w:rsidR="00CA4D34" w:rsidRPr="00493B0B" w:rsidRDefault="00CA4D34" w:rsidP="003D1BA0">
      <w:pPr>
        <w:spacing w:line="360" w:lineRule="auto"/>
        <w:ind w:firstLine="720"/>
        <w:jc w:val="both"/>
      </w:pPr>
    </w:p>
    <w:p w:rsidR="00F8656C" w:rsidRPr="00493B0B" w:rsidRDefault="00F8656C" w:rsidP="003D1BA0">
      <w:pPr>
        <w:spacing w:line="360" w:lineRule="auto"/>
        <w:jc w:val="both"/>
        <w:rPr>
          <w:i/>
        </w:rPr>
      </w:pPr>
      <w:r w:rsidRPr="00493B0B">
        <w:rPr>
          <w:i/>
        </w:rPr>
        <w:t xml:space="preserve">3.3 Robustness </w:t>
      </w:r>
      <w:r w:rsidR="007D52C8">
        <w:rPr>
          <w:i/>
        </w:rPr>
        <w:t>c</w:t>
      </w:r>
      <w:r w:rsidRPr="00493B0B">
        <w:rPr>
          <w:i/>
        </w:rPr>
        <w:t>hecks</w:t>
      </w:r>
    </w:p>
    <w:p w:rsidR="00F8656C" w:rsidRPr="00493B0B" w:rsidRDefault="00F8656C" w:rsidP="003D1BA0">
      <w:pPr>
        <w:spacing w:line="360" w:lineRule="auto"/>
        <w:jc w:val="both"/>
      </w:pPr>
    </w:p>
    <w:p w:rsidR="00F8656C" w:rsidRPr="00493B0B" w:rsidRDefault="00F8656C" w:rsidP="003D1BA0">
      <w:pPr>
        <w:spacing w:line="360" w:lineRule="auto"/>
        <w:jc w:val="both"/>
      </w:pPr>
      <w:r w:rsidRPr="00493B0B">
        <w:t xml:space="preserve">In this section, we conduct a number of robustness </w:t>
      </w:r>
      <w:r w:rsidR="004C2D05" w:rsidRPr="00493B0B">
        <w:t>checks</w:t>
      </w:r>
      <w:r w:rsidRPr="00493B0B">
        <w:t xml:space="preserve">. First, we re-estimate model (1) using other measures of liquidity and the results are presented in Table 5. Estimates on the control variables are </w:t>
      </w:r>
      <w:r w:rsidR="004C2D05" w:rsidRPr="00493B0B">
        <w:t>omitted</w:t>
      </w:r>
      <w:r w:rsidRPr="00493B0B">
        <w:t xml:space="preserve"> for brevity.</w:t>
      </w:r>
      <w:r w:rsidR="008228A9" w:rsidRPr="00493B0B">
        <w:t xml:space="preserve">  </w:t>
      </w:r>
      <w:r w:rsidRPr="00493B0B">
        <w:t xml:space="preserve">We continue to find </w:t>
      </w:r>
      <w:r w:rsidR="008228A9" w:rsidRPr="00493B0B">
        <w:t xml:space="preserve">significant </w:t>
      </w:r>
      <w:r w:rsidRPr="00493B0B">
        <w:t xml:space="preserve">evidence that bonds issued by visible firms tend to be more liquid. Regardless of which visibility measure is used, the </w:t>
      </w:r>
      <w:r w:rsidR="004C2D05" w:rsidRPr="00493B0B">
        <w:t xml:space="preserve">visibility </w:t>
      </w:r>
      <w:r w:rsidRPr="00493B0B">
        <w:t xml:space="preserve">coefficient </w:t>
      </w:r>
      <w:r w:rsidR="004C2D05" w:rsidRPr="00493B0B">
        <w:t xml:space="preserve">is </w:t>
      </w:r>
      <w:r w:rsidRPr="00493B0B">
        <w:t xml:space="preserve">positive and significant at </w:t>
      </w:r>
      <w:r w:rsidR="004C2D05" w:rsidRPr="00493B0B">
        <w:t xml:space="preserve">the </w:t>
      </w:r>
      <w:r w:rsidRPr="00493B0B">
        <w:t>1% level when N</w:t>
      </w:r>
      <w:r w:rsidR="008228A9" w:rsidRPr="00493B0B">
        <w:t xml:space="preserve">TRADES </w:t>
      </w:r>
      <w:r w:rsidR="007D52C8">
        <w:t>or</w:t>
      </w:r>
      <w:r w:rsidR="008228A9" w:rsidRPr="00493B0B">
        <w:t xml:space="preserve"> VOLUME </w:t>
      </w:r>
      <w:r w:rsidR="007D52C8">
        <w:t>is</w:t>
      </w:r>
      <w:r w:rsidRPr="00493B0B">
        <w:t xml:space="preserve"> used to measure bond liquidity (see Panels A and B). </w:t>
      </w:r>
      <w:r w:rsidR="004C2D05" w:rsidRPr="00493B0B">
        <w:t>When GAMMA and AMIHUD are used to measure liquidity,</w:t>
      </w:r>
      <w:r w:rsidRPr="00493B0B">
        <w:t xml:space="preserve"> </w:t>
      </w:r>
      <w:r w:rsidR="004C2D05" w:rsidRPr="00493B0B">
        <w:t>t</w:t>
      </w:r>
      <w:r w:rsidRPr="00493B0B">
        <w:t xml:space="preserve">he </w:t>
      </w:r>
      <w:r w:rsidR="004C2D05" w:rsidRPr="00493B0B">
        <w:t xml:space="preserve">visibility </w:t>
      </w:r>
      <w:r w:rsidRPr="00493B0B">
        <w:t xml:space="preserve">coefficient </w:t>
      </w:r>
      <w:r w:rsidR="004C2D05" w:rsidRPr="00493B0B">
        <w:t>is</w:t>
      </w:r>
      <w:r w:rsidRPr="00493B0B">
        <w:t xml:space="preserve"> negative and significant</w:t>
      </w:r>
      <w:r w:rsidR="008228A9" w:rsidRPr="00493B0B">
        <w:t xml:space="preserve">. The </w:t>
      </w:r>
      <w:r w:rsidR="004C2D05" w:rsidRPr="00493B0B">
        <w:t xml:space="preserve">only </w:t>
      </w:r>
      <w:r w:rsidR="008228A9" w:rsidRPr="00493B0B">
        <w:t xml:space="preserve">exception is </w:t>
      </w:r>
      <w:r w:rsidR="004C2D05" w:rsidRPr="00493B0B">
        <w:t>with the XAD</w:t>
      </w:r>
      <w:r w:rsidR="007D52C8">
        <w:t>/</w:t>
      </w:r>
      <w:r w:rsidR="004C2D05" w:rsidRPr="00493B0B">
        <w:t>AMIHUD combination as shown in Panel D</w:t>
      </w:r>
      <w:r w:rsidRPr="00493B0B">
        <w:t>.</w:t>
      </w:r>
      <w:r w:rsidRPr="00493B0B">
        <w:rPr>
          <w:rStyle w:val="FootnoteReference"/>
        </w:rPr>
        <w:footnoteReference w:id="11"/>
      </w:r>
      <w:r w:rsidRPr="00493B0B">
        <w:t xml:space="preserve"> Overall, our results are robust to the use of different measures of liquidity and visibility.</w:t>
      </w:r>
    </w:p>
    <w:p w:rsidR="00F8656C" w:rsidRPr="00493B0B" w:rsidRDefault="00F8656C" w:rsidP="003D1BA0">
      <w:pPr>
        <w:spacing w:line="360" w:lineRule="auto"/>
        <w:ind w:firstLine="720"/>
        <w:jc w:val="both"/>
      </w:pPr>
      <w:r w:rsidRPr="00493B0B">
        <w:t xml:space="preserve">Second, to control for </w:t>
      </w:r>
      <w:r w:rsidR="007D52C8">
        <w:t xml:space="preserve">the </w:t>
      </w:r>
      <w:r w:rsidRPr="00493B0B">
        <w:t>potential influence of time varying factors on bond liquidity, we re-estimate mode</w:t>
      </w:r>
      <w:r w:rsidR="00BE64BD" w:rsidRPr="00493B0B">
        <w:t xml:space="preserve">l (1) using </w:t>
      </w:r>
      <w:r w:rsidR="007D52C8">
        <w:t xml:space="preserve">a </w:t>
      </w:r>
      <w:r w:rsidR="00BE64BD" w:rsidRPr="00493B0B">
        <w:t xml:space="preserve">pooled regression. </w:t>
      </w:r>
      <w:r w:rsidRPr="00493B0B">
        <w:t>In addition to the control variables on bond and firm characteristics, we also include variables on general market and macroeconomic conditions. Shocks to the equity market, estimated by the absolute value of the return on the S&amp;P 500 index (AbsSP500ret), is used to measure the general market condition. This variable captures the potential investment flows and the dynamics of liquidity across the stock and bond markets. Moody’s corporate credit spreads between Baa and Aaa bonds (BAA_AAA) is used to measure the general bond market liquidity since the demand for higher quality bonds increases relative to the lower quality bonds during illiquid periods. In addition, we include the absolute value of the return on 10-year Treasury bonds (AbsT10Yret) to capture the potential impact of shocks to long-term interest rates on the trading of corporate bonds. Since our sample includes multiple bonds by the same issuer over multiple periods, we correct the standard errors following Thomson (2009) to account for potential correlations across bonds and over time.</w:t>
      </w:r>
      <w:r w:rsidR="001E777C" w:rsidRPr="00493B0B">
        <w:t xml:space="preserve"> Table 6</w:t>
      </w:r>
      <w:r w:rsidRPr="00493B0B">
        <w:t xml:space="preserve"> shows </w:t>
      </w:r>
      <w:r w:rsidRPr="00493B0B">
        <w:lastRenderedPageBreak/>
        <w:t>that the coefficients for all visibility measures remain negative and highly significant. In sum, our results are robust to this alternative specification.</w:t>
      </w:r>
    </w:p>
    <w:p w:rsidR="00F8656C" w:rsidRPr="00493B0B" w:rsidRDefault="00F8656C" w:rsidP="003D1BA0">
      <w:pPr>
        <w:spacing w:line="360" w:lineRule="auto"/>
        <w:ind w:firstLine="720"/>
        <w:jc w:val="both"/>
      </w:pPr>
      <w:r w:rsidRPr="00493B0B">
        <w:t xml:space="preserve">Lastly, </w:t>
      </w:r>
      <w:r w:rsidR="007D52C8">
        <w:t xml:space="preserve">based on the finding </w:t>
      </w:r>
      <w:r w:rsidR="003744B0">
        <w:t xml:space="preserve">that liquidity </w:t>
      </w:r>
      <w:r w:rsidR="007D52C8" w:rsidRPr="00493B0B">
        <w:t>determin</w:t>
      </w:r>
      <w:r w:rsidR="003744B0">
        <w:t xml:space="preserve">ants affect </w:t>
      </w:r>
      <w:r w:rsidR="007D52C8" w:rsidRPr="00493B0B">
        <w:t>high-yield and investment-grade bonds</w:t>
      </w:r>
      <w:r w:rsidR="003744B0">
        <w:t xml:space="preserve"> differently (</w:t>
      </w:r>
      <w:r w:rsidR="003744B0" w:rsidRPr="00493B0B">
        <w:t>Hotc</w:t>
      </w:r>
      <w:r w:rsidR="003744B0">
        <w:t xml:space="preserve">hkiss and Jostova (2007)), </w:t>
      </w:r>
      <w:r w:rsidRPr="00493B0B">
        <w:t xml:space="preserve">we examine whether the effect of visibility differs across credit rating </w:t>
      </w:r>
      <w:r w:rsidR="003744B0">
        <w:t>groups</w:t>
      </w:r>
      <w:r w:rsidRPr="00493B0B">
        <w:t xml:space="preserve"> by re-estimating model (1) separately </w:t>
      </w:r>
      <w:r w:rsidR="003744B0">
        <w:t xml:space="preserve">for bonds in these two rating categories. </w:t>
      </w:r>
      <w:r w:rsidRPr="00493B0B">
        <w:t xml:space="preserve">As shown in Table </w:t>
      </w:r>
      <w:r w:rsidR="001E777C" w:rsidRPr="00493B0B">
        <w:t>7</w:t>
      </w:r>
      <w:r w:rsidRPr="00493B0B">
        <w:t>, visibility is important for both subsamples of bonds. Panel A shows that the coefficients for visibility measures are all negative and significant at the 1% level for investment-grade bonds. Similar effect is documented for high-yield bonds in Panel B. All measures of visibility, with the exception of XAD, are negative a</w:t>
      </w:r>
      <w:r w:rsidR="00BE64BD" w:rsidRPr="00493B0B">
        <w:t>nd significant at the 1% level.</w:t>
      </w:r>
      <w:r w:rsidRPr="00493B0B">
        <w:t xml:space="preserve"> </w:t>
      </w:r>
      <w:r w:rsidR="003744B0">
        <w:t>the c</w:t>
      </w:r>
      <w:r w:rsidRPr="00493B0B">
        <w:t xml:space="preserve">oefficient of XAD is significant at the 10% level.  </w:t>
      </w:r>
    </w:p>
    <w:p w:rsidR="00516A79" w:rsidRPr="00493B0B" w:rsidRDefault="00516A79" w:rsidP="003D1BA0">
      <w:pPr>
        <w:spacing w:line="360" w:lineRule="auto"/>
        <w:jc w:val="both"/>
      </w:pPr>
    </w:p>
    <w:p w:rsidR="00867646" w:rsidRPr="00493B0B" w:rsidRDefault="00867646" w:rsidP="003D1BA0">
      <w:pPr>
        <w:spacing w:line="360" w:lineRule="auto"/>
        <w:jc w:val="both"/>
        <w:rPr>
          <w:i/>
        </w:rPr>
      </w:pPr>
      <w:r w:rsidRPr="00493B0B">
        <w:rPr>
          <w:i/>
        </w:rPr>
        <w:t xml:space="preserve">3.4. Visibility in the </w:t>
      </w:r>
      <w:r w:rsidR="003744B0">
        <w:rPr>
          <w:i/>
        </w:rPr>
        <w:t>b</w:t>
      </w:r>
      <w:r w:rsidRPr="00493B0B">
        <w:rPr>
          <w:i/>
        </w:rPr>
        <w:t xml:space="preserve">ond </w:t>
      </w:r>
      <w:r w:rsidR="003744B0">
        <w:rPr>
          <w:i/>
        </w:rPr>
        <w:t>m</w:t>
      </w:r>
      <w:r w:rsidRPr="00493B0B">
        <w:rPr>
          <w:i/>
        </w:rPr>
        <w:t>arkets</w:t>
      </w:r>
    </w:p>
    <w:p w:rsidR="00867646" w:rsidRPr="00493B0B" w:rsidRDefault="00867646" w:rsidP="003D1BA0">
      <w:pPr>
        <w:spacing w:line="360" w:lineRule="auto"/>
        <w:jc w:val="both"/>
      </w:pPr>
    </w:p>
    <w:p w:rsidR="00867646" w:rsidRPr="00493B0B" w:rsidRDefault="00867646" w:rsidP="00D14A8C">
      <w:pPr>
        <w:spacing w:line="360" w:lineRule="auto"/>
        <w:jc w:val="both"/>
      </w:pPr>
      <w:r w:rsidRPr="00493B0B">
        <w:t xml:space="preserve">In this section, we develop </w:t>
      </w:r>
      <w:r w:rsidR="00D14A8C">
        <w:t>a direct measure of bond market visibility and then</w:t>
      </w:r>
      <w:r w:rsidRPr="00493B0B">
        <w:t xml:space="preserve"> explore </w:t>
      </w:r>
      <w:r w:rsidR="00D14A8C">
        <w:t>its impact on bond liquidity</w:t>
      </w:r>
      <w:r w:rsidR="00BE64BD" w:rsidRPr="00493B0B">
        <w:t xml:space="preserve">. </w:t>
      </w:r>
      <w:r w:rsidRPr="00493B0B">
        <w:t xml:space="preserve">It is quite likely that over and above </w:t>
      </w:r>
      <w:r w:rsidR="00D14A8C">
        <w:t xml:space="preserve">the </w:t>
      </w:r>
      <w:r w:rsidRPr="00493B0B">
        <w:t>firm and equity</w:t>
      </w:r>
      <w:r w:rsidR="003800FF">
        <w:t>-</w:t>
      </w:r>
      <w:r w:rsidRPr="00493B0B">
        <w:t xml:space="preserve">market visibility, </w:t>
      </w:r>
      <w:r w:rsidR="003800FF">
        <w:t>the specific bond-</w:t>
      </w:r>
      <w:r w:rsidR="00D14A8C">
        <w:t xml:space="preserve">market </w:t>
      </w:r>
      <w:r w:rsidRPr="00493B0B">
        <w:t xml:space="preserve">visibility is </w:t>
      </w:r>
      <w:r w:rsidR="003800FF">
        <w:t xml:space="preserve">also </w:t>
      </w:r>
      <w:r w:rsidRPr="00493B0B">
        <w:t>im</w:t>
      </w:r>
      <w:r w:rsidR="00BE64BD" w:rsidRPr="00493B0B">
        <w:t xml:space="preserve">portant for bond liquidity. </w:t>
      </w:r>
      <w:r w:rsidRPr="00493B0B">
        <w:t>Consistent with the measure of visibility in the equity market, i.e., the number of institutions that hold the firm’s equity, we use the number of institutions holding the firm’s bond</w:t>
      </w:r>
      <w:r w:rsidR="00CC2C00">
        <w:t>s</w:t>
      </w:r>
      <w:r w:rsidRPr="00493B0B">
        <w:t xml:space="preserve"> as a measure of bond visibility. </w:t>
      </w:r>
    </w:p>
    <w:p w:rsidR="00867646" w:rsidRPr="00493B0B" w:rsidRDefault="00867646" w:rsidP="003D1BA0">
      <w:pPr>
        <w:spacing w:line="360" w:lineRule="auto"/>
        <w:jc w:val="both"/>
      </w:pPr>
      <w:r w:rsidRPr="00493B0B">
        <w:tab/>
        <w:t xml:space="preserve">We obtain bond holdings </w:t>
      </w:r>
      <w:r w:rsidR="003800FF">
        <w:t>by</w:t>
      </w:r>
      <w:r w:rsidRPr="00493B0B">
        <w:t xml:space="preserve"> institutions from the Lipper eMAXX databas</w:t>
      </w:r>
      <w:r w:rsidR="00BE64BD" w:rsidRPr="00493B0B">
        <w:t xml:space="preserve">e for the period </w:t>
      </w:r>
      <w:r w:rsidR="003800FF">
        <w:t xml:space="preserve">of </w:t>
      </w:r>
      <w:r w:rsidR="00BE64BD" w:rsidRPr="00493B0B">
        <w:t xml:space="preserve">2003 to 2008. </w:t>
      </w:r>
      <w:r w:rsidRPr="00493B0B">
        <w:t xml:space="preserve">This database includes bond holdings by almost all insurance companies, over 95% of </w:t>
      </w:r>
      <w:r w:rsidR="003800FF">
        <w:t xml:space="preserve">the existing </w:t>
      </w:r>
      <w:r w:rsidRPr="00493B0B">
        <w:t>mutual funds and th</w:t>
      </w:r>
      <w:r w:rsidR="00BE64BD" w:rsidRPr="00493B0B">
        <w:t xml:space="preserve">e top 250 public pension funds. </w:t>
      </w:r>
      <w:r w:rsidRPr="00493B0B">
        <w:t xml:space="preserve">The rest are held by hedge funds, other pension funds, banks, private investors, and foreign entities for which Lipper is not able to track </w:t>
      </w:r>
      <w:r w:rsidR="00504E32" w:rsidRPr="00493B0B">
        <w:t>holdings</w:t>
      </w:r>
      <w:r w:rsidR="00BE64BD" w:rsidRPr="00493B0B">
        <w:t xml:space="preserve">. </w:t>
      </w:r>
      <w:r w:rsidRPr="00493B0B">
        <w:t>This data on quarterly bond holdings has been analyzed by Dass and Massa (2011)</w:t>
      </w:r>
      <w:r w:rsidR="00504E32" w:rsidRPr="00493B0B">
        <w:t xml:space="preserve"> and Massa, Yasuda and Zhang (2010)</w:t>
      </w:r>
      <w:r w:rsidR="00BE64BD" w:rsidRPr="00493B0B">
        <w:t xml:space="preserve">. </w:t>
      </w:r>
      <w:r w:rsidR="00340D9C">
        <w:t>W</w:t>
      </w:r>
      <w:r w:rsidRPr="00493B0B">
        <w:t xml:space="preserve">e first check the representativeness </w:t>
      </w:r>
      <w:r w:rsidR="00340D9C">
        <w:t xml:space="preserve">of the dataset </w:t>
      </w:r>
      <w:r w:rsidRPr="00493B0B">
        <w:t>by examining the share of the outstanding bonds that are held by all i</w:t>
      </w:r>
      <w:r w:rsidR="00BE64BD" w:rsidRPr="00493B0B">
        <w:t xml:space="preserve">nstitutions reported to Lipper. </w:t>
      </w:r>
      <w:r w:rsidRPr="00493B0B">
        <w:t>For each bond/quarter, we aggregate the amount of holdings</w:t>
      </w:r>
      <w:r w:rsidR="00340D9C">
        <w:t xml:space="preserve"> by all institutions and divide</w:t>
      </w:r>
      <w:r w:rsidRPr="00493B0B">
        <w:t xml:space="preserve"> it by the total amount outstanding.</w:t>
      </w:r>
      <w:r w:rsidRPr="00493B0B">
        <w:rPr>
          <w:rStyle w:val="FootnoteReference"/>
        </w:rPr>
        <w:footnoteReference w:id="12"/>
      </w:r>
      <w:r w:rsidRPr="00493B0B">
        <w:t xml:space="preserve"> We compare it to </w:t>
      </w:r>
      <w:r w:rsidR="003800FF">
        <w:t xml:space="preserve">the </w:t>
      </w:r>
      <w:r w:rsidRPr="00493B0B">
        <w:t>summary statistics on bond holdings obtained from a large custodian bank (State Street Corporation or SSC) and reported in a recent study by Mahanti, Nashikkar, Subrahman</w:t>
      </w:r>
      <w:r w:rsidR="00BE64BD" w:rsidRPr="00493B0B">
        <w:t>yam, Chacko, and Mallik (200</w:t>
      </w:r>
      <w:r w:rsidR="00AC1A69">
        <w:t>8</w:t>
      </w:r>
      <w:r w:rsidR="00BE64BD" w:rsidRPr="00493B0B">
        <w:t xml:space="preserve">). </w:t>
      </w:r>
      <w:r w:rsidRPr="00493B0B">
        <w:t xml:space="preserve">We find that </w:t>
      </w:r>
      <w:r w:rsidRPr="00493B0B">
        <w:lastRenderedPageBreak/>
        <w:t xml:space="preserve">Lipper has </w:t>
      </w:r>
      <w:r w:rsidR="003800FF">
        <w:t xml:space="preserve">a </w:t>
      </w:r>
      <w:r w:rsidRPr="00493B0B">
        <w:t>broader coverage than SSC except for bonds th</w:t>
      </w:r>
      <w:r w:rsidR="00504E32" w:rsidRPr="00493B0B">
        <w:t>a</w:t>
      </w:r>
      <w:r w:rsidR="00BE64BD" w:rsidRPr="00493B0B">
        <w:t xml:space="preserve">t mature in less than </w:t>
      </w:r>
      <w:r w:rsidR="003800FF">
        <w:t>one</w:t>
      </w:r>
      <w:r w:rsidR="00BE64BD" w:rsidRPr="00493B0B">
        <w:t xml:space="preserve"> year. </w:t>
      </w:r>
      <w:r w:rsidRPr="00493B0B">
        <w:t>Lipper</w:t>
      </w:r>
      <w:r w:rsidR="003800FF">
        <w:t>’s</w:t>
      </w:r>
      <w:r w:rsidRPr="00493B0B">
        <w:t xml:space="preserve"> coverage is about 38.92 % of the total amount outstanding relative to </w:t>
      </w:r>
      <w:r w:rsidR="003800FF">
        <w:t xml:space="preserve">SSC’s </w:t>
      </w:r>
      <w:r w:rsidRPr="00493B0B">
        <w:t xml:space="preserve">14.53%.  </w:t>
      </w:r>
    </w:p>
    <w:p w:rsidR="00867646" w:rsidRPr="00493B0B" w:rsidRDefault="00867646" w:rsidP="003D1BA0">
      <w:pPr>
        <w:spacing w:line="360" w:lineRule="auto"/>
        <w:ind w:firstLine="720"/>
        <w:jc w:val="both"/>
      </w:pPr>
      <w:r w:rsidRPr="00493B0B">
        <w:t xml:space="preserve">For each bond/quarter over the period </w:t>
      </w:r>
      <w:r w:rsidR="003800FF">
        <w:t xml:space="preserve">of </w:t>
      </w:r>
      <w:r w:rsidRPr="00493B0B">
        <w:t>2004</w:t>
      </w:r>
      <w:r w:rsidR="003800FF">
        <w:t xml:space="preserve"> to </w:t>
      </w:r>
      <w:r w:rsidRPr="00493B0B">
        <w:t xml:space="preserve">2008, we </w:t>
      </w:r>
      <w:r w:rsidR="003800FF">
        <w:t>calculate</w:t>
      </w:r>
      <w:r w:rsidRPr="00493B0B">
        <w:t xml:space="preserve"> the average number of institutions that hold the bond over the previous four quarters</w:t>
      </w:r>
      <w:r w:rsidR="00504E32" w:rsidRPr="00493B0B">
        <w:t xml:space="preserve"> (NBONDS)</w:t>
      </w:r>
      <w:r w:rsidR="00BE64BD" w:rsidRPr="00493B0B">
        <w:t xml:space="preserve">. </w:t>
      </w:r>
      <w:r w:rsidR="00504E32" w:rsidRPr="00493B0B">
        <w:t>After merg</w:t>
      </w:r>
      <w:r w:rsidR="003800FF">
        <w:t>ing</w:t>
      </w:r>
      <w:r w:rsidR="00504E32" w:rsidRPr="00493B0B">
        <w:t xml:space="preserve"> th</w:t>
      </w:r>
      <w:r w:rsidR="003800FF">
        <w:t>e</w:t>
      </w:r>
      <w:r w:rsidR="00504E32" w:rsidRPr="00493B0B">
        <w:t xml:space="preserve"> </w:t>
      </w:r>
      <w:r w:rsidR="003800FF">
        <w:t xml:space="preserve">holdings </w:t>
      </w:r>
      <w:r w:rsidR="00504E32" w:rsidRPr="00493B0B">
        <w:t xml:space="preserve">with our </w:t>
      </w:r>
      <w:r w:rsidR="003800FF">
        <w:t xml:space="preserve">previous </w:t>
      </w:r>
      <w:r w:rsidR="00504E32" w:rsidRPr="00493B0B">
        <w:t>sample</w:t>
      </w:r>
      <w:r w:rsidR="003800FF">
        <w:t>,</w:t>
      </w:r>
      <w:r w:rsidR="00504E32" w:rsidRPr="00493B0B">
        <w:t xml:space="preserve"> we have a total of 4</w:t>
      </w:r>
      <w:r w:rsidR="003800FF">
        <w:t>,</w:t>
      </w:r>
      <w:r w:rsidR="00504E32" w:rsidRPr="00493B0B">
        <w:t>814 bonds issued by 1</w:t>
      </w:r>
      <w:r w:rsidR="003800FF">
        <w:t>,</w:t>
      </w:r>
      <w:r w:rsidR="00504E32" w:rsidRPr="00493B0B">
        <w:t>277 firms.</w:t>
      </w:r>
      <w:r w:rsidRPr="00493B0B">
        <w:t xml:space="preserve"> The mean and median </w:t>
      </w:r>
      <w:r w:rsidR="004B2D72" w:rsidRPr="00493B0B">
        <w:t xml:space="preserve">of NBONDS is </w:t>
      </w:r>
      <w:r w:rsidRPr="00493B0B">
        <w:t>57 and 32</w:t>
      </w:r>
      <w:r w:rsidR="003800FF">
        <w:t>, respectively</w:t>
      </w:r>
      <w:r w:rsidRPr="00493B0B">
        <w:t>. This bond visibility measure also exhibit</w:t>
      </w:r>
      <w:r w:rsidR="00B37CE9">
        <w:t>s</w:t>
      </w:r>
      <w:r w:rsidRPr="00493B0B">
        <w:t xml:space="preserve"> varying degree</w:t>
      </w:r>
      <w:r w:rsidR="00B37CE9">
        <w:t>s</w:t>
      </w:r>
      <w:r w:rsidRPr="00493B0B">
        <w:t xml:space="preserve"> of correlation with firm and equity visibility measures. Its correlation with </w:t>
      </w:r>
      <w:r w:rsidR="00B37CE9">
        <w:t xml:space="preserve">SIZE </w:t>
      </w:r>
      <w:r w:rsidRPr="00493B0B">
        <w:t xml:space="preserve">and </w:t>
      </w:r>
      <w:r w:rsidR="004B2D72" w:rsidRPr="00493B0B">
        <w:t>NEQUITY is</w:t>
      </w:r>
      <w:r w:rsidRPr="00493B0B">
        <w:t xml:space="preserve"> around 0.76, whereas its correlation with XAD and </w:t>
      </w:r>
      <w:r w:rsidR="004B2D72" w:rsidRPr="00493B0B">
        <w:t xml:space="preserve">NANALYST </w:t>
      </w:r>
      <w:r w:rsidR="00BE64BD" w:rsidRPr="00493B0B">
        <w:t>i</w:t>
      </w:r>
      <w:r w:rsidR="004B2D72" w:rsidRPr="00493B0B">
        <w:t xml:space="preserve">s 0.48 and </w:t>
      </w:r>
      <w:r w:rsidRPr="00493B0B">
        <w:t>0.47</w:t>
      </w:r>
      <w:r w:rsidR="00934A16">
        <w:t>,</w:t>
      </w:r>
      <w:r w:rsidR="004B2D72" w:rsidRPr="00493B0B">
        <w:t xml:space="preserve"> respectively</w:t>
      </w:r>
      <w:r w:rsidR="00BE64BD" w:rsidRPr="00493B0B">
        <w:t xml:space="preserve">. </w:t>
      </w:r>
      <w:r w:rsidR="00B37CE9">
        <w:t>The less-than-perfect correlations with the other visibility measures suggest that the bond-market visibility measure can capture other aspects of visibility.</w:t>
      </w:r>
    </w:p>
    <w:p w:rsidR="009E0826" w:rsidRPr="00493B0B" w:rsidRDefault="00867646" w:rsidP="003D1BA0">
      <w:pPr>
        <w:spacing w:line="360" w:lineRule="auto"/>
        <w:jc w:val="both"/>
      </w:pPr>
      <w:r w:rsidRPr="00493B0B">
        <w:tab/>
        <w:t xml:space="preserve">To estimate the impact of bond visibility, we re-estimate model (1) using </w:t>
      </w:r>
      <w:r w:rsidR="00DB10CA" w:rsidRPr="00493B0B">
        <w:t xml:space="preserve">NBONDS </w:t>
      </w:r>
      <w:r w:rsidRPr="00493B0B">
        <w:t xml:space="preserve">as the visibility measure. As shown in Column I of Table </w:t>
      </w:r>
      <w:r w:rsidR="00DB10CA" w:rsidRPr="00493B0B">
        <w:t>8</w:t>
      </w:r>
      <w:r w:rsidRPr="00493B0B">
        <w:t xml:space="preserve">, the coefficient of </w:t>
      </w:r>
      <w:r w:rsidR="00DB10CA" w:rsidRPr="00493B0B">
        <w:t>NBONDS</w:t>
      </w:r>
      <w:r w:rsidRPr="00493B0B">
        <w:t xml:space="preserve"> is negative and highly significant. The </w:t>
      </w:r>
      <w:r w:rsidR="00B37CE9">
        <w:t xml:space="preserve">more </w:t>
      </w:r>
      <w:r w:rsidRPr="00493B0B">
        <w:t>institutions that hold the bond</w:t>
      </w:r>
      <w:r w:rsidR="00DB10CA" w:rsidRPr="00493B0B">
        <w:t xml:space="preserve"> in the prior year</w:t>
      </w:r>
      <w:r w:rsidR="00B37CE9">
        <w:t>,</w:t>
      </w:r>
      <w:r w:rsidRPr="00493B0B">
        <w:t xml:space="preserve"> the lower the </w:t>
      </w:r>
      <w:r w:rsidR="00DB1425" w:rsidRPr="00493B0B">
        <w:t>ZEROPCT</w:t>
      </w:r>
      <w:r w:rsidRPr="00493B0B">
        <w:t xml:space="preserve"> measure.</w:t>
      </w:r>
      <w:r w:rsidRPr="00493B0B">
        <w:rPr>
          <w:rStyle w:val="FootnoteReference"/>
        </w:rPr>
        <w:footnoteReference w:id="13"/>
      </w:r>
      <w:r w:rsidRPr="00493B0B">
        <w:t xml:space="preserve"> This </w:t>
      </w:r>
      <w:r w:rsidR="007D32A8">
        <w:t xml:space="preserve">result </w:t>
      </w:r>
      <w:r w:rsidRPr="00493B0B">
        <w:t>is robust to including proxies for firm and equity vi</w:t>
      </w:r>
      <w:r w:rsidR="00BE64BD" w:rsidRPr="00493B0B">
        <w:t xml:space="preserve">sibility (See Columns II to V). </w:t>
      </w:r>
      <w:r w:rsidRPr="00493B0B">
        <w:t>Further, th</w:t>
      </w:r>
      <w:r w:rsidR="007D32A8">
        <w:t>e</w:t>
      </w:r>
      <w:r w:rsidRPr="00493B0B">
        <w:t xml:space="preserve"> impact of bond visibility on liquidity is </w:t>
      </w:r>
      <w:r w:rsidR="00BE64BD" w:rsidRPr="00493B0B">
        <w:t xml:space="preserve">also economically significant. </w:t>
      </w:r>
      <w:r w:rsidRPr="00493B0B">
        <w:t>Based on the results in Column II, moving from the first quartile to the third quartile of</w:t>
      </w:r>
      <w:r w:rsidR="00DB10CA" w:rsidRPr="00493B0B">
        <w:t xml:space="preserve"> NBONDS </w:t>
      </w:r>
      <w:r w:rsidRPr="00493B0B">
        <w:t xml:space="preserve">is associated with a decrease in </w:t>
      </w:r>
      <w:r w:rsidR="00DB1425" w:rsidRPr="00493B0B">
        <w:t>ZEROPCT</w:t>
      </w:r>
      <w:r w:rsidRPr="00493B0B">
        <w:t xml:space="preserve"> of around 11.24% from its mean.</w:t>
      </w:r>
      <w:r w:rsidR="00BE64BD" w:rsidRPr="00493B0B">
        <w:t xml:space="preserve"> </w:t>
      </w:r>
      <w:r w:rsidRPr="00493B0B">
        <w:t>Note that this effect is after controlling for firm visibility as captured by firm size.</w:t>
      </w:r>
      <w:r w:rsidRPr="00493B0B">
        <w:rPr>
          <w:rStyle w:val="FootnoteReference"/>
        </w:rPr>
        <w:footnoteReference w:id="14"/>
      </w:r>
      <w:r w:rsidR="0088783D" w:rsidRPr="00493B0B">
        <w:t xml:space="preserve"> </w:t>
      </w:r>
    </w:p>
    <w:p w:rsidR="0034085F" w:rsidRPr="00493B0B" w:rsidRDefault="009E0826" w:rsidP="003D1BA0">
      <w:pPr>
        <w:spacing w:line="360" w:lineRule="auto"/>
        <w:ind w:firstLine="720"/>
        <w:jc w:val="both"/>
      </w:pPr>
      <w:r w:rsidRPr="00493B0B">
        <w:t xml:space="preserve">   </w:t>
      </w:r>
    </w:p>
    <w:p w:rsidR="00B7423F" w:rsidRPr="00493B0B" w:rsidRDefault="00516A79" w:rsidP="003D1BA0">
      <w:pPr>
        <w:spacing w:line="360" w:lineRule="auto"/>
        <w:jc w:val="both"/>
        <w:rPr>
          <w:b/>
        </w:rPr>
      </w:pPr>
      <w:r w:rsidRPr="00493B0B">
        <w:rPr>
          <w:b/>
        </w:rPr>
        <w:t>4</w:t>
      </w:r>
      <w:r w:rsidR="00EE32EF" w:rsidRPr="00493B0B">
        <w:rPr>
          <w:b/>
        </w:rPr>
        <w:t xml:space="preserve">.  </w:t>
      </w:r>
      <w:r w:rsidR="0042315B">
        <w:rPr>
          <w:b/>
        </w:rPr>
        <w:t>Additions to</w:t>
      </w:r>
      <w:r w:rsidR="00061149">
        <w:rPr>
          <w:b/>
        </w:rPr>
        <w:t xml:space="preserve"> the </w:t>
      </w:r>
      <w:r w:rsidR="00EE32EF" w:rsidRPr="00493B0B">
        <w:rPr>
          <w:b/>
        </w:rPr>
        <w:t xml:space="preserve">S&amp;P </w:t>
      </w:r>
      <w:r w:rsidR="00061149">
        <w:rPr>
          <w:b/>
        </w:rPr>
        <w:t>500 index</w:t>
      </w:r>
      <w:r w:rsidR="00EE32EF" w:rsidRPr="00493B0B">
        <w:rPr>
          <w:b/>
        </w:rPr>
        <w:t xml:space="preserve"> </w:t>
      </w:r>
    </w:p>
    <w:p w:rsidR="00EE32EF" w:rsidRPr="00493B0B" w:rsidRDefault="00EE32EF" w:rsidP="003D1BA0">
      <w:pPr>
        <w:spacing w:line="360" w:lineRule="auto"/>
        <w:jc w:val="both"/>
      </w:pPr>
    </w:p>
    <w:p w:rsidR="009D442E" w:rsidRDefault="002F096D">
      <w:pPr>
        <w:spacing w:line="360" w:lineRule="auto"/>
        <w:jc w:val="both"/>
      </w:pPr>
      <w:r w:rsidRPr="00493B0B">
        <w:t xml:space="preserve">So far we have shown that firms with higher visibility </w:t>
      </w:r>
      <w:r w:rsidR="00061149">
        <w:t xml:space="preserve">enjoy </w:t>
      </w:r>
      <w:r w:rsidR="00BE64BD" w:rsidRPr="00493B0B">
        <w:t xml:space="preserve">greater bond liquidity. </w:t>
      </w:r>
      <w:r w:rsidR="00061149">
        <w:t>A legitimate concern is</w:t>
      </w:r>
      <w:r w:rsidRPr="00493B0B">
        <w:t xml:space="preserve"> that some omitted firm characteristics may </w:t>
      </w:r>
      <w:r w:rsidR="003B2780" w:rsidRPr="00493B0B">
        <w:t xml:space="preserve">be driving these results. </w:t>
      </w:r>
      <w:r w:rsidR="00061149">
        <w:t>In other words,</w:t>
      </w:r>
      <w:r w:rsidR="003B2780" w:rsidRPr="00493B0B">
        <w:t xml:space="preserve"> some unobservable firm characteristic may be associated with </w:t>
      </w:r>
      <w:r w:rsidR="00047FDA" w:rsidRPr="00493B0B">
        <w:t>our</w:t>
      </w:r>
      <w:r w:rsidR="003B2780" w:rsidRPr="00493B0B">
        <w:t xml:space="preserve"> visibility </w:t>
      </w:r>
      <w:r w:rsidR="00047FDA" w:rsidRPr="00493B0B">
        <w:t xml:space="preserve">measures </w:t>
      </w:r>
      <w:r w:rsidR="003B2780" w:rsidRPr="00493B0B">
        <w:t xml:space="preserve">as well as </w:t>
      </w:r>
      <w:r w:rsidR="00D014D4" w:rsidRPr="00493B0B">
        <w:t>bond</w:t>
      </w:r>
      <w:r w:rsidR="003B2780" w:rsidRPr="00493B0B">
        <w:t xml:space="preserve"> liquidity.</w:t>
      </w:r>
      <w:r w:rsidR="00BE64BD" w:rsidRPr="00493B0B">
        <w:t xml:space="preserve"> </w:t>
      </w:r>
      <w:r w:rsidR="00061149">
        <w:t xml:space="preserve">We address this concern by </w:t>
      </w:r>
      <w:r w:rsidR="003B2780" w:rsidRPr="00493B0B">
        <w:t>study</w:t>
      </w:r>
      <w:r w:rsidR="00061149">
        <w:t>ing</w:t>
      </w:r>
      <w:r w:rsidR="003B2780" w:rsidRPr="00493B0B">
        <w:t xml:space="preserve"> an exogenous event that </w:t>
      </w:r>
      <w:r w:rsidR="00061149">
        <w:t xml:space="preserve">unambiguously </w:t>
      </w:r>
      <w:r w:rsidR="003B2780" w:rsidRPr="00493B0B">
        <w:t xml:space="preserve">increases </w:t>
      </w:r>
      <w:r w:rsidR="00061149">
        <w:t xml:space="preserve">a </w:t>
      </w:r>
      <w:r w:rsidR="003B2780" w:rsidRPr="00493B0B">
        <w:t>firm</w:t>
      </w:r>
      <w:r w:rsidR="00061149">
        <w:t>’s</w:t>
      </w:r>
      <w:r w:rsidR="003B2780" w:rsidRPr="00493B0B">
        <w:t xml:space="preserve"> visibility</w:t>
      </w:r>
      <w:r w:rsidR="00061149">
        <w:t>:</w:t>
      </w:r>
      <w:r w:rsidR="003B2780" w:rsidRPr="00493B0B">
        <w:t xml:space="preserve">  </w:t>
      </w:r>
      <w:r w:rsidR="00061149">
        <w:t xml:space="preserve">its </w:t>
      </w:r>
      <w:r w:rsidR="0042315B">
        <w:t>inclusion</w:t>
      </w:r>
      <w:r w:rsidR="003B2780" w:rsidRPr="00493B0B">
        <w:t xml:space="preserve"> </w:t>
      </w:r>
      <w:r w:rsidR="0042315B">
        <w:t>in</w:t>
      </w:r>
      <w:r w:rsidR="003B2780" w:rsidRPr="00493B0B">
        <w:t xml:space="preserve"> the S&amp;P 500 index</w:t>
      </w:r>
      <w:r w:rsidR="00BE64BD" w:rsidRPr="00493B0B">
        <w:t xml:space="preserve">. </w:t>
      </w:r>
      <w:r w:rsidR="00A74A67">
        <w:t xml:space="preserve">Since being chosen as a component stock of the S&amp;P 500 index is a mere confirmation of the firm’s overall profile, the event itself does not generate new information on any aspect of the firm’s fundamentals. In fact, </w:t>
      </w:r>
      <w:r w:rsidR="00A74A67">
        <w:lastRenderedPageBreak/>
        <w:t>Standard and Poor’s</w:t>
      </w:r>
      <w:r w:rsidR="00A74A67" w:rsidRPr="00493B0B">
        <w:t xml:space="preserve"> explicitly claims that additions </w:t>
      </w:r>
      <w:r w:rsidR="00A74A67">
        <w:t>and deletions do not reflect their</w:t>
      </w:r>
      <w:r w:rsidR="00A74A67" w:rsidRPr="00493B0B">
        <w:t xml:space="preserve"> opinion on or investment merits of the firm. </w:t>
      </w:r>
      <w:r w:rsidR="00A74A67">
        <w:t xml:space="preserve">However, </w:t>
      </w:r>
      <w:r w:rsidR="0042315B">
        <w:t>addition to</w:t>
      </w:r>
      <w:r w:rsidR="00B07A2E">
        <w:t xml:space="preserve"> the index</w:t>
      </w:r>
      <w:r w:rsidR="00A74A67">
        <w:t xml:space="preserve"> does raise the firm’s visibility. Hence the increase in liquidity, if </w:t>
      </w:r>
      <w:r w:rsidR="00B07A2E">
        <w:t>occurring right after the addition</w:t>
      </w:r>
      <w:r w:rsidR="00A74A67">
        <w:t>, can be unambiguously attributed to increased visibility.</w:t>
      </w:r>
      <w:r w:rsidR="00047FDA" w:rsidRPr="00493B0B">
        <w:t xml:space="preserve"> </w:t>
      </w:r>
    </w:p>
    <w:p w:rsidR="00D014D4" w:rsidRDefault="00096E7B" w:rsidP="003D1BA0">
      <w:pPr>
        <w:spacing w:line="360" w:lineRule="auto"/>
        <w:ind w:firstLine="720"/>
        <w:jc w:val="both"/>
      </w:pPr>
      <w:r w:rsidRPr="00493B0B">
        <w:t xml:space="preserve">Over </w:t>
      </w:r>
      <w:r w:rsidR="002D5621" w:rsidRPr="00493B0B">
        <w:t xml:space="preserve">our sample </w:t>
      </w:r>
      <w:r w:rsidRPr="00493B0B">
        <w:t>period</w:t>
      </w:r>
      <w:r w:rsidR="002D5621" w:rsidRPr="00493B0B">
        <w:t xml:space="preserve"> </w:t>
      </w:r>
      <w:r w:rsidR="00BE6899">
        <w:t>of</w:t>
      </w:r>
      <w:r w:rsidR="002D5621" w:rsidRPr="00493B0B">
        <w:t xml:space="preserve"> </w:t>
      </w:r>
      <w:r w:rsidRPr="00493B0B">
        <w:t>2003 to 2010</w:t>
      </w:r>
      <w:r w:rsidR="002D5621" w:rsidRPr="00493B0B">
        <w:t>,</w:t>
      </w:r>
      <w:r w:rsidRPr="00493B0B">
        <w:t xml:space="preserve"> 49 firms with </w:t>
      </w:r>
      <w:r w:rsidR="00BE6899">
        <w:t xml:space="preserve">119 </w:t>
      </w:r>
      <w:r w:rsidRPr="00493B0B">
        <w:t>bonds outstanding wer</w:t>
      </w:r>
      <w:r w:rsidR="00BE64BD" w:rsidRPr="00493B0B">
        <w:t xml:space="preserve">e added to the S&amp;P 500 </w:t>
      </w:r>
      <w:r w:rsidR="00BE6899">
        <w:t>i</w:t>
      </w:r>
      <w:r w:rsidR="00BE64BD" w:rsidRPr="00493B0B">
        <w:t>ndex.</w:t>
      </w:r>
      <w:r w:rsidRPr="00493B0B">
        <w:t xml:space="preserve"> </w:t>
      </w:r>
      <w:r w:rsidR="007E3CF3" w:rsidRPr="00493B0B">
        <w:t>For each bond, we identify the quarter prior to (Pre_</w:t>
      </w:r>
      <w:r w:rsidR="00BE64BD" w:rsidRPr="00493B0B">
        <w:t>Addition</w:t>
      </w:r>
      <w:r w:rsidR="007E3CF3" w:rsidRPr="00493B0B">
        <w:t>) and the quarter after (Post_</w:t>
      </w:r>
      <w:r w:rsidR="00BE64BD" w:rsidRPr="00493B0B">
        <w:t>Addition</w:t>
      </w:r>
      <w:r w:rsidR="007E3CF3" w:rsidRPr="00493B0B">
        <w:t>) the announcement o</w:t>
      </w:r>
      <w:r w:rsidR="00BE64BD" w:rsidRPr="00493B0B">
        <w:t xml:space="preserve">f the S&amp;P 500 </w:t>
      </w:r>
      <w:r w:rsidR="00BE6899">
        <w:t>i</w:t>
      </w:r>
      <w:r w:rsidR="00BE64BD" w:rsidRPr="00493B0B">
        <w:t xml:space="preserve">ndex </w:t>
      </w:r>
      <w:r w:rsidR="00BE6899">
        <w:t>adjustment</w:t>
      </w:r>
      <w:r w:rsidR="003B6E44">
        <w:t xml:space="preserve"> and then calculate the average liquidity for each period</w:t>
      </w:r>
      <w:r w:rsidR="00BE64BD" w:rsidRPr="00493B0B">
        <w:t xml:space="preserve">. </w:t>
      </w:r>
      <w:r w:rsidR="007E3CF3" w:rsidRPr="00493B0B">
        <w:t xml:space="preserve">As can be seen in </w:t>
      </w:r>
      <w:r w:rsidR="00BE6899">
        <w:t xml:space="preserve">Panel A of </w:t>
      </w:r>
      <w:r w:rsidR="007E3CF3" w:rsidRPr="00493B0B">
        <w:t xml:space="preserve">Table 9, </w:t>
      </w:r>
      <w:r w:rsidR="003B6E44">
        <w:t xml:space="preserve">for the full sample, </w:t>
      </w:r>
      <w:r w:rsidR="007E3CF3" w:rsidRPr="00493B0B">
        <w:t xml:space="preserve">there is </w:t>
      </w:r>
      <w:r w:rsidR="00BE6899">
        <w:t xml:space="preserve">a </w:t>
      </w:r>
      <w:r w:rsidR="007E3CF3" w:rsidRPr="00493B0B">
        <w:t xml:space="preserve">significant </w:t>
      </w:r>
      <w:r w:rsidR="002D5621" w:rsidRPr="00493B0B">
        <w:t xml:space="preserve">decrease in </w:t>
      </w:r>
      <w:r w:rsidR="00DB1425" w:rsidRPr="00493B0B">
        <w:t>ZEROPCT</w:t>
      </w:r>
      <w:r w:rsidR="002D5621" w:rsidRPr="00493B0B">
        <w:t xml:space="preserve"> from the </w:t>
      </w:r>
      <w:r w:rsidR="00BE6899">
        <w:t>p</w:t>
      </w:r>
      <w:r w:rsidR="007E3CF3" w:rsidRPr="00493B0B">
        <w:t>re</w:t>
      </w:r>
      <w:r w:rsidR="00BE6899">
        <w:t>-announcement</w:t>
      </w:r>
      <w:r w:rsidR="007E3CF3" w:rsidRPr="00493B0B">
        <w:t xml:space="preserve"> </w:t>
      </w:r>
      <w:r w:rsidR="00BE6899">
        <w:t>period to the post-announcement period.</w:t>
      </w:r>
      <w:r w:rsidR="002D5621" w:rsidRPr="00493B0B">
        <w:t xml:space="preserve"> This difference </w:t>
      </w:r>
      <w:r w:rsidR="00BE64BD" w:rsidRPr="00493B0B">
        <w:t>is significant at the 1% level</w:t>
      </w:r>
      <w:r w:rsidR="00BE6899">
        <w:t xml:space="preserve"> for both the mean and the median</w:t>
      </w:r>
      <w:r w:rsidR="00BE64BD" w:rsidRPr="00493B0B">
        <w:t xml:space="preserve">. </w:t>
      </w:r>
      <w:r w:rsidR="002D5621" w:rsidRPr="00493B0B">
        <w:t xml:space="preserve">Similar results are </w:t>
      </w:r>
      <w:r w:rsidR="00BE6899">
        <w:t>obtained for the number of trades (</w:t>
      </w:r>
      <w:r w:rsidR="00BE64BD" w:rsidRPr="00493B0B">
        <w:t>NTRADES</w:t>
      </w:r>
      <w:r w:rsidR="00BE6899">
        <w:t>)</w:t>
      </w:r>
      <w:r w:rsidR="00972B09">
        <w:t xml:space="preserve"> and trading volume (VOLUME)</w:t>
      </w:r>
      <w:r w:rsidR="00BE6899">
        <w:t>,</w:t>
      </w:r>
      <w:r w:rsidR="00BE64BD" w:rsidRPr="00493B0B">
        <w:t xml:space="preserve"> </w:t>
      </w:r>
      <w:r w:rsidR="00972B09">
        <w:t xml:space="preserve">both of </w:t>
      </w:r>
      <w:r w:rsidR="00BE6899">
        <w:t>which</w:t>
      </w:r>
      <w:r w:rsidR="002D5621" w:rsidRPr="00493B0B">
        <w:t xml:space="preserve"> more than double from the quarter prior to </w:t>
      </w:r>
      <w:r w:rsidR="00934A16">
        <w:t xml:space="preserve">the announcement to </w:t>
      </w:r>
      <w:r w:rsidR="002D5621" w:rsidRPr="00493B0B">
        <w:t xml:space="preserve">the quarter after the </w:t>
      </w:r>
      <w:r w:rsidR="00972B09">
        <w:t>announcement</w:t>
      </w:r>
      <w:r w:rsidR="002D5621" w:rsidRPr="00493B0B">
        <w:t>.</w:t>
      </w:r>
      <w:r w:rsidR="00F82A15" w:rsidRPr="00493B0B">
        <w:rPr>
          <w:rStyle w:val="FootnoteReference"/>
        </w:rPr>
        <w:footnoteReference w:id="15"/>
      </w:r>
    </w:p>
    <w:p w:rsidR="003B6E44" w:rsidRDefault="003B6E44" w:rsidP="003B6E44">
      <w:pPr>
        <w:pStyle w:val="FootnoteText"/>
        <w:spacing w:line="360" w:lineRule="auto"/>
        <w:ind w:firstLine="720"/>
        <w:jc w:val="both"/>
        <w:rPr>
          <w:sz w:val="24"/>
          <w:szCs w:val="24"/>
        </w:rPr>
      </w:pPr>
      <w:r>
        <w:rPr>
          <w:sz w:val="24"/>
          <w:szCs w:val="24"/>
        </w:rPr>
        <w:t xml:space="preserve">Our claim that the additions to the S&amp;P 500 index are </w:t>
      </w:r>
      <w:r w:rsidR="00841E20">
        <w:rPr>
          <w:sz w:val="24"/>
          <w:szCs w:val="24"/>
        </w:rPr>
        <w:t>exogenous, non-</w:t>
      </w:r>
      <w:r>
        <w:rPr>
          <w:sz w:val="24"/>
          <w:szCs w:val="24"/>
        </w:rPr>
        <w:t xml:space="preserve">informational events </w:t>
      </w:r>
      <w:r w:rsidR="00841E20">
        <w:rPr>
          <w:sz w:val="24"/>
          <w:szCs w:val="24"/>
        </w:rPr>
        <w:t xml:space="preserve">is actually consistent with the existing literature. For instance, </w:t>
      </w:r>
      <w:r w:rsidRPr="00493B0B">
        <w:rPr>
          <w:sz w:val="24"/>
          <w:szCs w:val="24"/>
        </w:rPr>
        <w:t xml:space="preserve">Shliefer (1986) examines and rules out the possibility that the associated stock price increase </w:t>
      </w:r>
      <w:r w:rsidR="00841E20">
        <w:rPr>
          <w:sz w:val="24"/>
          <w:szCs w:val="24"/>
        </w:rPr>
        <w:t xml:space="preserve">around S&amp;P 500 index addition is caused by “good news.” </w:t>
      </w:r>
      <w:r w:rsidRPr="00493B0B">
        <w:rPr>
          <w:sz w:val="24"/>
          <w:szCs w:val="24"/>
        </w:rPr>
        <w:t>In particular, Shleifer</w:t>
      </w:r>
      <w:r w:rsidR="00841E20">
        <w:rPr>
          <w:sz w:val="24"/>
          <w:szCs w:val="24"/>
        </w:rPr>
        <w:t xml:space="preserve"> (1986) postulate</w:t>
      </w:r>
      <w:r w:rsidRPr="00493B0B">
        <w:rPr>
          <w:sz w:val="24"/>
          <w:szCs w:val="24"/>
        </w:rPr>
        <w:t xml:space="preserve">s that if </w:t>
      </w:r>
      <w:r w:rsidR="00841E20">
        <w:rPr>
          <w:sz w:val="24"/>
          <w:szCs w:val="24"/>
        </w:rPr>
        <w:t>the</w:t>
      </w:r>
      <w:r w:rsidR="00934A16">
        <w:rPr>
          <w:sz w:val="24"/>
          <w:szCs w:val="24"/>
        </w:rPr>
        <w:t xml:space="preserve"> additions convey</w:t>
      </w:r>
      <w:r w:rsidRPr="00493B0B">
        <w:rPr>
          <w:sz w:val="24"/>
          <w:szCs w:val="24"/>
        </w:rPr>
        <w:t xml:space="preserve"> good news</w:t>
      </w:r>
      <w:r w:rsidR="00841E20">
        <w:rPr>
          <w:sz w:val="24"/>
          <w:szCs w:val="24"/>
        </w:rPr>
        <w:t>,</w:t>
      </w:r>
      <w:r w:rsidRPr="00493B0B">
        <w:rPr>
          <w:sz w:val="24"/>
          <w:szCs w:val="24"/>
        </w:rPr>
        <w:t xml:space="preserve"> the stock price reaction should</w:t>
      </w:r>
      <w:r w:rsidR="00841E20">
        <w:rPr>
          <w:sz w:val="24"/>
          <w:szCs w:val="24"/>
        </w:rPr>
        <w:t xml:space="preserve"> be higher for firms with lower-</w:t>
      </w:r>
      <w:r w:rsidRPr="00493B0B">
        <w:rPr>
          <w:sz w:val="24"/>
          <w:szCs w:val="24"/>
        </w:rPr>
        <w:t xml:space="preserve">rated bonds. </w:t>
      </w:r>
      <w:r w:rsidR="00841E20">
        <w:rPr>
          <w:sz w:val="24"/>
          <w:szCs w:val="24"/>
        </w:rPr>
        <w:t>However, he fails to obtain evidence supporting this conjecture.</w:t>
      </w:r>
      <w:r w:rsidRPr="00493B0B">
        <w:rPr>
          <w:sz w:val="24"/>
          <w:szCs w:val="24"/>
        </w:rPr>
        <w:t xml:space="preserve"> </w:t>
      </w:r>
      <w:r w:rsidR="00841E20">
        <w:rPr>
          <w:sz w:val="24"/>
          <w:szCs w:val="24"/>
        </w:rPr>
        <w:t xml:space="preserve">He thus </w:t>
      </w:r>
      <w:r w:rsidRPr="00493B0B">
        <w:rPr>
          <w:sz w:val="24"/>
          <w:szCs w:val="24"/>
        </w:rPr>
        <w:t>concludes that t</w:t>
      </w:r>
      <w:r w:rsidR="00934A16">
        <w:rPr>
          <w:sz w:val="24"/>
          <w:szCs w:val="24"/>
        </w:rPr>
        <w:t>he increase in stock returns is</w:t>
      </w:r>
      <w:r w:rsidRPr="00493B0B">
        <w:rPr>
          <w:sz w:val="24"/>
          <w:szCs w:val="24"/>
        </w:rPr>
        <w:t xml:space="preserve"> </w:t>
      </w:r>
      <w:r w:rsidR="00841E20">
        <w:rPr>
          <w:sz w:val="24"/>
          <w:szCs w:val="24"/>
        </w:rPr>
        <w:t xml:space="preserve">actually </w:t>
      </w:r>
      <w:r w:rsidRPr="00493B0B">
        <w:rPr>
          <w:sz w:val="24"/>
          <w:szCs w:val="24"/>
        </w:rPr>
        <w:t xml:space="preserve">driven by </w:t>
      </w:r>
      <w:r w:rsidR="00934A16">
        <w:rPr>
          <w:sz w:val="24"/>
          <w:szCs w:val="24"/>
        </w:rPr>
        <w:t xml:space="preserve">a </w:t>
      </w:r>
      <w:r w:rsidRPr="00493B0B">
        <w:rPr>
          <w:sz w:val="24"/>
          <w:szCs w:val="24"/>
        </w:rPr>
        <w:t>downward s</w:t>
      </w:r>
      <w:r w:rsidR="00934A16">
        <w:rPr>
          <w:sz w:val="24"/>
          <w:szCs w:val="24"/>
        </w:rPr>
        <w:t>loping demand curve</w:t>
      </w:r>
      <w:r w:rsidR="00841E20">
        <w:rPr>
          <w:sz w:val="24"/>
          <w:szCs w:val="24"/>
        </w:rPr>
        <w:t xml:space="preserve"> as opposed to</w:t>
      </w:r>
      <w:r w:rsidRPr="00493B0B">
        <w:rPr>
          <w:sz w:val="24"/>
          <w:szCs w:val="24"/>
        </w:rPr>
        <w:t xml:space="preserve"> good news. However, in a recent paper</w:t>
      </w:r>
      <w:r w:rsidR="00934A16">
        <w:rPr>
          <w:sz w:val="24"/>
          <w:szCs w:val="24"/>
        </w:rPr>
        <w:t>,</w:t>
      </w:r>
      <w:r w:rsidR="00841E20">
        <w:rPr>
          <w:sz w:val="24"/>
          <w:szCs w:val="24"/>
        </w:rPr>
        <w:t xml:space="preserve"> Denis, McConnell, Ovtchinnikov</w:t>
      </w:r>
      <w:r w:rsidRPr="00493B0B">
        <w:rPr>
          <w:sz w:val="24"/>
          <w:szCs w:val="24"/>
        </w:rPr>
        <w:t xml:space="preserve"> and Yu (2003) find that</w:t>
      </w:r>
      <w:r w:rsidR="00930E1C">
        <w:rPr>
          <w:sz w:val="24"/>
          <w:szCs w:val="24"/>
        </w:rPr>
        <w:t>, although</w:t>
      </w:r>
      <w:r w:rsidRPr="00493B0B">
        <w:rPr>
          <w:sz w:val="24"/>
          <w:szCs w:val="24"/>
        </w:rPr>
        <w:t xml:space="preserve"> </w:t>
      </w:r>
      <w:r w:rsidR="00930E1C">
        <w:rPr>
          <w:sz w:val="24"/>
          <w:szCs w:val="24"/>
        </w:rPr>
        <w:t xml:space="preserve">the addition to the S&amp;P 500 index is not </w:t>
      </w:r>
      <w:r w:rsidRPr="00493B0B">
        <w:rPr>
          <w:sz w:val="24"/>
          <w:szCs w:val="24"/>
        </w:rPr>
        <w:t xml:space="preserve">information </w:t>
      </w:r>
      <w:r w:rsidR="00930E1C">
        <w:rPr>
          <w:sz w:val="24"/>
          <w:szCs w:val="24"/>
        </w:rPr>
        <w:t xml:space="preserve">driven, the firm </w:t>
      </w:r>
      <w:r w:rsidRPr="00493B0B">
        <w:rPr>
          <w:sz w:val="24"/>
          <w:szCs w:val="24"/>
        </w:rPr>
        <w:t xml:space="preserve">inclusion </w:t>
      </w:r>
      <w:r w:rsidR="005B733C">
        <w:rPr>
          <w:sz w:val="24"/>
          <w:szCs w:val="24"/>
        </w:rPr>
        <w:t>into</w:t>
      </w:r>
      <w:r w:rsidR="00930E1C">
        <w:rPr>
          <w:sz w:val="24"/>
          <w:szCs w:val="24"/>
        </w:rPr>
        <w:t xml:space="preserve"> the index </w:t>
      </w:r>
      <w:r w:rsidRPr="00493B0B">
        <w:rPr>
          <w:sz w:val="24"/>
          <w:szCs w:val="24"/>
        </w:rPr>
        <w:t xml:space="preserve">improves </w:t>
      </w:r>
      <w:r w:rsidR="005B733C">
        <w:rPr>
          <w:sz w:val="24"/>
          <w:szCs w:val="24"/>
        </w:rPr>
        <w:t xml:space="preserve">a </w:t>
      </w:r>
      <w:r w:rsidRPr="00493B0B">
        <w:rPr>
          <w:sz w:val="24"/>
          <w:szCs w:val="24"/>
        </w:rPr>
        <w:t>firm</w:t>
      </w:r>
      <w:r w:rsidR="00930E1C">
        <w:rPr>
          <w:sz w:val="24"/>
          <w:szCs w:val="24"/>
        </w:rPr>
        <w:t>’s</w:t>
      </w:r>
      <w:r w:rsidRPr="00493B0B">
        <w:rPr>
          <w:sz w:val="24"/>
          <w:szCs w:val="24"/>
        </w:rPr>
        <w:t xml:space="preserve"> prospects </w:t>
      </w:r>
      <w:r w:rsidR="00930E1C">
        <w:rPr>
          <w:sz w:val="24"/>
          <w:szCs w:val="24"/>
        </w:rPr>
        <w:t xml:space="preserve">as evidenced in </w:t>
      </w:r>
      <w:r w:rsidRPr="00493B0B">
        <w:rPr>
          <w:sz w:val="24"/>
          <w:szCs w:val="24"/>
        </w:rPr>
        <w:t xml:space="preserve">improved earnings in the current and </w:t>
      </w:r>
      <w:r w:rsidR="00930E1C">
        <w:rPr>
          <w:sz w:val="24"/>
          <w:szCs w:val="24"/>
        </w:rPr>
        <w:t xml:space="preserve">the next fiscal year. </w:t>
      </w:r>
      <w:r w:rsidRPr="00493B0B">
        <w:rPr>
          <w:sz w:val="24"/>
          <w:szCs w:val="24"/>
        </w:rPr>
        <w:t>To rule out the possibility that this</w:t>
      </w:r>
      <w:r w:rsidR="00930E1C">
        <w:rPr>
          <w:sz w:val="24"/>
          <w:szCs w:val="24"/>
        </w:rPr>
        <w:t xml:space="preserve"> expectation of </w:t>
      </w:r>
      <w:r w:rsidRPr="00493B0B">
        <w:rPr>
          <w:sz w:val="24"/>
          <w:szCs w:val="24"/>
        </w:rPr>
        <w:t xml:space="preserve">improved </w:t>
      </w:r>
      <w:r w:rsidR="00930E1C">
        <w:rPr>
          <w:sz w:val="24"/>
          <w:szCs w:val="24"/>
        </w:rPr>
        <w:t xml:space="preserve">future </w:t>
      </w:r>
      <w:r w:rsidRPr="00493B0B">
        <w:rPr>
          <w:sz w:val="24"/>
          <w:szCs w:val="24"/>
        </w:rPr>
        <w:t>p</w:t>
      </w:r>
      <w:r w:rsidR="00930E1C">
        <w:rPr>
          <w:sz w:val="24"/>
          <w:szCs w:val="24"/>
        </w:rPr>
        <w:t>erformance might potentially cause</w:t>
      </w:r>
      <w:r w:rsidRPr="00493B0B">
        <w:rPr>
          <w:sz w:val="24"/>
          <w:szCs w:val="24"/>
        </w:rPr>
        <w:t xml:space="preserve"> an increase in bond liquidity, we examine the impact on bond liquidity separatel</w:t>
      </w:r>
      <w:r w:rsidR="00930E1C">
        <w:rPr>
          <w:sz w:val="24"/>
          <w:szCs w:val="24"/>
        </w:rPr>
        <w:t>y for investment grade and high-</w:t>
      </w:r>
      <w:r w:rsidRPr="00493B0B">
        <w:rPr>
          <w:sz w:val="24"/>
          <w:szCs w:val="24"/>
        </w:rPr>
        <w:t xml:space="preserve">yield bonds. </w:t>
      </w:r>
      <w:r w:rsidR="00930E1C">
        <w:rPr>
          <w:sz w:val="24"/>
          <w:szCs w:val="24"/>
        </w:rPr>
        <w:t>If the good-news or good-prospect effect exists, then</w:t>
      </w:r>
      <w:r w:rsidRPr="00493B0B">
        <w:rPr>
          <w:sz w:val="24"/>
          <w:szCs w:val="24"/>
        </w:rPr>
        <w:t xml:space="preserve"> </w:t>
      </w:r>
      <w:r w:rsidR="00930E1C">
        <w:rPr>
          <w:sz w:val="24"/>
          <w:szCs w:val="24"/>
        </w:rPr>
        <w:t>we should see a bigger impact on liquidity for high-yield bonds.</w:t>
      </w:r>
      <w:r w:rsidRPr="00493B0B">
        <w:rPr>
          <w:sz w:val="24"/>
          <w:szCs w:val="24"/>
        </w:rPr>
        <w:t xml:space="preserve"> Of the 119 bonds in the sample there are 47 </w:t>
      </w:r>
      <w:r w:rsidR="00930E1C">
        <w:rPr>
          <w:sz w:val="24"/>
          <w:szCs w:val="24"/>
        </w:rPr>
        <w:t xml:space="preserve">high-yield bonds and 72 </w:t>
      </w:r>
      <w:r w:rsidRPr="00493B0B">
        <w:rPr>
          <w:sz w:val="24"/>
          <w:szCs w:val="24"/>
        </w:rPr>
        <w:t>investment grade</w:t>
      </w:r>
      <w:r w:rsidR="00930E1C">
        <w:rPr>
          <w:sz w:val="24"/>
          <w:szCs w:val="24"/>
        </w:rPr>
        <w:t xml:space="preserve"> bonds</w:t>
      </w:r>
      <w:r w:rsidRPr="00493B0B">
        <w:rPr>
          <w:sz w:val="24"/>
          <w:szCs w:val="24"/>
        </w:rPr>
        <w:t>.</w:t>
      </w:r>
    </w:p>
    <w:p w:rsidR="00DA709D" w:rsidRPr="003B6E44" w:rsidRDefault="00DA709D" w:rsidP="003B6E44">
      <w:pPr>
        <w:pStyle w:val="FootnoteText"/>
        <w:spacing w:line="360" w:lineRule="auto"/>
        <w:ind w:firstLine="720"/>
        <w:jc w:val="both"/>
        <w:rPr>
          <w:sz w:val="24"/>
          <w:szCs w:val="24"/>
        </w:rPr>
      </w:pPr>
      <w:r>
        <w:rPr>
          <w:sz w:val="24"/>
          <w:szCs w:val="24"/>
        </w:rPr>
        <w:lastRenderedPageBreak/>
        <w:t>As seen in Panel A of Table 9, under all measures, bond liquidity increases after the firm is added to the S&amp;P 500 index, regardless of which rating category the bond bel</w:t>
      </w:r>
      <w:r w:rsidR="005B733C">
        <w:rPr>
          <w:sz w:val="24"/>
          <w:szCs w:val="24"/>
        </w:rPr>
        <w:t>ongs to. I</w:t>
      </w:r>
      <w:r>
        <w:rPr>
          <w:sz w:val="24"/>
          <w:szCs w:val="24"/>
        </w:rPr>
        <w:t>f anything, the liquidity improvement is more pronounced with the investment grade bonds, directly contradicting the good-news or good-prospect hypothesis.</w:t>
      </w:r>
      <w:r w:rsidR="005B733C">
        <w:rPr>
          <w:sz w:val="24"/>
          <w:szCs w:val="24"/>
        </w:rPr>
        <w:t xml:space="preserve"> </w:t>
      </w:r>
      <w:r>
        <w:rPr>
          <w:sz w:val="24"/>
          <w:szCs w:val="24"/>
        </w:rPr>
        <w:t>Hence it is quite reasonable to attribute the liquidity improvement to increased visibility.</w:t>
      </w:r>
      <w:r w:rsidR="005B733C">
        <w:rPr>
          <w:sz w:val="24"/>
          <w:szCs w:val="24"/>
        </w:rPr>
        <w:t xml:space="preserve"> In fact, precisely because of the higher visibility of the newly added firms to the S&amp;P 500 index, more insurance companies and pension funds</w:t>
      </w:r>
      <w:r w:rsidR="00DF0E4F">
        <w:rPr>
          <w:sz w:val="24"/>
          <w:szCs w:val="24"/>
        </w:rPr>
        <w:t xml:space="preserve">, which tend to invest in investment grade bonds to lower risk capital or to comply with regulations, </w:t>
      </w:r>
      <w:r w:rsidR="005B733C">
        <w:rPr>
          <w:sz w:val="24"/>
          <w:szCs w:val="24"/>
        </w:rPr>
        <w:t xml:space="preserve">start to hold and trade </w:t>
      </w:r>
      <w:r w:rsidR="00DF0E4F">
        <w:rPr>
          <w:sz w:val="24"/>
          <w:szCs w:val="24"/>
        </w:rPr>
        <w:t xml:space="preserve">more such bonds </w:t>
      </w:r>
      <w:r w:rsidR="005B733C">
        <w:rPr>
          <w:sz w:val="24"/>
          <w:szCs w:val="24"/>
        </w:rPr>
        <w:t>from these firms.</w:t>
      </w:r>
      <w:r w:rsidR="00DF0E4F">
        <w:rPr>
          <w:sz w:val="24"/>
          <w:szCs w:val="24"/>
        </w:rPr>
        <w:t xml:space="preserve"> </w:t>
      </w:r>
      <w:r>
        <w:rPr>
          <w:sz w:val="24"/>
          <w:szCs w:val="24"/>
        </w:rPr>
        <w:t xml:space="preserve"> </w:t>
      </w:r>
    </w:p>
    <w:p w:rsidR="007E3CF3" w:rsidRPr="00493B0B" w:rsidRDefault="002963E2" w:rsidP="003D1BA0">
      <w:pPr>
        <w:spacing w:line="360" w:lineRule="auto"/>
        <w:ind w:firstLine="720"/>
        <w:jc w:val="both"/>
      </w:pPr>
      <w:r>
        <w:t xml:space="preserve">Although we have ruled out the changes in a firm’s fundamentals </w:t>
      </w:r>
      <w:r w:rsidR="00DA709D">
        <w:t xml:space="preserve">(in the form of either good news or good prospects) </w:t>
      </w:r>
      <w:r>
        <w:t xml:space="preserve">around the index addition, it is still possible </w:t>
      </w:r>
      <w:r w:rsidR="009D2B44">
        <w:t xml:space="preserve">that </w:t>
      </w:r>
      <w:r>
        <w:t xml:space="preserve">every announcement is accompanied with or prompted by </w:t>
      </w:r>
      <w:r w:rsidR="009D2B44">
        <w:t xml:space="preserve">changes in </w:t>
      </w:r>
      <w:r>
        <w:t>certain market-wide</w:t>
      </w:r>
      <w:r w:rsidR="009D2B44">
        <w:t xml:space="preserve"> factors, which in turn </w:t>
      </w:r>
      <w:r w:rsidR="00576A50">
        <w:t xml:space="preserve">could </w:t>
      </w:r>
      <w:r w:rsidR="009D2B44">
        <w:t>cause</w:t>
      </w:r>
      <w:r w:rsidR="00576A50">
        <w:t xml:space="preserve"> </w:t>
      </w:r>
      <w:r w:rsidR="006A0B2C">
        <w:t>common movements in liquidity.</w:t>
      </w:r>
      <w:r w:rsidR="009D2B44">
        <w:t xml:space="preserve"> </w:t>
      </w:r>
      <w:r w:rsidR="006A0B2C">
        <w:t>To address this concern, we perform a difference-in-difference test using a control sample. Specifically, f</w:t>
      </w:r>
      <w:r w:rsidR="00DA2C45" w:rsidRPr="00493B0B">
        <w:t>or each bond in our sample</w:t>
      </w:r>
      <w:r w:rsidR="006A0B2C">
        <w:t xml:space="preserve"> of S&amp;P 500 index additions</w:t>
      </w:r>
      <w:r w:rsidR="007E3CF3" w:rsidRPr="00493B0B">
        <w:t xml:space="preserve">, </w:t>
      </w:r>
      <w:r w:rsidR="00DA2C45" w:rsidRPr="00493B0B">
        <w:t>we identif</w:t>
      </w:r>
      <w:r w:rsidR="006A0B2C">
        <w:t>y</w:t>
      </w:r>
      <w:r w:rsidR="00DA2C45" w:rsidRPr="00493B0B">
        <w:t xml:space="preserve"> all other bonds </w:t>
      </w:r>
      <w:r w:rsidR="006A0B2C">
        <w:t>having</w:t>
      </w:r>
      <w:r w:rsidR="00DA2C45" w:rsidRPr="00493B0B">
        <w:t xml:space="preserve"> a similar credit rating and time to maturity</w:t>
      </w:r>
      <w:r w:rsidR="0061123E">
        <w:t xml:space="preserve"> and calculate their average liquidity</w:t>
      </w:r>
      <w:r w:rsidR="00DA2C45" w:rsidRPr="00493B0B">
        <w:t xml:space="preserve">. </w:t>
      </w:r>
      <w:r w:rsidR="0061123E">
        <w:t xml:space="preserve">This average is then </w:t>
      </w:r>
      <w:r w:rsidR="00DA2C45" w:rsidRPr="00493B0B">
        <w:t xml:space="preserve">subtracted from </w:t>
      </w:r>
      <w:r w:rsidR="0061123E">
        <w:t xml:space="preserve">the liquidity of </w:t>
      </w:r>
      <w:r w:rsidR="00DA2C45" w:rsidRPr="00493B0B">
        <w:t xml:space="preserve">our sample bond to obtain </w:t>
      </w:r>
      <w:r w:rsidR="0061123E">
        <w:t xml:space="preserve">a </w:t>
      </w:r>
      <w:r w:rsidR="00DA2C45" w:rsidRPr="00493B0B">
        <w:t>control</w:t>
      </w:r>
      <w:r w:rsidR="0061123E">
        <w:t>-</w:t>
      </w:r>
      <w:r w:rsidR="00DA2C45" w:rsidRPr="00493B0B">
        <w:t xml:space="preserve">adjusted liquidity measure. </w:t>
      </w:r>
      <w:r w:rsidR="00DA709D">
        <w:t xml:space="preserve">We do this for the full sample as well as the subsamples of investment and high-yield bonds. </w:t>
      </w:r>
      <w:r w:rsidR="00DA2C45" w:rsidRPr="00493B0B">
        <w:t xml:space="preserve">As seen in Panel </w:t>
      </w:r>
      <w:r w:rsidR="00FA7531">
        <w:t>B</w:t>
      </w:r>
      <w:r w:rsidR="0061123E">
        <w:t xml:space="preserve"> of Table 9,</w:t>
      </w:r>
      <w:r w:rsidR="00F9545E" w:rsidRPr="00493B0B">
        <w:t xml:space="preserve"> </w:t>
      </w:r>
      <w:r w:rsidR="00DA2C45" w:rsidRPr="00493B0B">
        <w:t>there is a significant increase in control</w:t>
      </w:r>
      <w:r w:rsidR="0061123E">
        <w:t>-</w:t>
      </w:r>
      <w:r w:rsidR="00DA2C45" w:rsidRPr="00493B0B">
        <w:t xml:space="preserve">adjusted liquidity after the </w:t>
      </w:r>
      <w:r w:rsidR="0061123E">
        <w:t xml:space="preserve">index </w:t>
      </w:r>
      <w:r w:rsidR="00DA2C45" w:rsidRPr="00493B0B">
        <w:t>addition announcement</w:t>
      </w:r>
      <w:r w:rsidR="0061123E">
        <w:t>, suggesting that the observed liquidity increase is due to increased visibility instead of market-wide factors.</w:t>
      </w:r>
      <w:r w:rsidR="00FA7531">
        <w:t xml:space="preserve"> Incidentally, the difference in difference is also more pronounced with investment grade bonds.</w:t>
      </w:r>
      <w:r w:rsidR="007E3CF3" w:rsidRPr="00493B0B">
        <w:t xml:space="preserve"> </w:t>
      </w:r>
    </w:p>
    <w:p w:rsidR="00D331EB" w:rsidRDefault="00D331EB" w:rsidP="00CF0506">
      <w:pPr>
        <w:pStyle w:val="FootnoteText"/>
        <w:spacing w:line="360" w:lineRule="auto"/>
        <w:ind w:firstLine="720"/>
        <w:jc w:val="both"/>
        <w:rPr>
          <w:sz w:val="24"/>
          <w:szCs w:val="24"/>
        </w:rPr>
      </w:pPr>
    </w:p>
    <w:p w:rsidR="00FD70FF" w:rsidRPr="00493B0B" w:rsidRDefault="00FD70FF" w:rsidP="003D1BA0">
      <w:pPr>
        <w:pStyle w:val="FootnoteText"/>
        <w:spacing w:line="360" w:lineRule="auto"/>
        <w:jc w:val="both"/>
        <w:rPr>
          <w:b/>
          <w:sz w:val="24"/>
          <w:szCs w:val="24"/>
        </w:rPr>
      </w:pPr>
      <w:r w:rsidRPr="00493B0B">
        <w:rPr>
          <w:b/>
          <w:sz w:val="24"/>
          <w:szCs w:val="24"/>
        </w:rPr>
        <w:t>5. Conclusion</w:t>
      </w:r>
      <w:r w:rsidR="00F72419" w:rsidRPr="00493B0B">
        <w:rPr>
          <w:b/>
          <w:sz w:val="24"/>
          <w:szCs w:val="24"/>
        </w:rPr>
        <w:t>s</w:t>
      </w:r>
    </w:p>
    <w:p w:rsidR="00292FC9" w:rsidRDefault="00292FC9" w:rsidP="003D1BA0">
      <w:pPr>
        <w:pStyle w:val="FootnoteText"/>
        <w:spacing w:line="360" w:lineRule="auto"/>
        <w:jc w:val="both"/>
        <w:rPr>
          <w:sz w:val="24"/>
          <w:szCs w:val="24"/>
        </w:rPr>
      </w:pPr>
    </w:p>
    <w:p w:rsidR="00A53B4A" w:rsidRDefault="00292FC9" w:rsidP="00A16D9F">
      <w:pPr>
        <w:pStyle w:val="FootnoteText"/>
        <w:spacing w:line="360" w:lineRule="auto"/>
        <w:ind w:firstLine="720"/>
        <w:jc w:val="both"/>
        <w:rPr>
          <w:sz w:val="24"/>
          <w:szCs w:val="24"/>
        </w:rPr>
      </w:pPr>
      <w:r w:rsidRPr="00292FC9">
        <w:rPr>
          <w:sz w:val="24"/>
          <w:szCs w:val="24"/>
        </w:rPr>
        <w:t xml:space="preserve">This paper examines the impact of firm visibility on corporate bond liquidity. We capture the visibility of a firm in both </w:t>
      </w:r>
      <w:r w:rsidR="00A16D9F">
        <w:rPr>
          <w:sz w:val="24"/>
          <w:szCs w:val="24"/>
        </w:rPr>
        <w:t xml:space="preserve">the </w:t>
      </w:r>
      <w:r w:rsidRPr="00292FC9">
        <w:rPr>
          <w:sz w:val="24"/>
          <w:szCs w:val="24"/>
        </w:rPr>
        <w:t xml:space="preserve">product market and </w:t>
      </w:r>
      <w:r w:rsidR="00A16D9F">
        <w:rPr>
          <w:sz w:val="24"/>
          <w:szCs w:val="24"/>
        </w:rPr>
        <w:t xml:space="preserve">the </w:t>
      </w:r>
      <w:r w:rsidRPr="00292FC9">
        <w:rPr>
          <w:sz w:val="24"/>
          <w:szCs w:val="24"/>
        </w:rPr>
        <w:t xml:space="preserve">capital markets using a range of measures such as firm size, advertising expenses, analyst coverage and the breadth of ownership in its </w:t>
      </w:r>
      <w:r w:rsidR="00DD0CA8">
        <w:rPr>
          <w:sz w:val="24"/>
          <w:szCs w:val="24"/>
        </w:rPr>
        <w:t>stock</w:t>
      </w:r>
      <w:r w:rsidRPr="00292FC9">
        <w:rPr>
          <w:sz w:val="24"/>
          <w:szCs w:val="24"/>
        </w:rPr>
        <w:t xml:space="preserve"> and </w:t>
      </w:r>
      <w:r w:rsidR="00DD0CA8">
        <w:rPr>
          <w:sz w:val="24"/>
          <w:szCs w:val="24"/>
        </w:rPr>
        <w:t>bonds</w:t>
      </w:r>
      <w:r w:rsidRPr="00292FC9">
        <w:rPr>
          <w:sz w:val="24"/>
          <w:szCs w:val="24"/>
        </w:rPr>
        <w:t xml:space="preserve">. Our main finding is that bonds of highly visible issuers enjoy greater liquidity. </w:t>
      </w:r>
      <w:r w:rsidR="00DD0CA8">
        <w:rPr>
          <w:sz w:val="24"/>
          <w:szCs w:val="24"/>
        </w:rPr>
        <w:t xml:space="preserve">After controlling for the effects from other determinants of bond liquidity, visibility of the issuing firm </w:t>
      </w:r>
      <w:r w:rsidR="0057307F">
        <w:rPr>
          <w:sz w:val="24"/>
          <w:szCs w:val="24"/>
        </w:rPr>
        <w:t xml:space="preserve">is </w:t>
      </w:r>
      <w:r w:rsidR="00DD0CA8">
        <w:rPr>
          <w:sz w:val="24"/>
          <w:szCs w:val="24"/>
        </w:rPr>
        <w:t>significant in explaining the cross-sectional differences in bond liquidity. Our results are robust to alternative measures of liquidity and different model specifications</w:t>
      </w:r>
      <w:r w:rsidR="00AB0210">
        <w:rPr>
          <w:sz w:val="24"/>
          <w:szCs w:val="24"/>
        </w:rPr>
        <w:t xml:space="preserve">. </w:t>
      </w:r>
      <w:r w:rsidR="00DD0CA8">
        <w:rPr>
          <w:sz w:val="24"/>
          <w:szCs w:val="24"/>
        </w:rPr>
        <w:t xml:space="preserve">Further, </w:t>
      </w:r>
      <w:r w:rsidR="00AB0210">
        <w:rPr>
          <w:sz w:val="24"/>
          <w:szCs w:val="24"/>
        </w:rPr>
        <w:lastRenderedPageBreak/>
        <w:t xml:space="preserve">bond liquidity improves once its issuer was added to the S&amp;P 500 index. </w:t>
      </w:r>
      <w:r w:rsidR="00DD0CA8">
        <w:rPr>
          <w:sz w:val="24"/>
          <w:szCs w:val="24"/>
        </w:rPr>
        <w:t xml:space="preserve">This finding alleviates the concern that the positive relationship between bond liquidity and </w:t>
      </w:r>
      <w:r w:rsidR="00AB0210">
        <w:rPr>
          <w:sz w:val="24"/>
          <w:szCs w:val="24"/>
        </w:rPr>
        <w:t xml:space="preserve">issuing </w:t>
      </w:r>
      <w:r w:rsidR="00DD0CA8">
        <w:rPr>
          <w:sz w:val="24"/>
          <w:szCs w:val="24"/>
        </w:rPr>
        <w:t xml:space="preserve">firm visibility documented in our cross-sectional tests </w:t>
      </w:r>
      <w:r w:rsidR="00AB0210">
        <w:rPr>
          <w:sz w:val="24"/>
          <w:szCs w:val="24"/>
        </w:rPr>
        <w:t>simply reflect</w:t>
      </w:r>
      <w:r w:rsidR="00F1351D">
        <w:rPr>
          <w:sz w:val="24"/>
          <w:szCs w:val="24"/>
        </w:rPr>
        <w:t>s</w:t>
      </w:r>
      <w:r w:rsidR="00AB0210">
        <w:rPr>
          <w:sz w:val="24"/>
          <w:szCs w:val="24"/>
        </w:rPr>
        <w:t xml:space="preserve"> the common influence from some omitted variable</w:t>
      </w:r>
      <w:r w:rsidR="00A16D9F">
        <w:rPr>
          <w:sz w:val="24"/>
          <w:szCs w:val="24"/>
        </w:rPr>
        <w:t>s</w:t>
      </w:r>
      <w:r w:rsidR="00AB0210">
        <w:rPr>
          <w:sz w:val="24"/>
          <w:szCs w:val="24"/>
        </w:rPr>
        <w:t>.</w:t>
      </w:r>
    </w:p>
    <w:p w:rsidR="001E4E4D" w:rsidRPr="0057307F" w:rsidRDefault="00FE5756" w:rsidP="003D1BA0">
      <w:pPr>
        <w:pStyle w:val="FootnoteText"/>
        <w:spacing w:line="360" w:lineRule="auto"/>
        <w:ind w:firstLine="720"/>
        <w:jc w:val="both"/>
        <w:rPr>
          <w:sz w:val="24"/>
          <w:szCs w:val="24"/>
        </w:rPr>
      </w:pPr>
      <w:r>
        <w:rPr>
          <w:sz w:val="24"/>
          <w:szCs w:val="24"/>
        </w:rPr>
        <w:t xml:space="preserve">Our study shows that the benefits of firm visibility </w:t>
      </w:r>
      <w:r w:rsidR="00A16D9F">
        <w:rPr>
          <w:sz w:val="24"/>
          <w:szCs w:val="24"/>
        </w:rPr>
        <w:t xml:space="preserve">for bonds </w:t>
      </w:r>
      <w:r>
        <w:rPr>
          <w:sz w:val="24"/>
          <w:szCs w:val="24"/>
        </w:rPr>
        <w:t xml:space="preserve">can be </w:t>
      </w:r>
      <w:r w:rsidR="00A16D9F">
        <w:rPr>
          <w:sz w:val="24"/>
          <w:szCs w:val="24"/>
        </w:rPr>
        <w:t xml:space="preserve">much </w:t>
      </w:r>
      <w:r>
        <w:rPr>
          <w:sz w:val="24"/>
          <w:szCs w:val="24"/>
        </w:rPr>
        <w:t>greater than what has been documented for stocks.  In fact, l</w:t>
      </w:r>
      <w:r w:rsidR="004529DE">
        <w:rPr>
          <w:sz w:val="24"/>
          <w:szCs w:val="24"/>
        </w:rPr>
        <w:t xml:space="preserve">iquidity has been </w:t>
      </w:r>
      <w:r w:rsidR="00AD5936">
        <w:rPr>
          <w:sz w:val="24"/>
          <w:szCs w:val="24"/>
        </w:rPr>
        <w:t>one of the biggest</w:t>
      </w:r>
      <w:r w:rsidR="004529DE">
        <w:rPr>
          <w:sz w:val="24"/>
          <w:szCs w:val="24"/>
        </w:rPr>
        <w:t xml:space="preserve"> concern</w:t>
      </w:r>
      <w:r w:rsidR="00AD5936">
        <w:rPr>
          <w:sz w:val="24"/>
          <w:szCs w:val="24"/>
        </w:rPr>
        <w:t>s for bond traders. R</w:t>
      </w:r>
      <w:r w:rsidR="00A53B4A">
        <w:rPr>
          <w:sz w:val="24"/>
          <w:szCs w:val="24"/>
        </w:rPr>
        <w:t>ecent</w:t>
      </w:r>
      <w:r w:rsidR="00AD5936">
        <w:rPr>
          <w:sz w:val="24"/>
          <w:szCs w:val="24"/>
        </w:rPr>
        <w:t xml:space="preserve"> studies have shown that liquidity affects </w:t>
      </w:r>
      <w:r w:rsidR="00A16D9F">
        <w:rPr>
          <w:sz w:val="24"/>
          <w:szCs w:val="24"/>
        </w:rPr>
        <w:t>b</w:t>
      </w:r>
      <w:r w:rsidR="00BE275E">
        <w:rPr>
          <w:sz w:val="24"/>
          <w:szCs w:val="24"/>
        </w:rPr>
        <w:t xml:space="preserve">ond yields and returns </w:t>
      </w:r>
      <w:r w:rsidR="00A16D9F">
        <w:rPr>
          <w:sz w:val="24"/>
          <w:szCs w:val="24"/>
        </w:rPr>
        <w:t xml:space="preserve">in the form of </w:t>
      </w:r>
      <w:r w:rsidR="00F1351D">
        <w:rPr>
          <w:sz w:val="24"/>
          <w:szCs w:val="24"/>
        </w:rPr>
        <w:t xml:space="preserve">both </w:t>
      </w:r>
      <w:r w:rsidR="00A47FFE">
        <w:rPr>
          <w:sz w:val="24"/>
          <w:szCs w:val="24"/>
        </w:rPr>
        <w:t xml:space="preserve">transaction costs </w:t>
      </w:r>
      <w:r w:rsidR="00F1351D">
        <w:rPr>
          <w:sz w:val="24"/>
          <w:szCs w:val="24"/>
        </w:rPr>
        <w:t>and</w:t>
      </w:r>
      <w:r w:rsidR="00BE275E">
        <w:rPr>
          <w:sz w:val="24"/>
          <w:szCs w:val="24"/>
        </w:rPr>
        <w:t xml:space="preserve"> a </w:t>
      </w:r>
      <w:r w:rsidR="00A53B4A">
        <w:rPr>
          <w:sz w:val="24"/>
          <w:szCs w:val="24"/>
        </w:rPr>
        <w:t>risk factor.</w:t>
      </w:r>
      <w:r w:rsidR="002740F4">
        <w:rPr>
          <w:sz w:val="24"/>
          <w:szCs w:val="24"/>
        </w:rPr>
        <w:t xml:space="preserve"> While</w:t>
      </w:r>
      <w:r w:rsidR="00A53B4A">
        <w:rPr>
          <w:sz w:val="24"/>
          <w:szCs w:val="24"/>
        </w:rPr>
        <w:t xml:space="preserve"> </w:t>
      </w:r>
      <w:r w:rsidR="002740F4">
        <w:rPr>
          <w:sz w:val="24"/>
          <w:szCs w:val="24"/>
        </w:rPr>
        <w:t>e</w:t>
      </w:r>
      <w:r w:rsidR="00A53B4A">
        <w:rPr>
          <w:sz w:val="24"/>
          <w:szCs w:val="24"/>
        </w:rPr>
        <w:t>arly studies have explored the determination of corporate bond liquidity by focusing on bond characteristics such as age and issue size</w:t>
      </w:r>
      <w:r w:rsidR="002740F4">
        <w:rPr>
          <w:sz w:val="24"/>
          <w:szCs w:val="24"/>
        </w:rPr>
        <w:t>, our</w:t>
      </w:r>
      <w:r w:rsidR="00A53B4A">
        <w:rPr>
          <w:sz w:val="24"/>
          <w:szCs w:val="24"/>
        </w:rPr>
        <w:t xml:space="preserve"> </w:t>
      </w:r>
      <w:r>
        <w:rPr>
          <w:sz w:val="24"/>
          <w:szCs w:val="24"/>
        </w:rPr>
        <w:t>finding</w:t>
      </w:r>
      <w:r w:rsidR="00BE275E">
        <w:rPr>
          <w:sz w:val="24"/>
          <w:szCs w:val="24"/>
        </w:rPr>
        <w:t>s</w:t>
      </w:r>
      <w:r w:rsidR="00A53B4A">
        <w:rPr>
          <w:sz w:val="24"/>
          <w:szCs w:val="24"/>
        </w:rPr>
        <w:t xml:space="preserve"> highlight the importance of firm characteristics in understanding the cross-sectional variations in bond liquidity. </w:t>
      </w:r>
      <w:r w:rsidR="002740F4">
        <w:rPr>
          <w:sz w:val="24"/>
          <w:szCs w:val="24"/>
        </w:rPr>
        <w:t>To the extent that liquidity is priced in the bond market, our paper suggests</w:t>
      </w:r>
      <w:r>
        <w:rPr>
          <w:sz w:val="24"/>
          <w:szCs w:val="24"/>
        </w:rPr>
        <w:t xml:space="preserve"> that financial polices</w:t>
      </w:r>
      <w:r w:rsidR="00A33DD6">
        <w:rPr>
          <w:sz w:val="24"/>
          <w:szCs w:val="24"/>
        </w:rPr>
        <w:t xml:space="preserve"> aiming at improving </w:t>
      </w:r>
      <w:r>
        <w:rPr>
          <w:sz w:val="24"/>
          <w:szCs w:val="24"/>
        </w:rPr>
        <w:t xml:space="preserve">visibility </w:t>
      </w:r>
      <w:r w:rsidR="002740F4">
        <w:rPr>
          <w:sz w:val="24"/>
          <w:szCs w:val="24"/>
        </w:rPr>
        <w:t xml:space="preserve">might </w:t>
      </w:r>
      <w:r w:rsidR="00A33DD6">
        <w:rPr>
          <w:sz w:val="24"/>
          <w:szCs w:val="24"/>
        </w:rPr>
        <w:t xml:space="preserve">also benefit the firm in terms of cost of </w:t>
      </w:r>
      <w:r w:rsidR="0057307F">
        <w:rPr>
          <w:sz w:val="24"/>
          <w:szCs w:val="24"/>
        </w:rPr>
        <w:t>raising debt</w:t>
      </w:r>
      <w:r w:rsidR="002740F4">
        <w:rPr>
          <w:sz w:val="24"/>
          <w:szCs w:val="24"/>
        </w:rPr>
        <w:t xml:space="preserve">. </w:t>
      </w:r>
    </w:p>
    <w:p w:rsidR="00D4789D" w:rsidRPr="00CF0506" w:rsidRDefault="0057307F" w:rsidP="00D4789D">
      <w:pPr>
        <w:autoSpaceDE w:val="0"/>
        <w:autoSpaceDN w:val="0"/>
        <w:adjustRightInd w:val="0"/>
        <w:jc w:val="center"/>
        <w:rPr>
          <w:b/>
        </w:rPr>
      </w:pPr>
      <w:r>
        <w:rPr>
          <w:b/>
          <w:sz w:val="22"/>
          <w:szCs w:val="22"/>
        </w:rPr>
        <w:br w:type="page"/>
      </w:r>
      <w:r w:rsidR="00D331EB" w:rsidRPr="00CF0506">
        <w:rPr>
          <w:b/>
        </w:rPr>
        <w:lastRenderedPageBreak/>
        <w:t>References</w:t>
      </w:r>
    </w:p>
    <w:p w:rsidR="00D4789D" w:rsidRPr="00CF0506" w:rsidRDefault="00D4789D" w:rsidP="00D4789D">
      <w:pPr>
        <w:autoSpaceDE w:val="0"/>
        <w:autoSpaceDN w:val="0"/>
        <w:adjustRightInd w:val="0"/>
      </w:pPr>
    </w:p>
    <w:p w:rsidR="00AF7DE4" w:rsidRPr="00CF0506" w:rsidRDefault="00D331EB" w:rsidP="00AC1A69">
      <w:pPr>
        <w:autoSpaceDE w:val="0"/>
        <w:autoSpaceDN w:val="0"/>
        <w:adjustRightInd w:val="0"/>
        <w:jc w:val="both"/>
      </w:pPr>
      <w:r w:rsidRPr="00CF0506">
        <w:t>Acharya, Viral V., Yakov Amihud, and Sreedhar Bharath, 2012. Liquidity risk of corporate bond returns: A conditional approach, working paper.</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Bao, Jack, Jun Pan and Jiang Wang, 2011. The illiquidity of corporate bonds, </w:t>
      </w:r>
      <w:r w:rsidRPr="00CF0506">
        <w:rPr>
          <w:i/>
        </w:rPr>
        <w:t>Journal of Finance 66, 911–945.</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rPr>
          <w:i/>
        </w:rPr>
      </w:pPr>
      <w:r w:rsidRPr="00CF0506">
        <w:t xml:space="preserve">Bodnaruk, A., and P. Ostberg, 2009. Does investor recognition predict deturns? </w:t>
      </w:r>
      <w:r w:rsidRPr="00CF0506">
        <w:rPr>
          <w:i/>
        </w:rPr>
        <w:t xml:space="preserve">Journal of Financial Economics </w:t>
      </w:r>
      <w:r w:rsidRPr="00CF0506">
        <w:t>91, 208-226</w:t>
      </w:r>
      <w:r w:rsidRPr="00CF0506">
        <w:rPr>
          <w:i/>
        </w:rPr>
        <w:t>.</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Chen, Long, David Lesmond and Jason Wei, 2007. Corporate yield spreads and bond liquidity, </w:t>
      </w:r>
      <w:r w:rsidRPr="00CF0506">
        <w:rPr>
          <w:i/>
        </w:rPr>
        <w:t>Journal of Finance</w:t>
      </w:r>
      <w:r w:rsidRPr="00CF0506">
        <w:t xml:space="preserve"> df61, 119-149.</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Collin-Dufresne, P., R. Goldstein, and S. Martin, 2001. The determinants of credit spread changes, </w:t>
      </w:r>
      <w:r w:rsidRPr="00CF0506">
        <w:rPr>
          <w:i/>
        </w:rPr>
        <w:t>Journal of Finance</w:t>
      </w:r>
      <w:r w:rsidRPr="00CF0506">
        <w:t xml:space="preserve"> 56, 2177–2207.      </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Dass, N. and Massimo Massa, 2010. Catering with multiple maturities, working paper.</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Denis, D., J. McConnell, A. Ovtchinnikov, Y.Yu, 2003. S&amp;P 500 index additions and earnings expectations, </w:t>
      </w:r>
      <w:r w:rsidRPr="00CF0506">
        <w:rPr>
          <w:i/>
        </w:rPr>
        <w:t>Journal of Finance</w:t>
      </w:r>
      <w:r w:rsidRPr="00CF0506">
        <w:t xml:space="preserve"> 58, 1821-1840. </w:t>
      </w:r>
    </w:p>
    <w:p w:rsidR="00D331EB" w:rsidRPr="00CF0506" w:rsidRDefault="00D331EB" w:rsidP="00CF0506">
      <w:pPr>
        <w:jc w:val="both"/>
      </w:pPr>
    </w:p>
    <w:p w:rsidR="00DB1612" w:rsidRPr="00CF0506" w:rsidRDefault="00D331EB" w:rsidP="00AC1A69">
      <w:pPr>
        <w:jc w:val="both"/>
      </w:pPr>
      <w:r w:rsidRPr="00CF0506">
        <w:t xml:space="preserve">Edwards, A., H., Lawrence, M. Piwowar. 2007. Corporate bond market transaction costs and transparency, </w:t>
      </w:r>
      <w:r w:rsidRPr="00CF0506">
        <w:rPr>
          <w:i/>
          <w:iCs/>
        </w:rPr>
        <w:t xml:space="preserve">Journal of Finance </w:t>
      </w:r>
      <w:r w:rsidRPr="00CF0506">
        <w:t>62, 1421-1451.</w:t>
      </w:r>
    </w:p>
    <w:p w:rsidR="000A29D9" w:rsidRPr="00CF0506" w:rsidRDefault="000A29D9">
      <w:pPr>
        <w:jc w:val="both"/>
      </w:pPr>
    </w:p>
    <w:p w:rsidR="00810C19" w:rsidRPr="00CF0506" w:rsidRDefault="00D331EB">
      <w:pPr>
        <w:jc w:val="both"/>
      </w:pPr>
      <w:r w:rsidRPr="00CF0506">
        <w:t xml:space="preserve">Fama, E., MacBeth, J., 1973. Risk, return, and equilibrium: empirical tests, </w:t>
      </w:r>
      <w:r w:rsidRPr="00CF0506">
        <w:rPr>
          <w:i/>
        </w:rPr>
        <w:t>Journal of Political Economy</w:t>
      </w:r>
      <w:r w:rsidRPr="00CF0506">
        <w:t xml:space="preserve"> 81, 607-636.</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rPr>
          <w:lang w:eastAsia="en-US"/>
        </w:rPr>
        <w:t xml:space="preserve">Foerster, S., &amp; Karolyi, G., 2000. The long run performance of global equity offerings, </w:t>
      </w:r>
      <w:r w:rsidRPr="00CF0506">
        <w:rPr>
          <w:i/>
          <w:iCs/>
          <w:lang w:eastAsia="en-US"/>
        </w:rPr>
        <w:t>Journal of Financial and Quantitative Analysis</w:t>
      </w:r>
      <w:r w:rsidRPr="00CF0506">
        <w:rPr>
          <w:lang w:eastAsia="en-US"/>
        </w:rPr>
        <w:t xml:space="preserve"> 35, 499-528.</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Friewald, N., R. Jankowitsch and M. Subramanyam, 2010. Illiquidity or credit deterioration:  A study of liquidity in the US corporate bond market during financial Crisis, Forthcoming </w:t>
      </w:r>
      <w:r w:rsidRPr="00CF0506">
        <w:rPr>
          <w:i/>
        </w:rPr>
        <w:t>Journal of Financial Economics</w:t>
      </w:r>
      <w:r w:rsidRPr="00CF0506">
        <w:t>.</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rPr>
          <w:color w:val="000000"/>
        </w:rPr>
      </w:pPr>
      <w:r w:rsidRPr="00CF0506">
        <w:rPr>
          <w:color w:val="000000"/>
        </w:rPr>
        <w:t xml:space="preserve">Grinblatt, Mark and M. Keloharju, 2001. Distance, language and culture bias: The role of investor sophistication, </w:t>
      </w:r>
      <w:r w:rsidRPr="00CF0506">
        <w:rPr>
          <w:i/>
          <w:color w:val="000000"/>
        </w:rPr>
        <w:t>Journal of Finance</w:t>
      </w:r>
      <w:r w:rsidRPr="00CF0506">
        <w:rPr>
          <w:color w:val="000000"/>
        </w:rPr>
        <w:t xml:space="preserve"> 56, 1053-1073. </w:t>
      </w:r>
    </w:p>
    <w:p w:rsidR="00810C19" w:rsidRPr="00CF0506" w:rsidRDefault="00810C19">
      <w:pPr>
        <w:autoSpaceDE w:val="0"/>
        <w:autoSpaceDN w:val="0"/>
        <w:adjustRightInd w:val="0"/>
        <w:jc w:val="both"/>
        <w:rPr>
          <w:color w:val="000000"/>
        </w:rPr>
      </w:pPr>
    </w:p>
    <w:p w:rsidR="00810C19" w:rsidRPr="00CF0506" w:rsidRDefault="00D331EB">
      <w:pPr>
        <w:autoSpaceDE w:val="0"/>
        <w:autoSpaceDN w:val="0"/>
        <w:adjustRightInd w:val="0"/>
        <w:jc w:val="both"/>
      </w:pPr>
      <w:r w:rsidRPr="00CF0506">
        <w:t xml:space="preserve">Grullon, G., G. Kanatas, and J. Weston, 2004. Advertising, breadth of ownership, and liquidity, </w:t>
      </w:r>
      <w:r w:rsidRPr="00CF0506">
        <w:rPr>
          <w:i/>
        </w:rPr>
        <w:t>Review of Financial Studies</w:t>
      </w:r>
      <w:r w:rsidRPr="00CF0506">
        <w:t xml:space="preserve"> </w:t>
      </w:r>
      <w:r w:rsidR="00DB1612">
        <w:t>17, 439-461.</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Hotchkiss, E. and G. Jostova, 2007. Determinants of corporate bond trading: a comprehensive analysis, Working Paper, Boston College.</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rPr>
          <w:lang w:eastAsia="en-US"/>
        </w:rPr>
      </w:pPr>
      <w:r w:rsidRPr="00CF0506">
        <w:rPr>
          <w:lang w:eastAsia="en-US"/>
        </w:rPr>
        <w:t xml:space="preserve">Huang, Jingzhi, and Ming Huang, 2003. How much of the </w:t>
      </w:r>
      <w:r w:rsidR="00DB1612">
        <w:rPr>
          <w:lang w:eastAsia="en-US"/>
        </w:rPr>
        <w:t>c</w:t>
      </w:r>
      <w:r w:rsidRPr="00CF0506">
        <w:rPr>
          <w:lang w:eastAsia="en-US"/>
        </w:rPr>
        <w:t>orporate-Treasury yield spread is due to credit risk, working paper.</w:t>
      </w:r>
    </w:p>
    <w:p w:rsidR="00810C19" w:rsidRPr="00CF0506" w:rsidRDefault="00810C19">
      <w:pPr>
        <w:autoSpaceDE w:val="0"/>
        <w:autoSpaceDN w:val="0"/>
        <w:adjustRightInd w:val="0"/>
        <w:jc w:val="both"/>
        <w:rPr>
          <w:lang w:eastAsia="en-US"/>
        </w:rPr>
      </w:pPr>
    </w:p>
    <w:p w:rsidR="00810C19" w:rsidRPr="00CF0506" w:rsidRDefault="00D331EB">
      <w:pPr>
        <w:autoSpaceDE w:val="0"/>
        <w:autoSpaceDN w:val="0"/>
        <w:adjustRightInd w:val="0"/>
        <w:jc w:val="both"/>
        <w:rPr>
          <w:lang w:eastAsia="en-US"/>
        </w:rPr>
      </w:pPr>
      <w:r w:rsidRPr="00CF0506">
        <w:rPr>
          <w:lang w:eastAsia="en-US"/>
        </w:rPr>
        <w:t xml:space="preserve">Huberman, Gur, 2001. Familiarity </w:t>
      </w:r>
      <w:r w:rsidR="00DB1612">
        <w:rPr>
          <w:lang w:eastAsia="en-US"/>
        </w:rPr>
        <w:t>b</w:t>
      </w:r>
      <w:r w:rsidRPr="00CF0506">
        <w:rPr>
          <w:lang w:eastAsia="en-US"/>
        </w:rPr>
        <w:t xml:space="preserve">reeds </w:t>
      </w:r>
      <w:r w:rsidR="00DB1612">
        <w:rPr>
          <w:lang w:eastAsia="en-US"/>
        </w:rPr>
        <w:t>i</w:t>
      </w:r>
      <w:r w:rsidRPr="00CF0506">
        <w:rPr>
          <w:lang w:eastAsia="en-US"/>
        </w:rPr>
        <w:t xml:space="preserve">nvestment, </w:t>
      </w:r>
      <w:r w:rsidRPr="00CF0506">
        <w:rPr>
          <w:i/>
          <w:lang w:eastAsia="en-US"/>
        </w:rPr>
        <w:t>Review of Financial Studies</w:t>
      </w:r>
      <w:r w:rsidRPr="00CF0506">
        <w:rPr>
          <w:lang w:eastAsia="en-US"/>
        </w:rPr>
        <w:t xml:space="preserve"> 14, 659-680.</w:t>
      </w:r>
    </w:p>
    <w:p w:rsidR="00810C19" w:rsidRPr="00CF0506" w:rsidRDefault="00810C19">
      <w:pPr>
        <w:autoSpaceDE w:val="0"/>
        <w:autoSpaceDN w:val="0"/>
        <w:adjustRightInd w:val="0"/>
        <w:jc w:val="both"/>
        <w:rPr>
          <w:lang w:eastAsia="en-US"/>
        </w:rPr>
      </w:pPr>
    </w:p>
    <w:p w:rsidR="00810C19" w:rsidRPr="00CF0506" w:rsidRDefault="00D331EB">
      <w:pPr>
        <w:autoSpaceDE w:val="0"/>
        <w:autoSpaceDN w:val="0"/>
        <w:adjustRightInd w:val="0"/>
        <w:jc w:val="both"/>
        <w:rPr>
          <w:lang w:eastAsia="en-US"/>
        </w:rPr>
      </w:pPr>
      <w:r w:rsidRPr="00CF0506">
        <w:rPr>
          <w:lang w:eastAsia="en-US"/>
        </w:rPr>
        <w:t>Kadlec, G., and J. McConnell, 1994</w:t>
      </w:r>
      <w:r w:rsidR="00DB1612">
        <w:rPr>
          <w:lang w:eastAsia="en-US"/>
        </w:rPr>
        <w:t>.</w:t>
      </w:r>
      <w:r w:rsidRPr="00CF0506">
        <w:rPr>
          <w:lang w:eastAsia="en-US"/>
        </w:rPr>
        <w:t xml:space="preserve"> The effect of market segmentation and illiquidity on asset</w:t>
      </w:r>
    </w:p>
    <w:p w:rsidR="00810C19" w:rsidRPr="00CF0506" w:rsidRDefault="00D331EB">
      <w:pPr>
        <w:autoSpaceDE w:val="0"/>
        <w:autoSpaceDN w:val="0"/>
        <w:adjustRightInd w:val="0"/>
        <w:jc w:val="both"/>
        <w:rPr>
          <w:lang w:eastAsia="en-US"/>
        </w:rPr>
      </w:pPr>
      <w:r w:rsidRPr="00CF0506">
        <w:rPr>
          <w:lang w:eastAsia="en-US"/>
        </w:rPr>
        <w:t>prices: Evidence from exchange listings</w:t>
      </w:r>
      <w:r w:rsidR="00DB1612">
        <w:rPr>
          <w:lang w:eastAsia="en-US"/>
        </w:rPr>
        <w:t>,</w:t>
      </w:r>
      <w:r w:rsidRPr="00CF0506">
        <w:rPr>
          <w:lang w:eastAsia="en-US"/>
        </w:rPr>
        <w:t xml:space="preserve"> </w:t>
      </w:r>
      <w:r w:rsidRPr="00CF0506">
        <w:rPr>
          <w:i/>
          <w:iCs/>
          <w:lang w:eastAsia="en-US"/>
        </w:rPr>
        <w:t>Journal of Finance</w:t>
      </w:r>
      <w:r w:rsidRPr="00CF0506">
        <w:rPr>
          <w:lang w:eastAsia="en-US"/>
        </w:rPr>
        <w:t xml:space="preserve"> 49, 611–637.</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Lehavy, R., and R. Sloan, 2008. Investor recognition and stock returns, </w:t>
      </w:r>
      <w:r w:rsidRPr="00CF0506">
        <w:rPr>
          <w:i/>
        </w:rPr>
        <w:t>Review of Accounting Studies</w:t>
      </w:r>
      <w:r w:rsidR="00DB1612">
        <w:rPr>
          <w:i/>
        </w:rPr>
        <w:t xml:space="preserve"> </w:t>
      </w:r>
      <w:r w:rsidR="00DB1612">
        <w:t xml:space="preserve">13, </w:t>
      </w:r>
      <w:r w:rsidR="00DB1612" w:rsidRPr="00DB1612">
        <w:t>327-361</w:t>
      </w:r>
      <w:r w:rsidRPr="00CF0506">
        <w:t>.</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Lin, Hai, Junbo Wang, and Chunchi Wu, 2011. Liquidity risk and expected corporate bond returns, </w:t>
      </w:r>
      <w:r w:rsidRPr="00CF0506">
        <w:rPr>
          <w:i/>
        </w:rPr>
        <w:t>Journal of Financial Economics</w:t>
      </w:r>
      <w:r w:rsidRPr="00CF0506">
        <w:t xml:space="preserve"> 99, 628-650.</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Longstaff, F., S. Mithal, and E. Neis, 2005. Corporate yield spreads: Default risk or liquidity? New evidence from the credit-default swap market, </w:t>
      </w:r>
      <w:r w:rsidRPr="00CF0506">
        <w:rPr>
          <w:i/>
        </w:rPr>
        <w:t>Journal of Finance</w:t>
      </w:r>
      <w:r w:rsidRPr="00CF0506">
        <w:t xml:space="preserve"> 60, 2213–2253.</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rPr>
          <w:lang w:eastAsia="en-US"/>
        </w:rPr>
      </w:pPr>
      <w:r w:rsidRPr="00CF0506">
        <w:rPr>
          <w:lang w:eastAsia="en-US"/>
        </w:rPr>
        <w:t xml:space="preserve">Merton, Robert C., 1987. A Simple model of capital market equilibrium with incomplete information, </w:t>
      </w:r>
      <w:r w:rsidRPr="00CF0506">
        <w:rPr>
          <w:i/>
          <w:lang w:eastAsia="en-US"/>
        </w:rPr>
        <w:t>Journal of Finance</w:t>
      </w:r>
      <w:r w:rsidRPr="00CF0506">
        <w:rPr>
          <w:lang w:eastAsia="en-US"/>
        </w:rPr>
        <w:t xml:space="preserve"> 42, 483-510.</w:t>
      </w:r>
    </w:p>
    <w:p w:rsidR="00810C19" w:rsidRPr="00CF0506" w:rsidRDefault="00810C19">
      <w:pPr>
        <w:jc w:val="both"/>
      </w:pPr>
    </w:p>
    <w:p w:rsidR="00810C19" w:rsidRPr="00CF0506" w:rsidRDefault="00D331EB">
      <w:pPr>
        <w:jc w:val="both"/>
      </w:pPr>
      <w:r w:rsidRPr="00CF0506">
        <w:t>Mahanti, S., A. Nashikkar, M. Subrahmanyam, G. Chacko, and  G. Mallik, 200</w:t>
      </w:r>
      <w:r w:rsidR="00AC1A69">
        <w:t>8</w:t>
      </w:r>
      <w:r w:rsidRPr="00CF0506">
        <w:t xml:space="preserve">. Latent liquidity:  A new measure of liquidity, with an application to Corporate Bonds, </w:t>
      </w:r>
      <w:r w:rsidRPr="00CF0506">
        <w:rPr>
          <w:i/>
        </w:rPr>
        <w:t>Journal of Financial Economics</w:t>
      </w:r>
      <w:r w:rsidR="00AC1A69">
        <w:rPr>
          <w:i/>
        </w:rPr>
        <w:t xml:space="preserve"> </w:t>
      </w:r>
      <w:r w:rsidR="00AC1A69">
        <w:t xml:space="preserve">88, </w:t>
      </w:r>
      <w:r w:rsidRPr="00CF0506">
        <w:t>272–298.</w:t>
      </w:r>
    </w:p>
    <w:p w:rsidR="00810C19" w:rsidRPr="00CF0506" w:rsidRDefault="00810C19">
      <w:pPr>
        <w:jc w:val="both"/>
      </w:pPr>
    </w:p>
    <w:p w:rsidR="00810C19" w:rsidRPr="00CF0506" w:rsidRDefault="00D331EB">
      <w:pPr>
        <w:jc w:val="both"/>
      </w:pPr>
      <w:r w:rsidRPr="00CF0506">
        <w:t>Massa, M., A. Yasuda and L. Zhang, 2010. Investment horizon of the bond investor base and the leverage of the firm, working paper.</w:t>
      </w:r>
    </w:p>
    <w:p w:rsidR="00810C19" w:rsidRPr="00CF0506" w:rsidRDefault="00810C19">
      <w:pPr>
        <w:jc w:val="both"/>
      </w:pPr>
    </w:p>
    <w:p w:rsidR="00810C19" w:rsidRPr="00CF0506" w:rsidRDefault="00D331EB">
      <w:pPr>
        <w:jc w:val="both"/>
      </w:pPr>
      <w:r w:rsidRPr="00CF0506">
        <w:t xml:space="preserve">Newey, W. K. and West, K. D., 1987. A simple, positive semi-definite, heteroskedasticity and autocorrelation consistent covariance matrix, </w:t>
      </w:r>
      <w:r w:rsidRPr="00CF0506">
        <w:rPr>
          <w:i/>
        </w:rPr>
        <w:t>Econometrica</w:t>
      </w:r>
      <w:r w:rsidRPr="00CF0506">
        <w:t xml:space="preserve"> 55, 703-708.</w:t>
      </w:r>
    </w:p>
    <w:p w:rsidR="00810C19" w:rsidRPr="00CF0506" w:rsidRDefault="00810C19">
      <w:pPr>
        <w:jc w:val="both"/>
      </w:pPr>
    </w:p>
    <w:p w:rsidR="00810C19" w:rsidRPr="00CF0506" w:rsidRDefault="00D331EB">
      <w:pPr>
        <w:jc w:val="both"/>
      </w:pPr>
      <w:r w:rsidRPr="00CF0506">
        <w:t>Ronen, Tavy, and Xing Zhou, 2010. Where did all the information go? Trade in the corporate bond market, working paper.</w:t>
      </w:r>
    </w:p>
    <w:p w:rsidR="00810C19" w:rsidRPr="00CF0506" w:rsidRDefault="00810C19">
      <w:pPr>
        <w:autoSpaceDE w:val="0"/>
        <w:autoSpaceDN w:val="0"/>
        <w:adjustRightInd w:val="0"/>
        <w:jc w:val="both"/>
      </w:pPr>
    </w:p>
    <w:p w:rsidR="00810C19" w:rsidRPr="00CF0506" w:rsidRDefault="00D331EB">
      <w:pPr>
        <w:autoSpaceDE w:val="0"/>
        <w:autoSpaceDN w:val="0"/>
        <w:adjustRightInd w:val="0"/>
        <w:jc w:val="both"/>
      </w:pPr>
      <w:r w:rsidRPr="00CF0506">
        <w:t xml:space="preserve">Shleifer, A., 1986. Do demand curves for stocks slope down? </w:t>
      </w:r>
      <w:r w:rsidRPr="00CF0506">
        <w:rPr>
          <w:i/>
        </w:rPr>
        <w:t>Journal of Finance</w:t>
      </w:r>
      <w:r w:rsidR="00AC1A69">
        <w:t xml:space="preserve"> 41, 579-590</w:t>
      </w:r>
      <w:r w:rsidRPr="00CF0506">
        <w:t>.</w:t>
      </w:r>
    </w:p>
    <w:p w:rsidR="00810C19" w:rsidRPr="00CF0506" w:rsidRDefault="00810C19">
      <w:pPr>
        <w:autoSpaceDE w:val="0"/>
        <w:autoSpaceDN w:val="0"/>
        <w:adjustRightInd w:val="0"/>
        <w:jc w:val="both"/>
      </w:pPr>
    </w:p>
    <w:p w:rsidR="00D331EB" w:rsidRPr="00CF0506" w:rsidRDefault="00D331EB" w:rsidP="00CF0506">
      <w:pPr>
        <w:jc w:val="both"/>
      </w:pPr>
      <w:r w:rsidRPr="00CF0506">
        <w:t>Thompson, S., 2009. Simple formulas for standard errors that cluster by both firm and time, working paper.</w:t>
      </w:r>
    </w:p>
    <w:p w:rsidR="00397048" w:rsidRDefault="00811274" w:rsidP="00182850">
      <w:pPr>
        <w:jc w:val="center"/>
        <w:rPr>
          <w:b/>
          <w:sz w:val="22"/>
          <w:szCs w:val="22"/>
        </w:rPr>
      </w:pPr>
      <w:r w:rsidRPr="00DB1612">
        <w:br w:type="page"/>
      </w:r>
      <w:r w:rsidR="007E4510" w:rsidRPr="0084308B">
        <w:rPr>
          <w:b/>
          <w:sz w:val="22"/>
          <w:szCs w:val="22"/>
        </w:rPr>
        <w:lastRenderedPageBreak/>
        <w:t>Table 1</w:t>
      </w:r>
      <w:r w:rsidR="0018713C">
        <w:rPr>
          <w:b/>
          <w:sz w:val="22"/>
          <w:szCs w:val="22"/>
        </w:rPr>
        <w:t>.</w:t>
      </w:r>
      <w:r w:rsidR="007E4510" w:rsidRPr="0084308B">
        <w:rPr>
          <w:b/>
          <w:sz w:val="22"/>
          <w:szCs w:val="22"/>
        </w:rPr>
        <w:t xml:space="preserve"> </w:t>
      </w:r>
      <w:r w:rsidR="00C21257">
        <w:rPr>
          <w:b/>
          <w:sz w:val="22"/>
          <w:szCs w:val="22"/>
        </w:rPr>
        <w:t>Summary statistics of bond c</w:t>
      </w:r>
      <w:r w:rsidR="007E4510" w:rsidRPr="0084308B">
        <w:rPr>
          <w:b/>
          <w:sz w:val="22"/>
          <w:szCs w:val="22"/>
        </w:rPr>
        <w:t>haracteristics</w:t>
      </w:r>
    </w:p>
    <w:p w:rsidR="007E4510" w:rsidRPr="009514E2" w:rsidRDefault="007E4510" w:rsidP="007E4510">
      <w:pPr>
        <w:rPr>
          <w:b/>
          <w:sz w:val="18"/>
          <w:szCs w:val="18"/>
        </w:rPr>
      </w:pPr>
    </w:p>
    <w:p w:rsidR="007E4510" w:rsidRDefault="007E4510" w:rsidP="007E4510">
      <w:pPr>
        <w:jc w:val="both"/>
        <w:rPr>
          <w:sz w:val="18"/>
          <w:szCs w:val="18"/>
        </w:rPr>
      </w:pPr>
      <w:r w:rsidRPr="009514E2">
        <w:rPr>
          <w:sz w:val="18"/>
          <w:szCs w:val="18"/>
        </w:rPr>
        <w:t xml:space="preserve">This table </w:t>
      </w:r>
      <w:r>
        <w:rPr>
          <w:sz w:val="18"/>
          <w:szCs w:val="18"/>
        </w:rPr>
        <w:t>provides summary information on the characteristics of the 5,635 bonds</w:t>
      </w:r>
      <w:r w:rsidR="00C21257">
        <w:rPr>
          <w:sz w:val="18"/>
          <w:szCs w:val="18"/>
        </w:rPr>
        <w:t xml:space="preserve"> in our sample</w:t>
      </w:r>
      <w:r>
        <w:rPr>
          <w:sz w:val="18"/>
          <w:szCs w:val="18"/>
        </w:rPr>
        <w:t xml:space="preserve">. Data on bond characteristics are retrieved from the Mergent FISD database. Panel A presents summary statistics on basic bond characteristics, including </w:t>
      </w:r>
      <w:r w:rsidR="00C21257">
        <w:rPr>
          <w:sz w:val="18"/>
          <w:szCs w:val="18"/>
        </w:rPr>
        <w:t>i</w:t>
      </w:r>
      <w:r>
        <w:rPr>
          <w:sz w:val="18"/>
          <w:szCs w:val="18"/>
        </w:rPr>
        <w:t xml:space="preserve">ssue </w:t>
      </w:r>
      <w:r w:rsidR="00C21257">
        <w:rPr>
          <w:sz w:val="18"/>
          <w:szCs w:val="18"/>
        </w:rPr>
        <w:t>s</w:t>
      </w:r>
      <w:r>
        <w:rPr>
          <w:sz w:val="18"/>
          <w:szCs w:val="18"/>
        </w:rPr>
        <w:t xml:space="preserve">ize, </w:t>
      </w:r>
      <w:r w:rsidR="00C21257">
        <w:rPr>
          <w:sz w:val="18"/>
          <w:szCs w:val="18"/>
        </w:rPr>
        <w:t>c</w:t>
      </w:r>
      <w:r>
        <w:rPr>
          <w:sz w:val="18"/>
          <w:szCs w:val="18"/>
        </w:rPr>
        <w:t xml:space="preserve">oupon </w:t>
      </w:r>
      <w:r w:rsidR="00C21257">
        <w:rPr>
          <w:sz w:val="18"/>
          <w:szCs w:val="18"/>
        </w:rPr>
        <w:t>r</w:t>
      </w:r>
      <w:r>
        <w:rPr>
          <w:sz w:val="18"/>
          <w:szCs w:val="18"/>
        </w:rPr>
        <w:t xml:space="preserve">ate, </w:t>
      </w:r>
      <w:r w:rsidR="00C21257">
        <w:rPr>
          <w:sz w:val="18"/>
          <w:szCs w:val="18"/>
        </w:rPr>
        <w:t>a</w:t>
      </w:r>
      <w:r>
        <w:rPr>
          <w:sz w:val="18"/>
          <w:szCs w:val="18"/>
        </w:rPr>
        <w:t>ge (number of years sinc</w:t>
      </w:r>
      <w:r w:rsidR="00C21257">
        <w:rPr>
          <w:sz w:val="18"/>
          <w:szCs w:val="18"/>
        </w:rPr>
        <w:t>e</w:t>
      </w:r>
      <w:r>
        <w:rPr>
          <w:sz w:val="18"/>
          <w:szCs w:val="18"/>
        </w:rPr>
        <w:t xml:space="preserve"> issuance), and </w:t>
      </w:r>
      <w:r w:rsidR="00C21257">
        <w:rPr>
          <w:sz w:val="18"/>
          <w:szCs w:val="18"/>
        </w:rPr>
        <w:t>t</w:t>
      </w:r>
      <w:r>
        <w:rPr>
          <w:sz w:val="18"/>
          <w:szCs w:val="18"/>
        </w:rPr>
        <w:t xml:space="preserve">ime to </w:t>
      </w:r>
      <w:r w:rsidR="00C21257">
        <w:rPr>
          <w:sz w:val="18"/>
          <w:szCs w:val="18"/>
        </w:rPr>
        <w:t>m</w:t>
      </w:r>
      <w:r>
        <w:rPr>
          <w:sz w:val="18"/>
          <w:szCs w:val="18"/>
        </w:rPr>
        <w:t xml:space="preserve">aturity (in years). Panel B includes information on the percentage of bonds that are rated investment-grade, and that have some complexity features. We also present information on industry classifications. </w:t>
      </w:r>
    </w:p>
    <w:p w:rsidR="007E4510" w:rsidRDefault="007E4510" w:rsidP="007E4510">
      <w:pPr>
        <w:rPr>
          <w:sz w:val="18"/>
          <w:szCs w:val="18"/>
        </w:rPr>
      </w:pPr>
    </w:p>
    <w:p w:rsidR="005A3B67" w:rsidRDefault="005A3B67" w:rsidP="007E4510">
      <w:pPr>
        <w:rPr>
          <w:b/>
          <w:sz w:val="18"/>
          <w:szCs w:val="18"/>
        </w:rPr>
      </w:pPr>
    </w:p>
    <w:p w:rsidR="007E4510" w:rsidRDefault="00D331EB" w:rsidP="007E4510">
      <w:pPr>
        <w:rPr>
          <w:sz w:val="18"/>
          <w:szCs w:val="18"/>
        </w:rPr>
      </w:pPr>
      <w:r w:rsidRPr="00CF0506">
        <w:rPr>
          <w:sz w:val="18"/>
          <w:szCs w:val="18"/>
        </w:rPr>
        <w:t>Panel A: Basic bond characteristics:</w:t>
      </w:r>
    </w:p>
    <w:p w:rsidR="00B603CB" w:rsidRPr="00CF0506" w:rsidRDefault="00B005FD" w:rsidP="007E4510">
      <w:pPr>
        <w:rPr>
          <w:sz w:val="18"/>
          <w:szCs w:val="18"/>
        </w:rPr>
      </w:pPr>
      <w:r w:rsidRPr="00CF0506">
        <w:rPr>
          <w:noProof/>
          <w:szCs w:val="18"/>
        </w:rPr>
        <w:drawing>
          <wp:inline distT="0" distB="0" distL="0" distR="0" wp14:anchorId="05EFC494" wp14:editId="5A551D08">
            <wp:extent cx="4350385" cy="92138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350385" cy="921385"/>
                    </a:xfrm>
                    <a:prstGeom prst="rect">
                      <a:avLst/>
                    </a:prstGeom>
                    <a:noFill/>
                    <a:ln w="9525">
                      <a:noFill/>
                      <a:miter lim="800000"/>
                      <a:headEnd/>
                      <a:tailEnd/>
                    </a:ln>
                  </pic:spPr>
                </pic:pic>
              </a:graphicData>
            </a:graphic>
          </wp:inline>
        </w:drawing>
      </w:r>
    </w:p>
    <w:p w:rsidR="007E4510" w:rsidRPr="009514E2" w:rsidRDefault="007E4510" w:rsidP="007E4510">
      <w:pPr>
        <w:rPr>
          <w:sz w:val="18"/>
          <w:szCs w:val="18"/>
        </w:rPr>
      </w:pPr>
    </w:p>
    <w:p w:rsidR="007E4510" w:rsidRDefault="00D331EB" w:rsidP="007E4510">
      <w:pPr>
        <w:spacing w:before="120"/>
        <w:rPr>
          <w:sz w:val="18"/>
          <w:szCs w:val="18"/>
        </w:rPr>
      </w:pPr>
      <w:r w:rsidRPr="00CF0506">
        <w:rPr>
          <w:sz w:val="18"/>
          <w:szCs w:val="18"/>
        </w:rPr>
        <w:t xml:space="preserve">Panel B: Other </w:t>
      </w:r>
      <w:r w:rsidR="00B603CB">
        <w:rPr>
          <w:sz w:val="18"/>
          <w:szCs w:val="18"/>
        </w:rPr>
        <w:t>b</w:t>
      </w:r>
      <w:r w:rsidRPr="00CF0506">
        <w:rPr>
          <w:sz w:val="18"/>
          <w:szCs w:val="18"/>
        </w:rPr>
        <w:t xml:space="preserve">ond </w:t>
      </w:r>
      <w:r w:rsidR="00B603CB">
        <w:rPr>
          <w:sz w:val="18"/>
          <w:szCs w:val="18"/>
        </w:rPr>
        <w:t>c</w:t>
      </w:r>
      <w:r w:rsidRPr="00CF0506">
        <w:rPr>
          <w:sz w:val="18"/>
          <w:szCs w:val="18"/>
        </w:rPr>
        <w:t>haracteristics:</w:t>
      </w:r>
    </w:p>
    <w:p w:rsidR="00B603CB" w:rsidRPr="00CF0506" w:rsidRDefault="00B005FD" w:rsidP="007E4510">
      <w:pPr>
        <w:spacing w:before="120"/>
        <w:rPr>
          <w:sz w:val="18"/>
          <w:szCs w:val="18"/>
        </w:rPr>
      </w:pPr>
      <w:r w:rsidRPr="00CF0506">
        <w:rPr>
          <w:noProof/>
          <w:szCs w:val="18"/>
        </w:rPr>
        <w:drawing>
          <wp:inline distT="0" distB="0" distL="0" distR="0" wp14:anchorId="7FB6AE0B" wp14:editId="1E3FE9EA">
            <wp:extent cx="3574415" cy="2022475"/>
            <wp:effectExtent l="19050" t="0" r="698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574415" cy="2022475"/>
                    </a:xfrm>
                    <a:prstGeom prst="rect">
                      <a:avLst/>
                    </a:prstGeom>
                    <a:noFill/>
                    <a:ln w="9525">
                      <a:noFill/>
                      <a:miter lim="800000"/>
                      <a:headEnd/>
                      <a:tailEnd/>
                    </a:ln>
                  </pic:spPr>
                </pic:pic>
              </a:graphicData>
            </a:graphic>
          </wp:inline>
        </w:drawing>
      </w:r>
    </w:p>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Pr>
        <w:jc w:val="center"/>
        <w:rPr>
          <w:b/>
          <w:sz w:val="18"/>
          <w:szCs w:val="18"/>
        </w:rPr>
      </w:pPr>
    </w:p>
    <w:p w:rsidR="007E4510" w:rsidRPr="0084308B" w:rsidRDefault="007E4510" w:rsidP="007E4510">
      <w:pPr>
        <w:jc w:val="center"/>
        <w:rPr>
          <w:b/>
          <w:sz w:val="22"/>
          <w:szCs w:val="22"/>
        </w:rPr>
      </w:pPr>
      <w:r w:rsidRPr="0084308B">
        <w:rPr>
          <w:b/>
          <w:sz w:val="22"/>
          <w:szCs w:val="22"/>
        </w:rPr>
        <w:lastRenderedPageBreak/>
        <w:t>Table 2</w:t>
      </w:r>
      <w:r w:rsidR="0018713C">
        <w:rPr>
          <w:b/>
          <w:sz w:val="22"/>
          <w:szCs w:val="22"/>
        </w:rPr>
        <w:t>.</w:t>
      </w:r>
      <w:r w:rsidRPr="0084308B">
        <w:rPr>
          <w:b/>
          <w:sz w:val="22"/>
          <w:szCs w:val="22"/>
        </w:rPr>
        <w:t xml:space="preserve"> Summary statistics on visibility and liquidity measures</w:t>
      </w:r>
    </w:p>
    <w:p w:rsidR="007E4510" w:rsidRPr="009514E2" w:rsidRDefault="007E4510" w:rsidP="007E4510">
      <w:pPr>
        <w:rPr>
          <w:b/>
          <w:sz w:val="18"/>
          <w:szCs w:val="18"/>
        </w:rPr>
      </w:pPr>
    </w:p>
    <w:p w:rsidR="007E4510" w:rsidRDefault="007E4510" w:rsidP="00DA30F8">
      <w:pPr>
        <w:jc w:val="both"/>
        <w:rPr>
          <w:sz w:val="18"/>
          <w:szCs w:val="18"/>
        </w:rPr>
      </w:pPr>
      <w:r>
        <w:rPr>
          <w:sz w:val="18"/>
          <w:szCs w:val="18"/>
        </w:rPr>
        <w:t xml:space="preserve">Panel A presents </w:t>
      </w:r>
      <w:r w:rsidR="00237EA8">
        <w:rPr>
          <w:sz w:val="18"/>
          <w:szCs w:val="18"/>
        </w:rPr>
        <w:t xml:space="preserve">summary statistics for </w:t>
      </w:r>
      <w:r>
        <w:rPr>
          <w:sz w:val="18"/>
          <w:szCs w:val="18"/>
        </w:rPr>
        <w:t>each of the following five measures of visibility: S</w:t>
      </w:r>
      <w:r w:rsidR="004B1EF0">
        <w:rPr>
          <w:sz w:val="18"/>
          <w:szCs w:val="18"/>
        </w:rPr>
        <w:t>IZE</w:t>
      </w:r>
      <w:r>
        <w:rPr>
          <w:sz w:val="18"/>
          <w:szCs w:val="18"/>
        </w:rPr>
        <w:t xml:space="preserve"> (book value of debt plus market value of equity), XAD (advertising expenses), NEQUITY (number of mutual funds holding the issuer’s equity), and </w:t>
      </w:r>
      <w:r w:rsidR="00116AF8">
        <w:rPr>
          <w:sz w:val="18"/>
          <w:szCs w:val="18"/>
        </w:rPr>
        <w:t>NANALYST</w:t>
      </w:r>
      <w:r>
        <w:rPr>
          <w:sz w:val="18"/>
          <w:szCs w:val="18"/>
        </w:rPr>
        <w:t xml:space="preserve"> (number of analyst following</w:t>
      </w:r>
      <w:r w:rsidR="004B1EF0">
        <w:rPr>
          <w:sz w:val="18"/>
          <w:szCs w:val="18"/>
        </w:rPr>
        <w:t xml:space="preserve"> the firm</w:t>
      </w:r>
      <w:r>
        <w:rPr>
          <w:sz w:val="18"/>
          <w:szCs w:val="18"/>
        </w:rPr>
        <w:t>). S</w:t>
      </w:r>
      <w:r w:rsidR="004B1EF0">
        <w:rPr>
          <w:sz w:val="18"/>
          <w:szCs w:val="18"/>
        </w:rPr>
        <w:t>IZE</w:t>
      </w:r>
      <w:r>
        <w:rPr>
          <w:sz w:val="18"/>
          <w:szCs w:val="18"/>
        </w:rPr>
        <w:t xml:space="preserve"> and XAD are </w:t>
      </w:r>
      <w:r w:rsidR="004B1EF0">
        <w:rPr>
          <w:sz w:val="18"/>
          <w:szCs w:val="18"/>
        </w:rPr>
        <w:t xml:space="preserve">based on annual data </w:t>
      </w:r>
      <w:r>
        <w:rPr>
          <w:sz w:val="18"/>
          <w:szCs w:val="18"/>
        </w:rPr>
        <w:t xml:space="preserve">from Compustat. NEQUITY and </w:t>
      </w:r>
      <w:r w:rsidR="00116AF8">
        <w:rPr>
          <w:sz w:val="18"/>
          <w:szCs w:val="18"/>
        </w:rPr>
        <w:t>NANALYST</w:t>
      </w:r>
      <w:r>
        <w:rPr>
          <w:sz w:val="18"/>
          <w:szCs w:val="18"/>
        </w:rPr>
        <w:t xml:space="preserve"> are calculated using data from </w:t>
      </w:r>
      <w:r w:rsidRPr="0036179D">
        <w:rPr>
          <w:sz w:val="18"/>
          <w:szCs w:val="18"/>
        </w:rPr>
        <w:t>Thomson 13f Filings and I</w:t>
      </w:r>
      <w:r w:rsidR="004B1EF0">
        <w:rPr>
          <w:sz w:val="18"/>
          <w:szCs w:val="18"/>
        </w:rPr>
        <w:t>/</w:t>
      </w:r>
      <w:r w:rsidRPr="0036179D">
        <w:rPr>
          <w:sz w:val="18"/>
          <w:szCs w:val="18"/>
        </w:rPr>
        <w:t>B</w:t>
      </w:r>
      <w:r w:rsidR="004B1EF0">
        <w:rPr>
          <w:sz w:val="18"/>
          <w:szCs w:val="18"/>
        </w:rPr>
        <w:t>/</w:t>
      </w:r>
      <w:r w:rsidRPr="0036179D">
        <w:rPr>
          <w:sz w:val="18"/>
          <w:szCs w:val="18"/>
        </w:rPr>
        <w:t>E</w:t>
      </w:r>
      <w:r w:rsidR="004B1EF0">
        <w:rPr>
          <w:sz w:val="18"/>
          <w:szCs w:val="18"/>
        </w:rPr>
        <w:t>/</w:t>
      </w:r>
      <w:r w:rsidRPr="0036179D">
        <w:rPr>
          <w:sz w:val="18"/>
          <w:szCs w:val="18"/>
        </w:rPr>
        <w:t>S</w:t>
      </w:r>
      <w:r>
        <w:rPr>
          <w:sz w:val="18"/>
          <w:szCs w:val="18"/>
        </w:rPr>
        <w:t xml:space="preserve">, respectively. Correlations </w:t>
      </w:r>
      <w:r w:rsidR="004B1EF0">
        <w:rPr>
          <w:sz w:val="18"/>
          <w:szCs w:val="18"/>
        </w:rPr>
        <w:t xml:space="preserve">between </w:t>
      </w:r>
      <w:r>
        <w:rPr>
          <w:sz w:val="18"/>
          <w:szCs w:val="18"/>
        </w:rPr>
        <w:t>these visibility measures are presented in Panel B. Panel</w:t>
      </w:r>
      <w:r w:rsidR="004B1EF0">
        <w:rPr>
          <w:sz w:val="18"/>
          <w:szCs w:val="18"/>
        </w:rPr>
        <w:t>s</w:t>
      </w:r>
      <w:r>
        <w:rPr>
          <w:sz w:val="18"/>
          <w:szCs w:val="18"/>
        </w:rPr>
        <w:t xml:space="preserve"> C and D present the summary statistics and correlation</w:t>
      </w:r>
      <w:r w:rsidR="004B1EF0">
        <w:rPr>
          <w:sz w:val="18"/>
          <w:szCs w:val="18"/>
        </w:rPr>
        <w:t>s</w:t>
      </w:r>
      <w:r>
        <w:rPr>
          <w:sz w:val="18"/>
          <w:szCs w:val="18"/>
        </w:rPr>
        <w:t xml:space="preserve"> for liquidity measures: </w:t>
      </w:r>
      <w:r w:rsidR="00DB1425">
        <w:rPr>
          <w:sz w:val="18"/>
          <w:szCs w:val="18"/>
        </w:rPr>
        <w:t>ZEROPCT</w:t>
      </w:r>
      <w:r>
        <w:rPr>
          <w:sz w:val="18"/>
          <w:szCs w:val="18"/>
        </w:rPr>
        <w:t xml:space="preserve"> (percent</w:t>
      </w:r>
      <w:r w:rsidR="004B1EF0">
        <w:rPr>
          <w:sz w:val="18"/>
          <w:szCs w:val="18"/>
        </w:rPr>
        <w:t>age of days in a quarter with zero returns</w:t>
      </w:r>
      <w:r>
        <w:rPr>
          <w:sz w:val="18"/>
          <w:szCs w:val="18"/>
        </w:rPr>
        <w:t>), NTRADES (total number of trades</w:t>
      </w:r>
      <w:r w:rsidR="004B1EF0">
        <w:rPr>
          <w:sz w:val="18"/>
          <w:szCs w:val="18"/>
        </w:rPr>
        <w:t xml:space="preserve"> in a quarter</w:t>
      </w:r>
      <w:r>
        <w:rPr>
          <w:sz w:val="18"/>
          <w:szCs w:val="18"/>
        </w:rPr>
        <w:t>), VOLUME (total par value of trading</w:t>
      </w:r>
      <w:r w:rsidR="004B1EF0">
        <w:rPr>
          <w:sz w:val="18"/>
          <w:szCs w:val="18"/>
        </w:rPr>
        <w:t xml:space="preserve"> in a quarter</w:t>
      </w:r>
      <w:r>
        <w:rPr>
          <w:sz w:val="18"/>
          <w:szCs w:val="18"/>
        </w:rPr>
        <w:t>), GAMMA (</w:t>
      </w:r>
      <w:r w:rsidR="004B1EF0">
        <w:rPr>
          <w:sz w:val="18"/>
          <w:szCs w:val="18"/>
        </w:rPr>
        <w:t xml:space="preserve">γ </w:t>
      </w:r>
      <w:r>
        <w:rPr>
          <w:sz w:val="18"/>
          <w:szCs w:val="18"/>
        </w:rPr>
        <w:t xml:space="preserve">in Bao, Pan and Wang (2011)), and AMIHUD </w:t>
      </w:r>
      <w:r w:rsidR="004B1EF0">
        <w:rPr>
          <w:sz w:val="18"/>
          <w:szCs w:val="18"/>
        </w:rPr>
        <w:t xml:space="preserve">(Amihud </w:t>
      </w:r>
      <w:r>
        <w:rPr>
          <w:sz w:val="18"/>
          <w:szCs w:val="18"/>
        </w:rPr>
        <w:t xml:space="preserve">illiquidity </w:t>
      </w:r>
      <w:r w:rsidR="0018713C">
        <w:rPr>
          <w:sz w:val="18"/>
          <w:szCs w:val="18"/>
        </w:rPr>
        <w:t>in</w:t>
      </w:r>
      <w:r w:rsidR="004B1EF0">
        <w:rPr>
          <w:sz w:val="18"/>
          <w:szCs w:val="18"/>
        </w:rPr>
        <w:t xml:space="preserve"> Amihud (2002))</w:t>
      </w:r>
      <w:r>
        <w:rPr>
          <w:sz w:val="18"/>
          <w:szCs w:val="18"/>
        </w:rPr>
        <w:t xml:space="preserve">. All </w:t>
      </w:r>
      <w:r w:rsidR="004B1EF0">
        <w:rPr>
          <w:sz w:val="18"/>
          <w:szCs w:val="18"/>
        </w:rPr>
        <w:t xml:space="preserve">the </w:t>
      </w:r>
      <w:r>
        <w:rPr>
          <w:sz w:val="18"/>
          <w:szCs w:val="18"/>
        </w:rPr>
        <w:t>liquidity measures are calculated using bond transaction data from TRACE</w:t>
      </w:r>
      <w:r w:rsidR="004B1EF0">
        <w:rPr>
          <w:sz w:val="18"/>
          <w:szCs w:val="18"/>
        </w:rPr>
        <w:t xml:space="preserve"> for the period of 2003 to 2008</w:t>
      </w:r>
      <w:r>
        <w:rPr>
          <w:sz w:val="18"/>
          <w:szCs w:val="18"/>
        </w:rPr>
        <w:t>.</w:t>
      </w:r>
      <w:r w:rsidR="004B1EF0">
        <w:rPr>
          <w:sz w:val="18"/>
          <w:szCs w:val="18"/>
        </w:rPr>
        <w:t xml:space="preserve"> </w:t>
      </w:r>
    </w:p>
    <w:p w:rsidR="007E4510" w:rsidRDefault="007E4510" w:rsidP="007E4510">
      <w:pPr>
        <w:rPr>
          <w:sz w:val="18"/>
          <w:szCs w:val="18"/>
        </w:rPr>
      </w:pPr>
    </w:p>
    <w:p w:rsidR="007E4510" w:rsidRPr="00CF0506" w:rsidRDefault="00D331EB" w:rsidP="007E4510">
      <w:pPr>
        <w:rPr>
          <w:sz w:val="18"/>
          <w:szCs w:val="18"/>
        </w:rPr>
      </w:pPr>
      <w:r w:rsidRPr="00CF0506">
        <w:rPr>
          <w:sz w:val="18"/>
          <w:szCs w:val="18"/>
        </w:rPr>
        <w:t>Panel A: Summary statistics on visibility measures</w:t>
      </w:r>
    </w:p>
    <w:p w:rsidR="007E4510" w:rsidRPr="00341F98" w:rsidRDefault="00145C4F" w:rsidP="007E4510">
      <w:r>
        <w:rPr>
          <w:noProof/>
        </w:rPr>
        <w:drawing>
          <wp:inline distT="0" distB="0" distL="0" distR="0" wp14:anchorId="7046A4CE" wp14:editId="612D6DCB">
            <wp:extent cx="4352925" cy="9239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352925" cy="923925"/>
                    </a:xfrm>
                    <a:prstGeom prst="rect">
                      <a:avLst/>
                    </a:prstGeom>
                    <a:noFill/>
                    <a:ln w="9525">
                      <a:noFill/>
                      <a:miter lim="800000"/>
                      <a:headEnd/>
                      <a:tailEnd/>
                    </a:ln>
                  </pic:spPr>
                </pic:pic>
              </a:graphicData>
            </a:graphic>
          </wp:inline>
        </w:drawing>
      </w:r>
    </w:p>
    <w:p w:rsidR="0084308B" w:rsidRDefault="0084308B" w:rsidP="007E4510">
      <w:pPr>
        <w:spacing w:before="120"/>
        <w:rPr>
          <w:b/>
          <w:sz w:val="18"/>
          <w:szCs w:val="18"/>
        </w:rPr>
      </w:pPr>
    </w:p>
    <w:p w:rsidR="007E4510" w:rsidRPr="00CF0506" w:rsidRDefault="00D331EB" w:rsidP="007E4510">
      <w:pPr>
        <w:spacing w:before="120"/>
        <w:rPr>
          <w:sz w:val="18"/>
          <w:szCs w:val="18"/>
        </w:rPr>
      </w:pPr>
      <w:r w:rsidRPr="00CF0506">
        <w:rPr>
          <w:sz w:val="18"/>
          <w:szCs w:val="18"/>
        </w:rPr>
        <w:t>Panel B: Correlations among visibility measures</w:t>
      </w:r>
    </w:p>
    <w:p w:rsidR="007E4510" w:rsidRDefault="00145C4F" w:rsidP="007E4510">
      <w:pPr>
        <w:rPr>
          <w:sz w:val="18"/>
          <w:szCs w:val="18"/>
        </w:rPr>
      </w:pPr>
      <w:r>
        <w:rPr>
          <w:noProof/>
        </w:rPr>
        <w:drawing>
          <wp:inline distT="0" distB="0" distL="0" distR="0" wp14:anchorId="2A61592F" wp14:editId="73A71C50">
            <wp:extent cx="4352925" cy="9239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352925" cy="923925"/>
                    </a:xfrm>
                    <a:prstGeom prst="rect">
                      <a:avLst/>
                    </a:prstGeom>
                    <a:noFill/>
                    <a:ln w="9525">
                      <a:noFill/>
                      <a:miter lim="800000"/>
                      <a:headEnd/>
                      <a:tailEnd/>
                    </a:ln>
                  </pic:spPr>
                </pic:pic>
              </a:graphicData>
            </a:graphic>
          </wp:inline>
        </w:drawing>
      </w:r>
    </w:p>
    <w:p w:rsidR="0084308B" w:rsidRDefault="0084308B" w:rsidP="007E4510">
      <w:pPr>
        <w:spacing w:before="120"/>
        <w:rPr>
          <w:b/>
          <w:sz w:val="18"/>
          <w:szCs w:val="18"/>
        </w:rPr>
      </w:pPr>
    </w:p>
    <w:p w:rsidR="007E4510" w:rsidRPr="00CF0506" w:rsidRDefault="00D331EB" w:rsidP="007E4510">
      <w:pPr>
        <w:spacing w:before="120"/>
        <w:rPr>
          <w:sz w:val="18"/>
          <w:szCs w:val="18"/>
        </w:rPr>
      </w:pPr>
      <w:r w:rsidRPr="00CF0506">
        <w:rPr>
          <w:sz w:val="18"/>
          <w:szCs w:val="18"/>
        </w:rPr>
        <w:t>Panel C: Summary statistics on liquidity measures</w:t>
      </w:r>
    </w:p>
    <w:p w:rsidR="007E4510" w:rsidRDefault="00145C4F" w:rsidP="007E4510">
      <w:pPr>
        <w:rPr>
          <w:sz w:val="18"/>
          <w:szCs w:val="18"/>
        </w:rPr>
      </w:pPr>
      <w:r>
        <w:rPr>
          <w:noProof/>
        </w:rPr>
        <w:drawing>
          <wp:inline distT="0" distB="0" distL="0" distR="0" wp14:anchorId="4089E8B0" wp14:editId="05B07AAA">
            <wp:extent cx="4352925" cy="11049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352925" cy="1104900"/>
                    </a:xfrm>
                    <a:prstGeom prst="rect">
                      <a:avLst/>
                    </a:prstGeom>
                    <a:noFill/>
                    <a:ln w="9525">
                      <a:noFill/>
                      <a:miter lim="800000"/>
                      <a:headEnd/>
                      <a:tailEnd/>
                    </a:ln>
                  </pic:spPr>
                </pic:pic>
              </a:graphicData>
            </a:graphic>
          </wp:inline>
        </w:drawing>
      </w:r>
    </w:p>
    <w:p w:rsidR="0084308B" w:rsidRDefault="0084308B" w:rsidP="007E4510">
      <w:pPr>
        <w:spacing w:before="120"/>
        <w:rPr>
          <w:b/>
          <w:sz w:val="18"/>
          <w:szCs w:val="18"/>
        </w:rPr>
      </w:pPr>
    </w:p>
    <w:p w:rsidR="007E4510" w:rsidRPr="00CF0506" w:rsidRDefault="00D331EB" w:rsidP="007E4510">
      <w:pPr>
        <w:spacing w:before="120"/>
        <w:rPr>
          <w:sz w:val="18"/>
          <w:szCs w:val="18"/>
        </w:rPr>
      </w:pPr>
      <w:r w:rsidRPr="00CF0506">
        <w:rPr>
          <w:sz w:val="18"/>
          <w:szCs w:val="18"/>
        </w:rPr>
        <w:t>Panel D: Correlations among liquidity measures</w:t>
      </w:r>
    </w:p>
    <w:p w:rsidR="007E4510" w:rsidRDefault="00145C4F" w:rsidP="007E4510">
      <w:r>
        <w:rPr>
          <w:noProof/>
        </w:rPr>
        <w:drawing>
          <wp:inline distT="0" distB="0" distL="0" distR="0" wp14:anchorId="76F44D2C" wp14:editId="15418640">
            <wp:extent cx="5219700" cy="1104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219700" cy="1104900"/>
                    </a:xfrm>
                    <a:prstGeom prst="rect">
                      <a:avLst/>
                    </a:prstGeom>
                    <a:noFill/>
                    <a:ln w="9525">
                      <a:noFill/>
                      <a:miter lim="800000"/>
                      <a:headEnd/>
                      <a:tailEnd/>
                    </a:ln>
                  </pic:spPr>
                </pic:pic>
              </a:graphicData>
            </a:graphic>
          </wp:inline>
        </w:drawing>
      </w:r>
    </w:p>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Pr>
        <w:jc w:val="center"/>
        <w:rPr>
          <w:b/>
          <w:sz w:val="18"/>
          <w:szCs w:val="18"/>
        </w:rPr>
      </w:pPr>
    </w:p>
    <w:p w:rsidR="007E4510" w:rsidRPr="00237EA8" w:rsidRDefault="007E4510" w:rsidP="007E4510">
      <w:pPr>
        <w:jc w:val="center"/>
        <w:rPr>
          <w:b/>
          <w:sz w:val="22"/>
          <w:szCs w:val="22"/>
        </w:rPr>
      </w:pPr>
      <w:r w:rsidRPr="00237EA8">
        <w:rPr>
          <w:b/>
          <w:sz w:val="22"/>
          <w:szCs w:val="22"/>
        </w:rPr>
        <w:lastRenderedPageBreak/>
        <w:t>Table 3</w:t>
      </w:r>
      <w:r w:rsidR="0018713C">
        <w:rPr>
          <w:b/>
          <w:sz w:val="22"/>
          <w:szCs w:val="22"/>
        </w:rPr>
        <w:t>.</w:t>
      </w:r>
      <w:r w:rsidRPr="00237EA8">
        <w:rPr>
          <w:b/>
          <w:sz w:val="22"/>
          <w:szCs w:val="22"/>
        </w:rPr>
        <w:t xml:space="preserve"> Univariate analysis of the impact of firm visibility on bond liquidity</w:t>
      </w:r>
    </w:p>
    <w:p w:rsidR="007E4510" w:rsidRPr="009514E2" w:rsidRDefault="007E4510" w:rsidP="007E4510">
      <w:pPr>
        <w:rPr>
          <w:b/>
          <w:sz w:val="18"/>
          <w:szCs w:val="18"/>
        </w:rPr>
      </w:pPr>
    </w:p>
    <w:p w:rsidR="007E4510" w:rsidRDefault="00237EA8" w:rsidP="00DA30F8">
      <w:pPr>
        <w:jc w:val="both"/>
        <w:rPr>
          <w:sz w:val="18"/>
          <w:szCs w:val="18"/>
        </w:rPr>
      </w:pPr>
      <w:r>
        <w:rPr>
          <w:sz w:val="18"/>
          <w:szCs w:val="18"/>
        </w:rPr>
        <w:t>In each panel</w:t>
      </w:r>
      <w:r w:rsidR="007E4510">
        <w:rPr>
          <w:sz w:val="18"/>
          <w:szCs w:val="18"/>
        </w:rPr>
        <w:t xml:space="preserve"> we form four groups of bonds with increasing visibility, with group 4 including the most visible bonds. </w:t>
      </w:r>
      <w:r>
        <w:rPr>
          <w:sz w:val="18"/>
          <w:szCs w:val="18"/>
        </w:rPr>
        <w:t xml:space="preserve">The four visibility measures used to sort bonds are </w:t>
      </w:r>
      <w:r w:rsidR="007E4510">
        <w:rPr>
          <w:sz w:val="18"/>
          <w:szCs w:val="18"/>
        </w:rPr>
        <w:t xml:space="preserve">SIZE (book value of debt plus market value of equity), XAD (advertising expenses), </w:t>
      </w:r>
      <w:r w:rsidR="00116AF8">
        <w:rPr>
          <w:sz w:val="18"/>
          <w:szCs w:val="18"/>
        </w:rPr>
        <w:t>NEQUITY</w:t>
      </w:r>
      <w:r w:rsidR="007E4510">
        <w:rPr>
          <w:sz w:val="18"/>
          <w:szCs w:val="18"/>
        </w:rPr>
        <w:t xml:space="preserve"> (number of mutual funds holding the issuer’s equity), </w:t>
      </w:r>
      <w:r>
        <w:rPr>
          <w:sz w:val="18"/>
          <w:szCs w:val="18"/>
        </w:rPr>
        <w:t xml:space="preserve">and </w:t>
      </w:r>
      <w:r w:rsidR="00116AF8">
        <w:rPr>
          <w:sz w:val="18"/>
          <w:szCs w:val="18"/>
        </w:rPr>
        <w:t>NANALYST</w:t>
      </w:r>
      <w:r w:rsidR="007E4510">
        <w:rPr>
          <w:sz w:val="18"/>
          <w:szCs w:val="18"/>
        </w:rPr>
        <w:t xml:space="preserve"> (number of analyst</w:t>
      </w:r>
      <w:r w:rsidR="0018713C">
        <w:rPr>
          <w:sz w:val="18"/>
          <w:szCs w:val="18"/>
        </w:rPr>
        <w:t>s</w:t>
      </w:r>
      <w:r w:rsidR="007E4510">
        <w:rPr>
          <w:sz w:val="18"/>
          <w:szCs w:val="18"/>
        </w:rPr>
        <w:t xml:space="preserve"> following). </w:t>
      </w:r>
      <w:r>
        <w:rPr>
          <w:sz w:val="18"/>
          <w:szCs w:val="18"/>
        </w:rPr>
        <w:t xml:space="preserve">The reported values in the table are </w:t>
      </w:r>
      <w:r w:rsidR="007E4510">
        <w:rPr>
          <w:sz w:val="18"/>
          <w:szCs w:val="18"/>
        </w:rPr>
        <w:t xml:space="preserve">the </w:t>
      </w:r>
      <w:r w:rsidR="0018713C">
        <w:rPr>
          <w:sz w:val="18"/>
          <w:szCs w:val="18"/>
        </w:rPr>
        <w:t>m</w:t>
      </w:r>
      <w:r w:rsidR="007E4510">
        <w:rPr>
          <w:sz w:val="18"/>
          <w:szCs w:val="18"/>
        </w:rPr>
        <w:t xml:space="preserve">ean and </w:t>
      </w:r>
      <w:r w:rsidR="0018713C">
        <w:rPr>
          <w:sz w:val="18"/>
          <w:szCs w:val="18"/>
        </w:rPr>
        <w:t>m</w:t>
      </w:r>
      <w:r w:rsidR="007E4510">
        <w:rPr>
          <w:sz w:val="18"/>
          <w:szCs w:val="18"/>
        </w:rPr>
        <w:t>edian values of liquidity for each group</w:t>
      </w:r>
      <w:r>
        <w:rPr>
          <w:sz w:val="18"/>
          <w:szCs w:val="18"/>
        </w:rPr>
        <w:t>. T</w:t>
      </w:r>
      <w:r w:rsidR="007E4510">
        <w:rPr>
          <w:sz w:val="18"/>
          <w:szCs w:val="18"/>
        </w:rPr>
        <w:t xml:space="preserve">he </w:t>
      </w:r>
      <w:r>
        <w:rPr>
          <w:sz w:val="18"/>
          <w:szCs w:val="18"/>
        </w:rPr>
        <w:t>reported p-value</w:t>
      </w:r>
      <w:r w:rsidR="0018713C">
        <w:rPr>
          <w:sz w:val="18"/>
          <w:szCs w:val="18"/>
        </w:rPr>
        <w:t>s</w:t>
      </w:r>
      <w:r>
        <w:rPr>
          <w:sz w:val="18"/>
          <w:szCs w:val="18"/>
        </w:rPr>
        <w:t xml:space="preserve"> </w:t>
      </w:r>
      <w:r w:rsidR="0018713C">
        <w:rPr>
          <w:sz w:val="18"/>
          <w:szCs w:val="18"/>
        </w:rPr>
        <w:t>are</w:t>
      </w:r>
      <w:r>
        <w:rPr>
          <w:sz w:val="18"/>
          <w:szCs w:val="18"/>
        </w:rPr>
        <w:t xml:space="preserve"> </w:t>
      </w:r>
      <w:r w:rsidR="0018713C">
        <w:rPr>
          <w:sz w:val="18"/>
          <w:szCs w:val="18"/>
        </w:rPr>
        <w:t>for</w:t>
      </w:r>
      <w:r w:rsidR="007E4510">
        <w:rPr>
          <w:sz w:val="18"/>
          <w:szCs w:val="18"/>
        </w:rPr>
        <w:t xml:space="preserve"> the t-test on the difference in mean and </w:t>
      </w:r>
      <w:r w:rsidR="0018713C">
        <w:rPr>
          <w:sz w:val="18"/>
          <w:szCs w:val="18"/>
        </w:rPr>
        <w:t xml:space="preserve">the </w:t>
      </w:r>
      <w:r w:rsidR="007E4510">
        <w:rPr>
          <w:sz w:val="18"/>
          <w:szCs w:val="18"/>
        </w:rPr>
        <w:t>Wilcoxon test on the difference in median between group</w:t>
      </w:r>
      <w:r w:rsidR="0018713C">
        <w:rPr>
          <w:sz w:val="18"/>
          <w:szCs w:val="18"/>
        </w:rPr>
        <w:t>s 1</w:t>
      </w:r>
      <w:r w:rsidR="007E4510">
        <w:rPr>
          <w:sz w:val="18"/>
          <w:szCs w:val="18"/>
        </w:rPr>
        <w:t xml:space="preserve"> and 4. </w:t>
      </w:r>
      <w:r>
        <w:rPr>
          <w:sz w:val="18"/>
          <w:szCs w:val="18"/>
        </w:rPr>
        <w:t xml:space="preserve"> Panel A reports the results using </w:t>
      </w:r>
      <w:r w:rsidR="00DB1425">
        <w:rPr>
          <w:sz w:val="18"/>
          <w:szCs w:val="18"/>
        </w:rPr>
        <w:t>ZEROPCT</w:t>
      </w:r>
      <w:r w:rsidR="007E4510">
        <w:rPr>
          <w:sz w:val="18"/>
          <w:szCs w:val="18"/>
        </w:rPr>
        <w:t xml:space="preserve"> (percent</w:t>
      </w:r>
      <w:r w:rsidR="0018713C">
        <w:rPr>
          <w:sz w:val="18"/>
          <w:szCs w:val="18"/>
        </w:rPr>
        <w:t>age of days in a quarter with zero returns)</w:t>
      </w:r>
      <w:r>
        <w:rPr>
          <w:sz w:val="18"/>
          <w:szCs w:val="18"/>
        </w:rPr>
        <w:t xml:space="preserve"> as a </w:t>
      </w:r>
      <w:r w:rsidR="0018713C">
        <w:rPr>
          <w:sz w:val="18"/>
          <w:szCs w:val="18"/>
        </w:rPr>
        <w:t xml:space="preserve">liquidity </w:t>
      </w:r>
      <w:r>
        <w:rPr>
          <w:sz w:val="18"/>
          <w:szCs w:val="18"/>
        </w:rPr>
        <w:t>measure. Similarly, Panel</w:t>
      </w:r>
      <w:r w:rsidR="0018713C">
        <w:rPr>
          <w:sz w:val="18"/>
          <w:szCs w:val="18"/>
        </w:rPr>
        <w:t>s</w:t>
      </w:r>
      <w:r>
        <w:rPr>
          <w:sz w:val="18"/>
          <w:szCs w:val="18"/>
        </w:rPr>
        <w:t xml:space="preserve"> B to E report the results with the other liquidity measures, i.e.,</w:t>
      </w:r>
      <w:r w:rsidR="007E4510">
        <w:rPr>
          <w:sz w:val="18"/>
          <w:szCs w:val="18"/>
        </w:rPr>
        <w:t xml:space="preserve"> NTRADES (total number of trades), VOLUME (total par value of trading), GAMMA (</w:t>
      </w:r>
      <w:r w:rsidR="0018713C">
        <w:rPr>
          <w:sz w:val="18"/>
          <w:szCs w:val="18"/>
        </w:rPr>
        <w:t>γ</w:t>
      </w:r>
      <w:r w:rsidR="007E4510">
        <w:rPr>
          <w:sz w:val="18"/>
          <w:szCs w:val="18"/>
        </w:rPr>
        <w:t xml:space="preserve"> in Bao, Pan and Wang (2011)), and AMIHUD </w:t>
      </w:r>
      <w:r w:rsidR="0018713C">
        <w:rPr>
          <w:sz w:val="18"/>
          <w:szCs w:val="18"/>
        </w:rPr>
        <w:t xml:space="preserve">(Amihud </w:t>
      </w:r>
      <w:r w:rsidR="007E4510">
        <w:rPr>
          <w:sz w:val="18"/>
          <w:szCs w:val="18"/>
        </w:rPr>
        <w:t xml:space="preserve">illiquidity </w:t>
      </w:r>
      <w:r w:rsidR="0018713C">
        <w:rPr>
          <w:sz w:val="18"/>
          <w:szCs w:val="18"/>
        </w:rPr>
        <w:t>in Amihud (2002))</w:t>
      </w:r>
      <w:r w:rsidR="00DA30F8">
        <w:rPr>
          <w:sz w:val="18"/>
          <w:szCs w:val="18"/>
        </w:rPr>
        <w:t>.</w:t>
      </w:r>
      <w:r>
        <w:rPr>
          <w:sz w:val="18"/>
          <w:szCs w:val="18"/>
        </w:rPr>
        <w:t xml:space="preserve"> </w:t>
      </w:r>
      <w:r w:rsidR="007E2532">
        <w:rPr>
          <w:sz w:val="18"/>
          <w:szCs w:val="18"/>
        </w:rPr>
        <w:t>S</w:t>
      </w:r>
      <w:r w:rsidR="006F63DF">
        <w:rPr>
          <w:sz w:val="18"/>
          <w:szCs w:val="18"/>
        </w:rPr>
        <w:t xml:space="preserve">uperscripts </w:t>
      </w:r>
      <w:r w:rsidR="007E4510">
        <w:rPr>
          <w:sz w:val="18"/>
          <w:szCs w:val="18"/>
        </w:rPr>
        <w:t>a, b, and c denote the significance level of 1%, 5%, and 10%</w:t>
      </w:r>
      <w:r w:rsidR="006F63DF">
        <w:rPr>
          <w:sz w:val="18"/>
          <w:szCs w:val="18"/>
        </w:rPr>
        <w:t>, respectively</w:t>
      </w:r>
      <w:r w:rsidR="007E4510">
        <w:rPr>
          <w:sz w:val="18"/>
          <w:szCs w:val="18"/>
        </w:rPr>
        <w:t>.</w:t>
      </w:r>
    </w:p>
    <w:p w:rsidR="007E4510" w:rsidRDefault="007E4510" w:rsidP="007E4510">
      <w:pPr>
        <w:rPr>
          <w:sz w:val="18"/>
          <w:szCs w:val="18"/>
        </w:rPr>
      </w:pPr>
    </w:p>
    <w:p w:rsidR="007E4510" w:rsidRPr="00830823" w:rsidRDefault="00145C4F" w:rsidP="007E4510">
      <w:pPr>
        <w:rPr>
          <w:sz w:val="18"/>
          <w:szCs w:val="18"/>
        </w:rPr>
      </w:pPr>
      <w:r>
        <w:rPr>
          <w:noProof/>
        </w:rPr>
        <w:drawing>
          <wp:inline distT="0" distB="0" distL="0" distR="0" wp14:anchorId="5D2625ED" wp14:editId="1B89E498">
            <wp:extent cx="5943600" cy="54959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943600" cy="5495925"/>
                    </a:xfrm>
                    <a:prstGeom prst="rect">
                      <a:avLst/>
                    </a:prstGeom>
                    <a:noFill/>
                    <a:ln w="9525">
                      <a:noFill/>
                      <a:miter lim="800000"/>
                      <a:headEnd/>
                      <a:tailEnd/>
                    </a:ln>
                  </pic:spPr>
                </pic:pic>
              </a:graphicData>
            </a:graphic>
          </wp:inline>
        </w:drawing>
      </w:r>
    </w:p>
    <w:p w:rsidR="007E4510" w:rsidRDefault="007E4510" w:rsidP="007E4510">
      <w:pPr>
        <w:rPr>
          <w:noProof/>
          <w:lang w:eastAsia="en-US"/>
        </w:rPr>
      </w:pPr>
    </w:p>
    <w:p w:rsidR="007E4510" w:rsidRDefault="007E4510" w:rsidP="007E4510"/>
    <w:p w:rsidR="007E4510" w:rsidRPr="003C19F0" w:rsidRDefault="007E4510" w:rsidP="007E4510">
      <w:pPr>
        <w:jc w:val="center"/>
        <w:rPr>
          <w:b/>
          <w:sz w:val="22"/>
          <w:szCs w:val="22"/>
        </w:rPr>
      </w:pPr>
      <w:r>
        <w:rPr>
          <w:b/>
          <w:sz w:val="18"/>
          <w:szCs w:val="18"/>
        </w:rPr>
        <w:br w:type="page"/>
      </w:r>
      <w:r w:rsidRPr="003C19F0">
        <w:rPr>
          <w:b/>
          <w:sz w:val="22"/>
          <w:szCs w:val="22"/>
        </w:rPr>
        <w:lastRenderedPageBreak/>
        <w:t>Table 4</w:t>
      </w:r>
      <w:r w:rsidR="0018713C">
        <w:rPr>
          <w:b/>
          <w:sz w:val="22"/>
          <w:szCs w:val="22"/>
        </w:rPr>
        <w:t>.</w:t>
      </w:r>
      <w:r w:rsidRPr="003C19F0">
        <w:rPr>
          <w:b/>
          <w:sz w:val="22"/>
          <w:szCs w:val="22"/>
        </w:rPr>
        <w:t xml:space="preserve"> Multi-variate analysis of the impact of firm visibility on bond liquidity</w:t>
      </w:r>
    </w:p>
    <w:p w:rsidR="007E4510" w:rsidRPr="009514E2" w:rsidRDefault="007E4510" w:rsidP="007E4510">
      <w:pPr>
        <w:rPr>
          <w:b/>
          <w:sz w:val="18"/>
          <w:szCs w:val="18"/>
        </w:rPr>
      </w:pPr>
    </w:p>
    <w:p w:rsidR="007E4510" w:rsidRDefault="007E4510" w:rsidP="00DA30F8">
      <w:pPr>
        <w:jc w:val="both"/>
        <w:rPr>
          <w:sz w:val="18"/>
          <w:szCs w:val="18"/>
        </w:rPr>
      </w:pPr>
      <w:r w:rsidRPr="009514E2">
        <w:rPr>
          <w:sz w:val="18"/>
          <w:szCs w:val="18"/>
        </w:rPr>
        <w:t xml:space="preserve">This table </w:t>
      </w:r>
      <w:r>
        <w:rPr>
          <w:sz w:val="18"/>
          <w:szCs w:val="18"/>
        </w:rPr>
        <w:t>examine</w:t>
      </w:r>
      <w:r w:rsidR="007E2532">
        <w:rPr>
          <w:sz w:val="18"/>
          <w:szCs w:val="18"/>
        </w:rPr>
        <w:t>s</w:t>
      </w:r>
      <w:r>
        <w:rPr>
          <w:sz w:val="18"/>
          <w:szCs w:val="18"/>
        </w:rPr>
        <w:t xml:space="preserve"> whether firm visibility affects bond liquidity </w:t>
      </w:r>
      <w:r w:rsidRPr="00A3486A">
        <w:rPr>
          <w:sz w:val="18"/>
          <w:szCs w:val="18"/>
        </w:rPr>
        <w:t>in cross section by using</w:t>
      </w:r>
      <w:r>
        <w:rPr>
          <w:sz w:val="18"/>
          <w:szCs w:val="18"/>
        </w:rPr>
        <w:t xml:space="preserve"> Fama-MacBeth (1973) regression:</w:t>
      </w:r>
    </w:p>
    <w:p w:rsidR="007E4510" w:rsidRDefault="007E4510" w:rsidP="00DA30F8">
      <w:pPr>
        <w:jc w:val="center"/>
        <w:rPr>
          <w:sz w:val="18"/>
          <w:szCs w:val="18"/>
        </w:rPr>
      </w:pPr>
      <w:r w:rsidRPr="00AA2DB3">
        <w:rPr>
          <w:position w:val="-28"/>
        </w:rPr>
        <w:object w:dxaOrig="5560" w:dyaOrig="540">
          <v:shape id="_x0000_i1026" type="#_x0000_t75" style="width:230.25pt;height:22.4pt" o:ole="">
            <v:imagedata r:id="rId18" o:title=""/>
          </v:shape>
          <o:OLEObject Type="Embed" ProgID="Equation.3" ShapeID="_x0000_i1026" DrawAspect="Content" ObjectID="_1394286189" r:id="rId19"/>
        </w:object>
      </w:r>
    </w:p>
    <w:p w:rsidR="007E4510" w:rsidRPr="00E5416D" w:rsidRDefault="007E4510" w:rsidP="00DA30F8">
      <w:pPr>
        <w:jc w:val="both"/>
        <w:rPr>
          <w:sz w:val="18"/>
          <w:szCs w:val="18"/>
        </w:rPr>
      </w:pPr>
      <w:r>
        <w:rPr>
          <w:sz w:val="18"/>
          <w:szCs w:val="18"/>
        </w:rPr>
        <w:t xml:space="preserve">where Liquidity is measured using </w:t>
      </w:r>
      <w:r w:rsidR="00DB1425">
        <w:rPr>
          <w:sz w:val="18"/>
          <w:szCs w:val="18"/>
        </w:rPr>
        <w:t>ZEROPCT</w:t>
      </w:r>
      <w:r>
        <w:rPr>
          <w:sz w:val="18"/>
          <w:szCs w:val="18"/>
        </w:rPr>
        <w:t xml:space="preserve">. Standard errors are adjusted using the Newey-West procedure. </w:t>
      </w:r>
      <w:r w:rsidR="003C19F0">
        <w:rPr>
          <w:sz w:val="18"/>
          <w:szCs w:val="18"/>
        </w:rPr>
        <w:t>F</w:t>
      </w:r>
      <w:r>
        <w:rPr>
          <w:sz w:val="18"/>
          <w:szCs w:val="18"/>
        </w:rPr>
        <w:t>our alternative visibility measures</w:t>
      </w:r>
      <w:r w:rsidR="003C19F0">
        <w:rPr>
          <w:sz w:val="18"/>
          <w:szCs w:val="18"/>
        </w:rPr>
        <w:t xml:space="preserve"> </w:t>
      </w:r>
      <w:r w:rsidR="007E2532">
        <w:rPr>
          <w:sz w:val="18"/>
          <w:szCs w:val="18"/>
        </w:rPr>
        <w:t xml:space="preserve">are used: </w:t>
      </w:r>
      <w:r w:rsidR="005B0D31">
        <w:rPr>
          <w:sz w:val="18"/>
          <w:szCs w:val="18"/>
        </w:rPr>
        <w:t>firm size (</w:t>
      </w:r>
      <w:r w:rsidR="003C19F0">
        <w:rPr>
          <w:sz w:val="18"/>
          <w:szCs w:val="18"/>
        </w:rPr>
        <w:t>SIZE</w:t>
      </w:r>
      <w:r w:rsidR="005B0D31">
        <w:rPr>
          <w:sz w:val="18"/>
          <w:szCs w:val="18"/>
        </w:rPr>
        <w:t>)</w:t>
      </w:r>
      <w:r w:rsidR="003C19F0">
        <w:rPr>
          <w:sz w:val="18"/>
          <w:szCs w:val="18"/>
        </w:rPr>
        <w:t>, advertising</w:t>
      </w:r>
      <w:r w:rsidR="005B0D31">
        <w:rPr>
          <w:sz w:val="18"/>
          <w:szCs w:val="18"/>
        </w:rPr>
        <w:t xml:space="preserve"> expenses</w:t>
      </w:r>
      <w:r w:rsidR="003C19F0">
        <w:rPr>
          <w:sz w:val="18"/>
          <w:szCs w:val="18"/>
        </w:rPr>
        <w:t xml:space="preserve"> (XAD), </w:t>
      </w:r>
      <w:r w:rsidR="007E2532">
        <w:rPr>
          <w:sz w:val="18"/>
          <w:szCs w:val="18"/>
        </w:rPr>
        <w:t xml:space="preserve">the </w:t>
      </w:r>
      <w:r w:rsidR="003C19F0">
        <w:rPr>
          <w:sz w:val="18"/>
          <w:szCs w:val="18"/>
        </w:rPr>
        <w:t>number of institutions holding equity (NEQUITY)</w:t>
      </w:r>
      <w:r w:rsidR="007E2532">
        <w:rPr>
          <w:sz w:val="18"/>
          <w:szCs w:val="18"/>
        </w:rPr>
        <w:t>,</w:t>
      </w:r>
      <w:r w:rsidR="003C19F0">
        <w:rPr>
          <w:sz w:val="18"/>
          <w:szCs w:val="18"/>
        </w:rPr>
        <w:t xml:space="preserve"> and the number of analysts following the firm (NANAL</w:t>
      </w:r>
      <w:r w:rsidR="005B0D31">
        <w:rPr>
          <w:sz w:val="18"/>
          <w:szCs w:val="18"/>
        </w:rPr>
        <w:t>YST)</w:t>
      </w:r>
      <w:r w:rsidR="00DA30F8">
        <w:rPr>
          <w:sz w:val="18"/>
          <w:szCs w:val="18"/>
        </w:rPr>
        <w:t xml:space="preserve">. </w:t>
      </w:r>
      <w:r w:rsidR="003C19F0">
        <w:rPr>
          <w:sz w:val="18"/>
          <w:szCs w:val="18"/>
        </w:rPr>
        <w:t xml:space="preserve">The control variables include </w:t>
      </w:r>
      <w:r>
        <w:rPr>
          <w:sz w:val="18"/>
          <w:szCs w:val="18"/>
        </w:rPr>
        <w:t>bond and firm characteristics</w:t>
      </w:r>
      <w:r w:rsidR="003C19F0">
        <w:rPr>
          <w:sz w:val="18"/>
          <w:szCs w:val="18"/>
        </w:rPr>
        <w:t xml:space="preserve">. DAMOUNT is the </w:t>
      </w:r>
      <w:r w:rsidR="005B0D31">
        <w:rPr>
          <w:sz w:val="18"/>
          <w:szCs w:val="18"/>
        </w:rPr>
        <w:t xml:space="preserve">logarithm of the </w:t>
      </w:r>
      <w:r w:rsidR="00DA30F8">
        <w:rPr>
          <w:sz w:val="18"/>
          <w:szCs w:val="18"/>
        </w:rPr>
        <w:t xml:space="preserve">amount of bonds outstanding. </w:t>
      </w:r>
      <w:r w:rsidR="003C19F0">
        <w:rPr>
          <w:sz w:val="18"/>
          <w:szCs w:val="18"/>
        </w:rPr>
        <w:t>B</w:t>
      </w:r>
      <w:r w:rsidR="00470FC4">
        <w:rPr>
          <w:sz w:val="18"/>
          <w:szCs w:val="18"/>
        </w:rPr>
        <w:t xml:space="preserve">aboveDum </w:t>
      </w:r>
      <w:r w:rsidR="003C19F0">
        <w:rPr>
          <w:sz w:val="18"/>
          <w:szCs w:val="18"/>
        </w:rPr>
        <w:t xml:space="preserve">is a dummy </w:t>
      </w:r>
      <w:r w:rsidR="007E2532">
        <w:rPr>
          <w:sz w:val="18"/>
          <w:szCs w:val="18"/>
        </w:rPr>
        <w:t xml:space="preserve">taking the vaue of one </w:t>
      </w:r>
      <w:r w:rsidR="003C19F0">
        <w:rPr>
          <w:sz w:val="18"/>
          <w:szCs w:val="18"/>
        </w:rPr>
        <w:t>if credit rating is BB</w:t>
      </w:r>
      <w:r w:rsidR="00470FC4">
        <w:rPr>
          <w:sz w:val="18"/>
          <w:szCs w:val="18"/>
        </w:rPr>
        <w:t xml:space="preserve"> or </w:t>
      </w:r>
      <w:r w:rsidR="003C19F0">
        <w:rPr>
          <w:sz w:val="18"/>
          <w:szCs w:val="18"/>
        </w:rPr>
        <w:t>B. B</w:t>
      </w:r>
      <w:r w:rsidR="00470FC4">
        <w:rPr>
          <w:sz w:val="18"/>
          <w:szCs w:val="18"/>
        </w:rPr>
        <w:t>BBdum</w:t>
      </w:r>
      <w:r w:rsidR="003C19F0">
        <w:rPr>
          <w:sz w:val="18"/>
          <w:szCs w:val="18"/>
        </w:rPr>
        <w:t xml:space="preserve"> (CCCbelowDum) is a dummy </w:t>
      </w:r>
      <w:r w:rsidR="007E2532">
        <w:rPr>
          <w:sz w:val="18"/>
          <w:szCs w:val="18"/>
        </w:rPr>
        <w:t xml:space="preserve">taking the value of one </w:t>
      </w:r>
      <w:r w:rsidR="003C19F0">
        <w:rPr>
          <w:sz w:val="18"/>
          <w:szCs w:val="18"/>
        </w:rPr>
        <w:t xml:space="preserve">if the credit rating is above (below) </w:t>
      </w:r>
      <w:r w:rsidR="00470FC4">
        <w:rPr>
          <w:sz w:val="18"/>
          <w:szCs w:val="18"/>
        </w:rPr>
        <w:t>BBB (CCC)</w:t>
      </w:r>
      <w:r>
        <w:rPr>
          <w:sz w:val="18"/>
          <w:szCs w:val="18"/>
        </w:rPr>
        <w:t xml:space="preserve">. </w:t>
      </w:r>
      <w:r w:rsidR="001F44AE">
        <w:rPr>
          <w:sz w:val="18"/>
          <w:szCs w:val="18"/>
        </w:rPr>
        <w:t>TTM is time to maturity. UtilityDum (FinanceDum) is a dummy that takes the value one if the issuer is a Utility (Finance</w:t>
      </w:r>
      <w:r w:rsidR="00DA30F8">
        <w:rPr>
          <w:sz w:val="18"/>
          <w:szCs w:val="18"/>
        </w:rPr>
        <w:t xml:space="preserve">) firm. </w:t>
      </w:r>
      <w:r w:rsidR="001F44AE">
        <w:rPr>
          <w:sz w:val="18"/>
          <w:szCs w:val="18"/>
        </w:rPr>
        <w:t xml:space="preserve">Also included are </w:t>
      </w:r>
      <w:r w:rsidR="00773A07">
        <w:rPr>
          <w:sz w:val="18"/>
          <w:szCs w:val="18"/>
        </w:rPr>
        <w:t xml:space="preserve">the following </w:t>
      </w:r>
      <w:r w:rsidR="001F44AE">
        <w:rPr>
          <w:sz w:val="18"/>
          <w:szCs w:val="18"/>
        </w:rPr>
        <w:t>dummy variables to capture bond features</w:t>
      </w:r>
      <w:r w:rsidR="00773A07">
        <w:rPr>
          <w:sz w:val="18"/>
          <w:szCs w:val="18"/>
        </w:rPr>
        <w:t>:</w:t>
      </w:r>
      <w:r w:rsidR="001F44AE">
        <w:rPr>
          <w:sz w:val="18"/>
          <w:szCs w:val="18"/>
        </w:rPr>
        <w:t xml:space="preserve">  </w:t>
      </w:r>
      <w:r w:rsidR="00773A07">
        <w:rPr>
          <w:sz w:val="18"/>
          <w:szCs w:val="18"/>
        </w:rPr>
        <w:t xml:space="preserve">embedded call or put options (OptionDum), </w:t>
      </w:r>
      <w:r w:rsidR="001F44AE">
        <w:rPr>
          <w:sz w:val="18"/>
          <w:szCs w:val="18"/>
        </w:rPr>
        <w:t>convertibility</w:t>
      </w:r>
      <w:r w:rsidR="00773A07">
        <w:rPr>
          <w:sz w:val="18"/>
          <w:szCs w:val="18"/>
        </w:rPr>
        <w:t xml:space="preserve"> (ConvertibleDum), sinking fund provisions (SinkFundDum), global offerings (GlobalDum), covenant (CovenantDum), and variable coupon (VarcouponDum)</w:t>
      </w:r>
      <w:r w:rsidR="001F44AE">
        <w:rPr>
          <w:sz w:val="18"/>
          <w:szCs w:val="18"/>
        </w:rPr>
        <w:t xml:space="preserve">. </w:t>
      </w:r>
      <w:r w:rsidR="00773A07">
        <w:rPr>
          <w:sz w:val="18"/>
          <w:szCs w:val="18"/>
        </w:rPr>
        <w:t xml:space="preserve">ABSSTKRET </w:t>
      </w:r>
      <w:r w:rsidR="001F44AE">
        <w:rPr>
          <w:sz w:val="18"/>
          <w:szCs w:val="18"/>
        </w:rPr>
        <w:t xml:space="preserve">is the absolute stock return, and </w:t>
      </w:r>
      <w:r w:rsidR="00773A07">
        <w:rPr>
          <w:sz w:val="18"/>
          <w:szCs w:val="18"/>
        </w:rPr>
        <w:t>STKTURNOVER</w:t>
      </w:r>
      <w:r w:rsidR="001F44AE">
        <w:rPr>
          <w:sz w:val="18"/>
          <w:szCs w:val="18"/>
        </w:rPr>
        <w:t xml:space="preserve"> is the volume of stock traded. </w:t>
      </w:r>
      <w:r w:rsidR="007E2532">
        <w:rPr>
          <w:sz w:val="18"/>
          <w:szCs w:val="18"/>
        </w:rPr>
        <w:t xml:space="preserve">Superscripts </w:t>
      </w:r>
      <w:r>
        <w:rPr>
          <w:sz w:val="18"/>
          <w:szCs w:val="18"/>
        </w:rPr>
        <w:t>a, b, and c denote the significance level of 1%, 5%, and 10%</w:t>
      </w:r>
      <w:r w:rsidR="007E2532">
        <w:rPr>
          <w:sz w:val="18"/>
          <w:szCs w:val="18"/>
        </w:rPr>
        <w:t>, respectively</w:t>
      </w:r>
      <w:r>
        <w:rPr>
          <w:sz w:val="18"/>
          <w:szCs w:val="18"/>
        </w:rPr>
        <w:t>.</w:t>
      </w:r>
    </w:p>
    <w:p w:rsidR="00D331EB" w:rsidRDefault="00B005FD" w:rsidP="00CF0506">
      <w:pPr>
        <w:jc w:val="center"/>
      </w:pPr>
      <w:r>
        <w:rPr>
          <w:noProof/>
        </w:rPr>
        <w:drawing>
          <wp:inline distT="0" distB="0" distL="0" distR="0" wp14:anchorId="32C6534F" wp14:editId="7D76DC55">
            <wp:extent cx="5943600" cy="4871253"/>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943600" cy="4871253"/>
                    </a:xfrm>
                    <a:prstGeom prst="rect">
                      <a:avLst/>
                    </a:prstGeom>
                    <a:noFill/>
                    <a:ln w="9525">
                      <a:noFill/>
                      <a:miter lim="800000"/>
                      <a:headEnd/>
                      <a:tailEnd/>
                    </a:ln>
                  </pic:spPr>
                </pic:pic>
              </a:graphicData>
            </a:graphic>
          </wp:inline>
        </w:drawing>
      </w:r>
    </w:p>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Pr="0037417C" w:rsidRDefault="007E4510" w:rsidP="00AA2C1F">
      <w:pPr>
        <w:jc w:val="center"/>
        <w:rPr>
          <w:sz w:val="22"/>
          <w:szCs w:val="22"/>
        </w:rPr>
      </w:pPr>
      <w:r w:rsidRPr="0037417C">
        <w:rPr>
          <w:b/>
          <w:sz w:val="22"/>
          <w:szCs w:val="22"/>
        </w:rPr>
        <w:lastRenderedPageBreak/>
        <w:t>Table 5</w:t>
      </w:r>
      <w:r w:rsidR="0018713C">
        <w:rPr>
          <w:b/>
          <w:sz w:val="22"/>
          <w:szCs w:val="22"/>
        </w:rPr>
        <w:t>.</w:t>
      </w:r>
      <w:r w:rsidRPr="0037417C">
        <w:rPr>
          <w:b/>
          <w:sz w:val="22"/>
          <w:szCs w:val="22"/>
        </w:rPr>
        <w:t xml:space="preserve"> </w:t>
      </w:r>
      <w:r w:rsidR="007E2532">
        <w:rPr>
          <w:b/>
          <w:sz w:val="22"/>
          <w:szCs w:val="22"/>
        </w:rPr>
        <w:t>I</w:t>
      </w:r>
      <w:r w:rsidRPr="0037417C">
        <w:rPr>
          <w:b/>
          <w:sz w:val="22"/>
          <w:szCs w:val="22"/>
        </w:rPr>
        <w:t>mpact of firm visibility on bond liquidity</w:t>
      </w:r>
      <w:r w:rsidR="007E2532">
        <w:rPr>
          <w:b/>
          <w:sz w:val="22"/>
          <w:szCs w:val="22"/>
        </w:rPr>
        <w:t>:</w:t>
      </w:r>
      <w:r w:rsidRPr="0037417C">
        <w:rPr>
          <w:b/>
          <w:sz w:val="22"/>
          <w:szCs w:val="22"/>
        </w:rPr>
        <w:t xml:space="preserve"> </w:t>
      </w:r>
      <w:r w:rsidR="007E2532">
        <w:rPr>
          <w:b/>
          <w:sz w:val="22"/>
          <w:szCs w:val="22"/>
        </w:rPr>
        <w:t>alternative</w:t>
      </w:r>
      <w:r w:rsidRPr="0037417C">
        <w:rPr>
          <w:b/>
          <w:sz w:val="22"/>
          <w:szCs w:val="22"/>
        </w:rPr>
        <w:t xml:space="preserve"> liquidity measures</w:t>
      </w:r>
    </w:p>
    <w:p w:rsidR="007E4510" w:rsidRDefault="007E4510" w:rsidP="007E4510"/>
    <w:p w:rsidR="00E364EB" w:rsidRDefault="007E4510">
      <w:pPr>
        <w:rPr>
          <w:b/>
          <w:sz w:val="18"/>
          <w:szCs w:val="18"/>
        </w:rPr>
      </w:pPr>
      <w:r w:rsidRPr="009514E2">
        <w:rPr>
          <w:sz w:val="18"/>
          <w:szCs w:val="18"/>
        </w:rPr>
        <w:t xml:space="preserve">This table </w:t>
      </w:r>
      <w:r w:rsidR="00873D0A">
        <w:rPr>
          <w:sz w:val="18"/>
          <w:szCs w:val="18"/>
        </w:rPr>
        <w:t xml:space="preserve">performs the same analysis as in Table 4 by replacing ZEROPCT with four other liquidity measures: </w:t>
      </w:r>
      <w:r w:rsidR="0037417C">
        <w:rPr>
          <w:sz w:val="18"/>
          <w:szCs w:val="18"/>
        </w:rPr>
        <w:t>NTRADES, VOLUME, GAMMA and AMIHUD</w:t>
      </w:r>
      <w:r w:rsidR="00873D0A">
        <w:rPr>
          <w:sz w:val="18"/>
          <w:szCs w:val="18"/>
        </w:rPr>
        <w:t>. Please see Table 2 for definitions of liquidity measures and Table 4 for all other details. For brevity, we omit the coefficients of all control variables.</w:t>
      </w:r>
      <w:r w:rsidR="0037417C">
        <w:rPr>
          <w:sz w:val="18"/>
          <w:szCs w:val="18"/>
        </w:rPr>
        <w:t xml:space="preserve"> </w:t>
      </w:r>
      <w:r w:rsidR="00873D0A">
        <w:rPr>
          <w:sz w:val="18"/>
          <w:szCs w:val="18"/>
        </w:rPr>
        <w:t xml:space="preserve">Superscripts </w:t>
      </w:r>
      <w:r>
        <w:rPr>
          <w:sz w:val="18"/>
          <w:szCs w:val="18"/>
        </w:rPr>
        <w:t>a, b, and c denote the significance level of 1%, 5%, and 10%</w:t>
      </w:r>
      <w:r w:rsidR="00873D0A">
        <w:rPr>
          <w:sz w:val="18"/>
          <w:szCs w:val="18"/>
        </w:rPr>
        <w:t>, respectively</w:t>
      </w:r>
      <w:r>
        <w:rPr>
          <w:sz w:val="18"/>
          <w:szCs w:val="18"/>
        </w:rPr>
        <w:t>.</w:t>
      </w:r>
      <w:r w:rsidR="001229D7" w:rsidDel="001229D7">
        <w:rPr>
          <w:sz w:val="18"/>
          <w:szCs w:val="18"/>
        </w:rPr>
        <w:t xml:space="preserve"> </w:t>
      </w:r>
      <w:r w:rsidR="00B005FD">
        <w:rPr>
          <w:noProof/>
        </w:rPr>
        <w:drawing>
          <wp:inline distT="0" distB="0" distL="0" distR="0" wp14:anchorId="1BB47538" wp14:editId="75019479">
            <wp:extent cx="5943600" cy="4391763"/>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5943600" cy="4391763"/>
                    </a:xfrm>
                    <a:prstGeom prst="rect">
                      <a:avLst/>
                    </a:prstGeom>
                    <a:noFill/>
                    <a:ln w="9525">
                      <a:noFill/>
                      <a:miter lim="800000"/>
                      <a:headEnd/>
                      <a:tailEnd/>
                    </a:ln>
                  </pic:spPr>
                </pic:pic>
              </a:graphicData>
            </a:graphic>
          </wp:inline>
        </w:drawing>
      </w:r>
      <w:r w:rsidR="00E364EB">
        <w:rPr>
          <w:b/>
          <w:sz w:val="18"/>
          <w:szCs w:val="18"/>
        </w:rPr>
        <w:br w:type="page"/>
      </w:r>
    </w:p>
    <w:p w:rsidR="007E4510" w:rsidRPr="00D72004" w:rsidRDefault="007E4510" w:rsidP="007E4510">
      <w:pPr>
        <w:jc w:val="center"/>
        <w:rPr>
          <w:sz w:val="22"/>
          <w:szCs w:val="22"/>
        </w:rPr>
      </w:pPr>
      <w:r w:rsidRPr="00D72004">
        <w:rPr>
          <w:b/>
          <w:sz w:val="22"/>
          <w:szCs w:val="22"/>
        </w:rPr>
        <w:lastRenderedPageBreak/>
        <w:t>Table 6</w:t>
      </w:r>
      <w:r w:rsidR="0018713C">
        <w:rPr>
          <w:b/>
          <w:sz w:val="22"/>
          <w:szCs w:val="22"/>
        </w:rPr>
        <w:t>.</w:t>
      </w:r>
      <w:r w:rsidRPr="00D72004">
        <w:rPr>
          <w:b/>
          <w:sz w:val="22"/>
          <w:szCs w:val="22"/>
        </w:rPr>
        <w:t xml:space="preserve"> Alternative model specification</w:t>
      </w:r>
    </w:p>
    <w:p w:rsidR="007E4510" w:rsidRDefault="007E4510" w:rsidP="007E4510"/>
    <w:p w:rsidR="007E4510" w:rsidRDefault="007E4510" w:rsidP="00DA30F8">
      <w:pPr>
        <w:jc w:val="both"/>
        <w:rPr>
          <w:sz w:val="18"/>
          <w:szCs w:val="18"/>
        </w:rPr>
      </w:pPr>
      <w:r w:rsidRPr="009514E2">
        <w:rPr>
          <w:sz w:val="18"/>
          <w:szCs w:val="18"/>
        </w:rPr>
        <w:t>This table</w:t>
      </w:r>
      <w:r>
        <w:rPr>
          <w:sz w:val="18"/>
          <w:szCs w:val="18"/>
        </w:rPr>
        <w:t xml:space="preserve"> estimate</w:t>
      </w:r>
      <w:r w:rsidR="00605F6A">
        <w:rPr>
          <w:sz w:val="18"/>
          <w:szCs w:val="18"/>
        </w:rPr>
        <w:t>s</w:t>
      </w:r>
      <w:r>
        <w:rPr>
          <w:sz w:val="18"/>
          <w:szCs w:val="18"/>
        </w:rPr>
        <w:t xml:space="preserve"> a pooled </w:t>
      </w:r>
      <w:r w:rsidR="00E80642">
        <w:rPr>
          <w:sz w:val="18"/>
          <w:szCs w:val="18"/>
        </w:rPr>
        <w:t xml:space="preserve">version of </w:t>
      </w:r>
      <w:r>
        <w:rPr>
          <w:sz w:val="18"/>
          <w:szCs w:val="18"/>
        </w:rPr>
        <w:t>regression (1)</w:t>
      </w:r>
      <w:r w:rsidR="00605F6A">
        <w:rPr>
          <w:sz w:val="18"/>
          <w:szCs w:val="18"/>
        </w:rPr>
        <w:t>, where the dependent variable is liquidity as measured by ZEROPCT or the fraction of zero returns in the q</w:t>
      </w:r>
      <w:r w:rsidR="00DA30F8">
        <w:rPr>
          <w:sz w:val="18"/>
          <w:szCs w:val="18"/>
        </w:rPr>
        <w:t>uarter.</w:t>
      </w:r>
      <w:r w:rsidR="00605F6A">
        <w:rPr>
          <w:sz w:val="18"/>
          <w:szCs w:val="18"/>
        </w:rPr>
        <w:t xml:space="preserve"> The main variables of interest are t</w:t>
      </w:r>
      <w:r w:rsidR="00DA30F8">
        <w:rPr>
          <w:sz w:val="18"/>
          <w:szCs w:val="18"/>
        </w:rPr>
        <w:t>he four measures of visibility</w:t>
      </w:r>
      <w:r w:rsidR="00E80642">
        <w:rPr>
          <w:sz w:val="18"/>
          <w:szCs w:val="18"/>
        </w:rPr>
        <w:t>:</w:t>
      </w:r>
      <w:r w:rsidR="00605F6A">
        <w:rPr>
          <w:sz w:val="18"/>
          <w:szCs w:val="18"/>
        </w:rPr>
        <w:t xml:space="preserve"> </w:t>
      </w:r>
      <w:r w:rsidR="00E80642">
        <w:rPr>
          <w:sz w:val="18"/>
          <w:szCs w:val="18"/>
        </w:rPr>
        <w:t>Firm size (</w:t>
      </w:r>
      <w:r w:rsidR="00DA30F8">
        <w:rPr>
          <w:sz w:val="18"/>
          <w:szCs w:val="18"/>
        </w:rPr>
        <w:t>SIZE</w:t>
      </w:r>
      <w:r w:rsidR="00E80642">
        <w:rPr>
          <w:sz w:val="18"/>
          <w:szCs w:val="18"/>
        </w:rPr>
        <w:t>)</w:t>
      </w:r>
      <w:r w:rsidR="00DA30F8">
        <w:rPr>
          <w:sz w:val="18"/>
          <w:szCs w:val="18"/>
        </w:rPr>
        <w:t xml:space="preserve">, </w:t>
      </w:r>
      <w:r w:rsidR="00E80642">
        <w:rPr>
          <w:sz w:val="18"/>
          <w:szCs w:val="18"/>
        </w:rPr>
        <w:t>advertising expenses (</w:t>
      </w:r>
      <w:r w:rsidR="00DA30F8">
        <w:rPr>
          <w:sz w:val="18"/>
          <w:szCs w:val="18"/>
        </w:rPr>
        <w:t>XAD</w:t>
      </w:r>
      <w:r w:rsidR="00E80642">
        <w:rPr>
          <w:sz w:val="18"/>
          <w:szCs w:val="18"/>
        </w:rPr>
        <w:t>)</w:t>
      </w:r>
      <w:r w:rsidR="00DA30F8">
        <w:rPr>
          <w:sz w:val="18"/>
          <w:szCs w:val="18"/>
        </w:rPr>
        <w:t xml:space="preserve">, </w:t>
      </w:r>
      <w:r w:rsidR="00E80642">
        <w:rPr>
          <w:sz w:val="18"/>
          <w:szCs w:val="18"/>
        </w:rPr>
        <w:t xml:space="preserve">the </w:t>
      </w:r>
      <w:r w:rsidR="00DA30F8">
        <w:rPr>
          <w:sz w:val="18"/>
          <w:szCs w:val="18"/>
        </w:rPr>
        <w:t xml:space="preserve">number of institutions holding </w:t>
      </w:r>
      <w:r w:rsidR="00E80642">
        <w:rPr>
          <w:sz w:val="18"/>
          <w:szCs w:val="18"/>
        </w:rPr>
        <w:t xml:space="preserve">the firm’s </w:t>
      </w:r>
      <w:r w:rsidR="00DA30F8">
        <w:rPr>
          <w:sz w:val="18"/>
          <w:szCs w:val="18"/>
        </w:rPr>
        <w:t>equity</w:t>
      </w:r>
      <w:r w:rsidR="00E80642">
        <w:rPr>
          <w:sz w:val="18"/>
          <w:szCs w:val="18"/>
        </w:rPr>
        <w:t xml:space="preserve"> (NEQUITY</w:t>
      </w:r>
      <w:r w:rsidR="00DA30F8">
        <w:rPr>
          <w:sz w:val="18"/>
          <w:szCs w:val="18"/>
        </w:rPr>
        <w:t>)</w:t>
      </w:r>
      <w:r w:rsidR="00E80642">
        <w:rPr>
          <w:sz w:val="18"/>
          <w:szCs w:val="18"/>
        </w:rPr>
        <w:t>,</w:t>
      </w:r>
      <w:r w:rsidR="00DA30F8">
        <w:rPr>
          <w:sz w:val="18"/>
          <w:szCs w:val="18"/>
        </w:rPr>
        <w:t xml:space="preserve"> and </w:t>
      </w:r>
      <w:r w:rsidR="00E80642">
        <w:rPr>
          <w:sz w:val="18"/>
          <w:szCs w:val="18"/>
        </w:rPr>
        <w:t xml:space="preserve">the </w:t>
      </w:r>
      <w:r w:rsidR="00DA30F8">
        <w:rPr>
          <w:sz w:val="18"/>
          <w:szCs w:val="18"/>
        </w:rPr>
        <w:t>number of analysts following the firm</w:t>
      </w:r>
      <w:r w:rsidR="00E80642">
        <w:rPr>
          <w:sz w:val="18"/>
          <w:szCs w:val="18"/>
        </w:rPr>
        <w:t xml:space="preserve"> (NALSYST</w:t>
      </w:r>
      <w:r w:rsidR="00DA30F8">
        <w:rPr>
          <w:sz w:val="18"/>
          <w:szCs w:val="18"/>
        </w:rPr>
        <w:t>).</w:t>
      </w:r>
      <w:r w:rsidR="00605F6A">
        <w:rPr>
          <w:sz w:val="18"/>
          <w:szCs w:val="18"/>
        </w:rPr>
        <w:t xml:space="preserve"> </w:t>
      </w:r>
      <w:r w:rsidR="00D90D95">
        <w:rPr>
          <w:sz w:val="18"/>
          <w:szCs w:val="18"/>
        </w:rPr>
        <w:t>All the control variables are</w:t>
      </w:r>
      <w:r w:rsidR="00E80642">
        <w:rPr>
          <w:sz w:val="18"/>
          <w:szCs w:val="18"/>
        </w:rPr>
        <w:t xml:space="preserve"> defined as in Table 4</w:t>
      </w:r>
      <w:r w:rsidR="00605F6A">
        <w:rPr>
          <w:sz w:val="18"/>
          <w:szCs w:val="18"/>
        </w:rPr>
        <w:t xml:space="preserve">. </w:t>
      </w:r>
      <w:r w:rsidR="00D90D95">
        <w:rPr>
          <w:sz w:val="18"/>
          <w:szCs w:val="18"/>
        </w:rPr>
        <w:t>Also</w:t>
      </w:r>
      <w:r w:rsidR="00605F6A">
        <w:rPr>
          <w:sz w:val="18"/>
          <w:szCs w:val="18"/>
        </w:rPr>
        <w:t xml:space="preserve"> included are </w:t>
      </w:r>
      <w:r w:rsidR="00D90D95">
        <w:rPr>
          <w:sz w:val="18"/>
          <w:szCs w:val="18"/>
        </w:rPr>
        <w:t>three</w:t>
      </w:r>
      <w:r>
        <w:rPr>
          <w:sz w:val="18"/>
          <w:szCs w:val="18"/>
        </w:rPr>
        <w:t xml:space="preserve"> macro-economic variables</w:t>
      </w:r>
      <w:r w:rsidR="00D90D95">
        <w:rPr>
          <w:sz w:val="18"/>
          <w:szCs w:val="18"/>
        </w:rPr>
        <w:t>:</w:t>
      </w:r>
      <w:r>
        <w:rPr>
          <w:sz w:val="18"/>
          <w:szCs w:val="18"/>
        </w:rPr>
        <w:t xml:space="preserve"> the 10-year Treasury bond return</w:t>
      </w:r>
      <w:r w:rsidR="00605F6A">
        <w:rPr>
          <w:sz w:val="18"/>
          <w:szCs w:val="18"/>
        </w:rPr>
        <w:t xml:space="preserve"> (ABST10YRET)</w:t>
      </w:r>
      <w:r>
        <w:rPr>
          <w:sz w:val="18"/>
          <w:szCs w:val="18"/>
        </w:rPr>
        <w:t>, return on the S&amp;P 500 index</w:t>
      </w:r>
      <w:r w:rsidR="00605F6A">
        <w:rPr>
          <w:sz w:val="18"/>
          <w:szCs w:val="18"/>
        </w:rPr>
        <w:t xml:space="preserve"> (ABSSP500RET)</w:t>
      </w:r>
      <w:r>
        <w:rPr>
          <w:sz w:val="18"/>
          <w:szCs w:val="18"/>
        </w:rPr>
        <w:t xml:space="preserve">, and </w:t>
      </w:r>
      <w:r w:rsidRPr="00370A32">
        <w:rPr>
          <w:sz w:val="18"/>
          <w:szCs w:val="18"/>
        </w:rPr>
        <w:t>Moody’s corporate credit spreads between Baa and Aaa bonds</w:t>
      </w:r>
      <w:r w:rsidR="00605F6A">
        <w:rPr>
          <w:sz w:val="18"/>
          <w:szCs w:val="18"/>
        </w:rPr>
        <w:t xml:space="preserve"> (BAA_AAA)</w:t>
      </w:r>
      <w:r>
        <w:rPr>
          <w:sz w:val="18"/>
          <w:szCs w:val="18"/>
        </w:rPr>
        <w:t>. Standard</w:t>
      </w:r>
      <w:r w:rsidRPr="00AA2DB3">
        <w:rPr>
          <w:sz w:val="18"/>
          <w:szCs w:val="18"/>
        </w:rPr>
        <w:t xml:space="preserve"> errors</w:t>
      </w:r>
      <w:r>
        <w:rPr>
          <w:sz w:val="18"/>
          <w:szCs w:val="18"/>
        </w:rPr>
        <w:t xml:space="preserve"> are corrected to </w:t>
      </w:r>
      <w:r w:rsidRPr="00AA2DB3">
        <w:rPr>
          <w:sz w:val="18"/>
          <w:szCs w:val="18"/>
        </w:rPr>
        <w:t>account for potential correlations across bonds and over time</w:t>
      </w:r>
      <w:r>
        <w:rPr>
          <w:sz w:val="18"/>
          <w:szCs w:val="18"/>
        </w:rPr>
        <w:t xml:space="preserve"> as in Thomson (2009)</w:t>
      </w:r>
      <w:r w:rsidRPr="00AA2DB3">
        <w:rPr>
          <w:sz w:val="18"/>
          <w:szCs w:val="18"/>
        </w:rPr>
        <w:t>.</w:t>
      </w:r>
      <w:r>
        <w:rPr>
          <w:sz w:val="18"/>
          <w:szCs w:val="18"/>
        </w:rPr>
        <w:t xml:space="preserve"> </w:t>
      </w:r>
      <w:r w:rsidR="00D90D95">
        <w:rPr>
          <w:sz w:val="18"/>
          <w:szCs w:val="18"/>
        </w:rPr>
        <w:t xml:space="preserve">Superscripts </w:t>
      </w:r>
      <w:r w:rsidR="00DA30F8">
        <w:rPr>
          <w:sz w:val="18"/>
          <w:szCs w:val="18"/>
        </w:rPr>
        <w:t>a, b, and c denote the significance level of 1%, 5%, and 10%</w:t>
      </w:r>
      <w:r w:rsidR="00D90D95">
        <w:rPr>
          <w:sz w:val="18"/>
          <w:szCs w:val="18"/>
        </w:rPr>
        <w:t>, respectively</w:t>
      </w:r>
      <w:r w:rsidR="00DA30F8">
        <w:rPr>
          <w:sz w:val="18"/>
          <w:szCs w:val="18"/>
        </w:rPr>
        <w:t>.</w:t>
      </w:r>
    </w:p>
    <w:p w:rsidR="00D331EB" w:rsidRDefault="00B005FD" w:rsidP="00CF0506">
      <w:pPr>
        <w:jc w:val="center"/>
        <w:rPr>
          <w:sz w:val="18"/>
          <w:szCs w:val="18"/>
        </w:rPr>
      </w:pPr>
      <w:r w:rsidRPr="00CF0506">
        <w:rPr>
          <w:noProof/>
          <w:szCs w:val="18"/>
        </w:rPr>
        <w:drawing>
          <wp:inline distT="0" distB="0" distL="0" distR="0" wp14:anchorId="598201BD" wp14:editId="6B8985FA">
            <wp:extent cx="5943600" cy="5558966"/>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5943600" cy="5558966"/>
                    </a:xfrm>
                    <a:prstGeom prst="rect">
                      <a:avLst/>
                    </a:prstGeom>
                    <a:noFill/>
                    <a:ln w="9525">
                      <a:noFill/>
                      <a:miter lim="800000"/>
                      <a:headEnd/>
                      <a:tailEnd/>
                    </a:ln>
                  </pic:spPr>
                </pic:pic>
              </a:graphicData>
            </a:graphic>
          </wp:inline>
        </w:drawing>
      </w:r>
    </w:p>
    <w:p w:rsidR="007E4510" w:rsidRDefault="007E4510" w:rsidP="007E4510">
      <w:pPr>
        <w:rPr>
          <w:sz w:val="18"/>
          <w:szCs w:val="18"/>
        </w:rPr>
      </w:pPr>
    </w:p>
    <w:p w:rsidR="007E4510" w:rsidRDefault="007E4510" w:rsidP="007E4510">
      <w:pPr>
        <w:rPr>
          <w:sz w:val="18"/>
          <w:szCs w:val="18"/>
        </w:rPr>
      </w:pPr>
    </w:p>
    <w:p w:rsidR="007E4510" w:rsidRDefault="007E4510" w:rsidP="007E4510"/>
    <w:p w:rsidR="007E4510" w:rsidRDefault="007E4510" w:rsidP="007E4510">
      <w:pPr>
        <w:sectPr w:rsidR="007E4510" w:rsidSect="00465308">
          <w:footerReference w:type="default" r:id="rId23"/>
          <w:pgSz w:w="12240" w:h="15840"/>
          <w:pgMar w:top="1440" w:right="1440" w:bottom="1440" w:left="1440" w:header="720" w:footer="720" w:gutter="0"/>
          <w:cols w:space="720"/>
          <w:docGrid w:linePitch="360"/>
        </w:sectPr>
      </w:pPr>
    </w:p>
    <w:p w:rsidR="007E4510" w:rsidRPr="0041517A" w:rsidRDefault="007E4510" w:rsidP="007E4510">
      <w:pPr>
        <w:jc w:val="center"/>
        <w:rPr>
          <w:sz w:val="22"/>
          <w:szCs w:val="22"/>
        </w:rPr>
      </w:pPr>
      <w:r w:rsidRPr="0041517A">
        <w:rPr>
          <w:b/>
          <w:sz w:val="22"/>
          <w:szCs w:val="22"/>
        </w:rPr>
        <w:lastRenderedPageBreak/>
        <w:t>Table 7</w:t>
      </w:r>
      <w:r w:rsidR="0018713C">
        <w:rPr>
          <w:b/>
          <w:sz w:val="22"/>
          <w:szCs w:val="22"/>
        </w:rPr>
        <w:t>.</w:t>
      </w:r>
      <w:r w:rsidRPr="0041517A">
        <w:rPr>
          <w:b/>
          <w:sz w:val="22"/>
          <w:szCs w:val="22"/>
        </w:rPr>
        <w:t xml:space="preserve"> Visibility impact by bond credit rating categor</w:t>
      </w:r>
      <w:r w:rsidR="00E45992">
        <w:rPr>
          <w:b/>
          <w:sz w:val="22"/>
          <w:szCs w:val="22"/>
        </w:rPr>
        <w:t>ies</w:t>
      </w:r>
    </w:p>
    <w:p w:rsidR="007E4510" w:rsidRDefault="007E4510" w:rsidP="007E4510"/>
    <w:p w:rsidR="007E4510" w:rsidRDefault="007E4510" w:rsidP="00DA30F8">
      <w:pPr>
        <w:jc w:val="both"/>
        <w:rPr>
          <w:sz w:val="18"/>
          <w:szCs w:val="18"/>
        </w:rPr>
      </w:pPr>
      <w:r w:rsidRPr="009514E2">
        <w:rPr>
          <w:sz w:val="18"/>
          <w:szCs w:val="18"/>
        </w:rPr>
        <w:t>This table</w:t>
      </w:r>
      <w:r>
        <w:rPr>
          <w:sz w:val="18"/>
          <w:szCs w:val="18"/>
        </w:rPr>
        <w:t xml:space="preserve"> </w:t>
      </w:r>
      <w:r w:rsidR="00E45992">
        <w:rPr>
          <w:sz w:val="18"/>
          <w:szCs w:val="18"/>
        </w:rPr>
        <w:t xml:space="preserve">performs the same analysis as in Table 4 separately for </w:t>
      </w:r>
      <w:r>
        <w:rPr>
          <w:sz w:val="18"/>
          <w:szCs w:val="18"/>
        </w:rPr>
        <w:t>investment</w:t>
      </w:r>
      <w:r w:rsidR="00E45992">
        <w:rPr>
          <w:sz w:val="18"/>
          <w:szCs w:val="18"/>
        </w:rPr>
        <w:t xml:space="preserve"> </w:t>
      </w:r>
      <w:r>
        <w:rPr>
          <w:sz w:val="18"/>
          <w:szCs w:val="18"/>
        </w:rPr>
        <w:t xml:space="preserve">grade </w:t>
      </w:r>
      <w:r w:rsidR="00E45992">
        <w:rPr>
          <w:sz w:val="18"/>
          <w:szCs w:val="18"/>
        </w:rPr>
        <w:t xml:space="preserve">bonds </w:t>
      </w:r>
      <w:r w:rsidR="0041517A">
        <w:rPr>
          <w:sz w:val="18"/>
          <w:szCs w:val="18"/>
        </w:rPr>
        <w:t xml:space="preserve">(Panel A) </w:t>
      </w:r>
      <w:r>
        <w:rPr>
          <w:sz w:val="18"/>
          <w:szCs w:val="18"/>
        </w:rPr>
        <w:t>and high-yield bonds</w:t>
      </w:r>
      <w:r w:rsidR="0041517A">
        <w:rPr>
          <w:sz w:val="18"/>
          <w:szCs w:val="18"/>
        </w:rPr>
        <w:t xml:space="preserve"> (Panel B)</w:t>
      </w:r>
      <w:r>
        <w:rPr>
          <w:sz w:val="18"/>
          <w:szCs w:val="18"/>
        </w:rPr>
        <w:t xml:space="preserve">. </w:t>
      </w:r>
      <w:r w:rsidR="0041517A">
        <w:rPr>
          <w:sz w:val="18"/>
          <w:szCs w:val="18"/>
        </w:rPr>
        <w:t>The dependent variable is ZEROPCT</w:t>
      </w:r>
      <w:r w:rsidR="00E45992">
        <w:rPr>
          <w:sz w:val="18"/>
          <w:szCs w:val="18"/>
        </w:rPr>
        <w:t>,</w:t>
      </w:r>
      <w:r w:rsidR="0041517A">
        <w:rPr>
          <w:sz w:val="18"/>
          <w:szCs w:val="18"/>
        </w:rPr>
        <w:t xml:space="preserve"> the fraction of</w:t>
      </w:r>
      <w:r w:rsidR="00DA30F8">
        <w:rPr>
          <w:sz w:val="18"/>
          <w:szCs w:val="18"/>
        </w:rPr>
        <w:t xml:space="preserve"> </w:t>
      </w:r>
      <w:r w:rsidR="00E45992">
        <w:rPr>
          <w:sz w:val="18"/>
          <w:szCs w:val="18"/>
        </w:rPr>
        <w:t xml:space="preserve">days within a quarter with </w:t>
      </w:r>
      <w:r w:rsidR="00DA30F8">
        <w:rPr>
          <w:sz w:val="18"/>
          <w:szCs w:val="18"/>
        </w:rPr>
        <w:t xml:space="preserve">zero returns. </w:t>
      </w:r>
      <w:r w:rsidR="00E45992">
        <w:rPr>
          <w:sz w:val="18"/>
          <w:szCs w:val="18"/>
        </w:rPr>
        <w:t xml:space="preserve">Four visibility measures are used: firm size (SIZE), advertising expenses (XAD), the number of institutions holding equity (NEQUITY), and the number of analysts following the firm (NANALYST). Coefficients for all control variables are omitted for brevity. Superscripts </w:t>
      </w:r>
      <w:r>
        <w:rPr>
          <w:sz w:val="18"/>
          <w:szCs w:val="18"/>
        </w:rPr>
        <w:t>a, b, and c denote the significance level of 1%, 5%, and 10%</w:t>
      </w:r>
      <w:r w:rsidR="00E45992">
        <w:rPr>
          <w:sz w:val="18"/>
          <w:szCs w:val="18"/>
        </w:rPr>
        <w:t>, respectively</w:t>
      </w:r>
      <w:r>
        <w:rPr>
          <w:sz w:val="18"/>
          <w:szCs w:val="18"/>
        </w:rPr>
        <w:t>.</w:t>
      </w:r>
    </w:p>
    <w:p w:rsidR="00D331EB" w:rsidRDefault="00B005FD" w:rsidP="00CF0506">
      <w:pPr>
        <w:jc w:val="center"/>
        <w:rPr>
          <w:sz w:val="18"/>
          <w:szCs w:val="18"/>
        </w:rPr>
      </w:pPr>
      <w:r w:rsidRPr="00CF0506">
        <w:rPr>
          <w:noProof/>
          <w:szCs w:val="18"/>
        </w:rPr>
        <w:drawing>
          <wp:inline distT="0" distB="0" distL="0" distR="0" wp14:anchorId="498B7776" wp14:editId="0672CE20">
            <wp:extent cx="5943600" cy="3457653"/>
            <wp:effectExtent l="1905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5943600" cy="3457653"/>
                    </a:xfrm>
                    <a:prstGeom prst="rect">
                      <a:avLst/>
                    </a:prstGeom>
                    <a:noFill/>
                    <a:ln w="9525">
                      <a:noFill/>
                      <a:miter lim="800000"/>
                      <a:headEnd/>
                      <a:tailEnd/>
                    </a:ln>
                  </pic:spPr>
                </pic:pic>
              </a:graphicData>
            </a:graphic>
          </wp:inline>
        </w:drawing>
      </w:r>
    </w:p>
    <w:p w:rsidR="007E4510" w:rsidRPr="00687ACD" w:rsidRDefault="007E4510" w:rsidP="007E4510"/>
    <w:p w:rsidR="007E4510" w:rsidRDefault="007E4510" w:rsidP="007E4510"/>
    <w:p w:rsidR="007E4510" w:rsidRDefault="007E4510" w:rsidP="007E4510"/>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F66D28" w:rsidRDefault="00F66D28"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Default="007E4510" w:rsidP="007E4510">
      <w:pPr>
        <w:jc w:val="center"/>
        <w:rPr>
          <w:b/>
          <w:sz w:val="18"/>
          <w:szCs w:val="18"/>
        </w:rPr>
      </w:pPr>
    </w:p>
    <w:p w:rsidR="007E4510" w:rsidRPr="000065C9" w:rsidRDefault="00D331EB" w:rsidP="007E4510">
      <w:pPr>
        <w:jc w:val="center"/>
        <w:rPr>
          <w:sz w:val="22"/>
          <w:szCs w:val="22"/>
        </w:rPr>
      </w:pPr>
      <w:r w:rsidRPr="00CF0506">
        <w:rPr>
          <w:b/>
          <w:sz w:val="22"/>
          <w:szCs w:val="22"/>
        </w:rPr>
        <w:lastRenderedPageBreak/>
        <w:t>T</w:t>
      </w:r>
      <w:r w:rsidR="007E4510" w:rsidRPr="000065C9">
        <w:rPr>
          <w:b/>
          <w:sz w:val="22"/>
          <w:szCs w:val="22"/>
        </w:rPr>
        <w:t>able 8</w:t>
      </w:r>
      <w:r w:rsidR="0018713C">
        <w:rPr>
          <w:b/>
          <w:sz w:val="22"/>
          <w:szCs w:val="22"/>
        </w:rPr>
        <w:t>.</w:t>
      </w:r>
      <w:r w:rsidR="007E4510" w:rsidRPr="000065C9">
        <w:rPr>
          <w:b/>
          <w:sz w:val="22"/>
          <w:szCs w:val="22"/>
        </w:rPr>
        <w:t xml:space="preserve"> Visibility in the bond markets</w:t>
      </w:r>
    </w:p>
    <w:p w:rsidR="007E4510" w:rsidRDefault="007E4510" w:rsidP="007E4510"/>
    <w:p w:rsidR="007E4510" w:rsidRDefault="00E45992" w:rsidP="00DA30F8">
      <w:pPr>
        <w:jc w:val="both"/>
        <w:rPr>
          <w:sz w:val="18"/>
          <w:szCs w:val="18"/>
        </w:rPr>
      </w:pPr>
      <w:r>
        <w:rPr>
          <w:sz w:val="18"/>
          <w:szCs w:val="18"/>
        </w:rPr>
        <w:t xml:space="preserve">This table augments the analysis in Table 4 with one additional visibility measure: </w:t>
      </w:r>
      <w:r w:rsidR="000065C9">
        <w:rPr>
          <w:sz w:val="18"/>
          <w:szCs w:val="18"/>
        </w:rPr>
        <w:t>the number of institutions that hold bonds issued by the firm</w:t>
      </w:r>
      <w:r>
        <w:rPr>
          <w:sz w:val="18"/>
          <w:szCs w:val="18"/>
        </w:rPr>
        <w:t xml:space="preserve"> (NBONDS)</w:t>
      </w:r>
      <w:r w:rsidR="000065C9">
        <w:rPr>
          <w:sz w:val="18"/>
          <w:szCs w:val="18"/>
        </w:rPr>
        <w:t xml:space="preserve">. </w:t>
      </w:r>
      <w:r w:rsidR="00201651">
        <w:rPr>
          <w:sz w:val="18"/>
          <w:szCs w:val="18"/>
        </w:rPr>
        <w:t xml:space="preserve">All the other variables are defined as in Table 4. </w:t>
      </w:r>
      <w:r w:rsidR="00796166">
        <w:rPr>
          <w:sz w:val="18"/>
          <w:szCs w:val="18"/>
        </w:rPr>
        <w:t xml:space="preserve">Coefficients for all control variables are omitted for brevity. </w:t>
      </w:r>
      <w:r w:rsidR="00201651">
        <w:rPr>
          <w:sz w:val="18"/>
          <w:szCs w:val="18"/>
        </w:rPr>
        <w:t>Superscripts</w:t>
      </w:r>
      <w:r w:rsidR="000065C9">
        <w:rPr>
          <w:sz w:val="18"/>
          <w:szCs w:val="18"/>
        </w:rPr>
        <w:t xml:space="preserve"> a, b, and c denote the significance level of 1%, 5%, and 10%</w:t>
      </w:r>
      <w:r w:rsidR="00201651">
        <w:rPr>
          <w:sz w:val="18"/>
          <w:szCs w:val="18"/>
        </w:rPr>
        <w:t>, respectively</w:t>
      </w:r>
      <w:r w:rsidR="000065C9">
        <w:rPr>
          <w:sz w:val="18"/>
          <w:szCs w:val="18"/>
        </w:rPr>
        <w:t>.</w:t>
      </w:r>
    </w:p>
    <w:p w:rsidR="00D331EB" w:rsidRDefault="00B005FD" w:rsidP="00CF0506">
      <w:pPr>
        <w:jc w:val="center"/>
        <w:rPr>
          <w:sz w:val="18"/>
          <w:szCs w:val="18"/>
        </w:rPr>
      </w:pPr>
      <w:r w:rsidRPr="00CF0506">
        <w:rPr>
          <w:noProof/>
          <w:szCs w:val="18"/>
        </w:rPr>
        <w:drawing>
          <wp:inline distT="0" distB="0" distL="0" distR="0" wp14:anchorId="087F5A4C" wp14:editId="18B7C50B">
            <wp:extent cx="5943600" cy="1817979"/>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5943600" cy="1817979"/>
                    </a:xfrm>
                    <a:prstGeom prst="rect">
                      <a:avLst/>
                    </a:prstGeom>
                    <a:noFill/>
                    <a:ln w="9525">
                      <a:noFill/>
                      <a:miter lim="800000"/>
                      <a:headEnd/>
                      <a:tailEnd/>
                    </a:ln>
                  </pic:spPr>
                </pic:pic>
              </a:graphicData>
            </a:graphic>
          </wp:inline>
        </w:drawing>
      </w:r>
    </w:p>
    <w:p w:rsidR="007E4510" w:rsidRDefault="007E4510" w:rsidP="007E4510">
      <w:pPr>
        <w:rPr>
          <w:sz w:val="18"/>
          <w:szCs w:val="18"/>
        </w:rPr>
      </w:pPr>
    </w:p>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 w:rsidR="007E4510" w:rsidRDefault="007E4510" w:rsidP="007E4510">
      <w:pPr>
        <w:sectPr w:rsidR="007E4510" w:rsidSect="00465308">
          <w:pgSz w:w="12240" w:h="15840"/>
          <w:pgMar w:top="1440" w:right="1440" w:bottom="1440" w:left="1440" w:header="720" w:footer="720" w:gutter="0"/>
          <w:cols w:space="720"/>
          <w:docGrid w:linePitch="360"/>
        </w:sectPr>
      </w:pPr>
    </w:p>
    <w:p w:rsidR="007E4510" w:rsidRPr="00A301EC" w:rsidRDefault="007E4510" w:rsidP="007E4510">
      <w:pPr>
        <w:jc w:val="center"/>
        <w:rPr>
          <w:sz w:val="22"/>
          <w:szCs w:val="22"/>
        </w:rPr>
      </w:pPr>
      <w:r w:rsidRPr="00A301EC">
        <w:rPr>
          <w:b/>
          <w:sz w:val="22"/>
          <w:szCs w:val="22"/>
        </w:rPr>
        <w:lastRenderedPageBreak/>
        <w:t>Table 9</w:t>
      </w:r>
      <w:r w:rsidR="0018713C">
        <w:rPr>
          <w:b/>
          <w:sz w:val="22"/>
          <w:szCs w:val="22"/>
        </w:rPr>
        <w:t>.</w:t>
      </w:r>
      <w:r w:rsidRPr="00A301EC">
        <w:rPr>
          <w:b/>
          <w:sz w:val="22"/>
          <w:szCs w:val="22"/>
        </w:rPr>
        <w:t xml:space="preserve"> Changes in bond liquidity for firms added to the S&amp;P 500 index</w:t>
      </w:r>
    </w:p>
    <w:p w:rsidR="007E4510" w:rsidRDefault="007E4510" w:rsidP="007E4510"/>
    <w:p w:rsidR="00F55478" w:rsidRDefault="007E4510" w:rsidP="00147D3D">
      <w:pPr>
        <w:jc w:val="both"/>
        <w:rPr>
          <w:sz w:val="18"/>
          <w:szCs w:val="18"/>
        </w:rPr>
      </w:pPr>
      <w:r w:rsidRPr="009514E2">
        <w:rPr>
          <w:sz w:val="18"/>
          <w:szCs w:val="18"/>
        </w:rPr>
        <w:t>This table</w:t>
      </w:r>
      <w:r>
        <w:rPr>
          <w:sz w:val="18"/>
          <w:szCs w:val="18"/>
        </w:rPr>
        <w:t xml:space="preserve"> examines the changes in liquidity</w:t>
      </w:r>
      <w:r w:rsidR="00A301EC">
        <w:rPr>
          <w:sz w:val="18"/>
          <w:szCs w:val="18"/>
        </w:rPr>
        <w:t xml:space="preserve"> </w:t>
      </w:r>
      <w:r>
        <w:rPr>
          <w:sz w:val="18"/>
          <w:szCs w:val="18"/>
        </w:rPr>
        <w:t>of bonds issued by firms that were added to the S&amp;P 500 index over the period</w:t>
      </w:r>
      <w:r w:rsidR="00E11DBD">
        <w:rPr>
          <w:sz w:val="18"/>
          <w:szCs w:val="18"/>
        </w:rPr>
        <w:t xml:space="preserve"> of</w:t>
      </w:r>
      <w:r>
        <w:rPr>
          <w:sz w:val="18"/>
          <w:szCs w:val="18"/>
        </w:rPr>
        <w:t xml:space="preserve"> 2003</w:t>
      </w:r>
      <w:r w:rsidR="00E11DBD">
        <w:rPr>
          <w:sz w:val="18"/>
          <w:szCs w:val="18"/>
        </w:rPr>
        <w:t xml:space="preserve"> to </w:t>
      </w:r>
      <w:r>
        <w:rPr>
          <w:sz w:val="18"/>
          <w:szCs w:val="18"/>
        </w:rPr>
        <w:t xml:space="preserve">2010. Pre- and Post-Addition refer to the quarter before and after the quarter during which the company was added to the S&amp;P 500 index. We present both the mean and </w:t>
      </w:r>
      <w:r w:rsidR="00E11DBD">
        <w:rPr>
          <w:sz w:val="18"/>
          <w:szCs w:val="18"/>
        </w:rPr>
        <w:t xml:space="preserve">the </w:t>
      </w:r>
      <w:r>
        <w:rPr>
          <w:sz w:val="18"/>
          <w:szCs w:val="18"/>
        </w:rPr>
        <w:t xml:space="preserve">median of liquidity </w:t>
      </w:r>
      <w:r w:rsidR="00E11DBD">
        <w:rPr>
          <w:sz w:val="18"/>
          <w:szCs w:val="18"/>
        </w:rPr>
        <w:t>in</w:t>
      </w:r>
      <w:r>
        <w:rPr>
          <w:sz w:val="18"/>
          <w:szCs w:val="18"/>
        </w:rPr>
        <w:t xml:space="preserve"> the Pre- and Post-Addition periods</w:t>
      </w:r>
      <w:r w:rsidR="00E11DBD">
        <w:rPr>
          <w:sz w:val="18"/>
          <w:szCs w:val="18"/>
        </w:rPr>
        <w:t>.</w:t>
      </w:r>
      <w:r>
        <w:rPr>
          <w:sz w:val="18"/>
          <w:szCs w:val="18"/>
        </w:rPr>
        <w:t xml:space="preserve"> </w:t>
      </w:r>
      <w:r w:rsidR="00E11DBD">
        <w:rPr>
          <w:sz w:val="18"/>
          <w:szCs w:val="18"/>
        </w:rPr>
        <w:t>We</w:t>
      </w:r>
      <w:r>
        <w:rPr>
          <w:sz w:val="18"/>
          <w:szCs w:val="18"/>
        </w:rPr>
        <w:t xml:space="preserve"> </w:t>
      </w:r>
      <w:r w:rsidR="00E11DBD">
        <w:rPr>
          <w:sz w:val="18"/>
          <w:szCs w:val="18"/>
        </w:rPr>
        <w:t xml:space="preserve">also </w:t>
      </w:r>
      <w:r>
        <w:rPr>
          <w:sz w:val="18"/>
          <w:szCs w:val="18"/>
        </w:rPr>
        <w:t xml:space="preserve">report the p-values </w:t>
      </w:r>
      <w:r w:rsidR="00E11DBD">
        <w:rPr>
          <w:sz w:val="18"/>
          <w:szCs w:val="18"/>
        </w:rPr>
        <w:t xml:space="preserve">for the t-test (difference between means) and the </w:t>
      </w:r>
      <w:r>
        <w:rPr>
          <w:sz w:val="18"/>
          <w:szCs w:val="18"/>
        </w:rPr>
        <w:t>Wilcoxon tests</w:t>
      </w:r>
      <w:r w:rsidR="00E11DBD">
        <w:rPr>
          <w:sz w:val="18"/>
          <w:szCs w:val="18"/>
        </w:rPr>
        <w:t xml:space="preserve"> (difference between medians)</w:t>
      </w:r>
      <w:r>
        <w:rPr>
          <w:sz w:val="18"/>
          <w:szCs w:val="18"/>
        </w:rPr>
        <w:t xml:space="preserve">. We </w:t>
      </w:r>
      <w:r w:rsidR="00E11DBD">
        <w:rPr>
          <w:sz w:val="18"/>
          <w:szCs w:val="18"/>
        </w:rPr>
        <w:t>examine</w:t>
      </w:r>
      <w:r>
        <w:rPr>
          <w:sz w:val="18"/>
          <w:szCs w:val="18"/>
        </w:rPr>
        <w:t xml:space="preserve"> three liquidity measures: </w:t>
      </w:r>
      <w:r w:rsidR="00DB1425">
        <w:rPr>
          <w:sz w:val="18"/>
          <w:szCs w:val="18"/>
        </w:rPr>
        <w:t>ZEROPCT</w:t>
      </w:r>
      <w:r>
        <w:rPr>
          <w:sz w:val="18"/>
          <w:szCs w:val="18"/>
        </w:rPr>
        <w:t xml:space="preserve">, NTRADES and VOLUME. We examine both the raw liquidity measures and </w:t>
      </w:r>
      <w:r w:rsidR="00E11DBD">
        <w:rPr>
          <w:sz w:val="18"/>
          <w:szCs w:val="18"/>
        </w:rPr>
        <w:t xml:space="preserve">the </w:t>
      </w:r>
      <w:r>
        <w:rPr>
          <w:sz w:val="18"/>
          <w:szCs w:val="18"/>
        </w:rPr>
        <w:t>c</w:t>
      </w:r>
      <w:r w:rsidRPr="0011421D">
        <w:rPr>
          <w:sz w:val="18"/>
          <w:szCs w:val="18"/>
        </w:rPr>
        <w:t>ontrol</w:t>
      </w:r>
      <w:r w:rsidR="00E11DBD">
        <w:rPr>
          <w:sz w:val="18"/>
          <w:szCs w:val="18"/>
        </w:rPr>
        <w:t>-</w:t>
      </w:r>
      <w:r>
        <w:rPr>
          <w:sz w:val="18"/>
          <w:szCs w:val="18"/>
        </w:rPr>
        <w:t>a</w:t>
      </w:r>
      <w:r w:rsidRPr="0011421D">
        <w:rPr>
          <w:sz w:val="18"/>
          <w:szCs w:val="18"/>
        </w:rPr>
        <w:t xml:space="preserve">djusted measures, </w:t>
      </w:r>
      <w:r w:rsidR="00E11DBD">
        <w:rPr>
          <w:sz w:val="18"/>
          <w:szCs w:val="18"/>
        </w:rPr>
        <w:t xml:space="preserve">the latter of </w:t>
      </w:r>
      <w:r w:rsidRPr="0011421D">
        <w:rPr>
          <w:sz w:val="18"/>
          <w:szCs w:val="18"/>
        </w:rPr>
        <w:t xml:space="preserve">which </w:t>
      </w:r>
      <w:r w:rsidR="00E11DBD">
        <w:rPr>
          <w:sz w:val="18"/>
          <w:szCs w:val="18"/>
        </w:rPr>
        <w:t xml:space="preserve">are </w:t>
      </w:r>
      <w:r w:rsidRPr="0011421D">
        <w:rPr>
          <w:sz w:val="18"/>
          <w:szCs w:val="18"/>
        </w:rPr>
        <w:t xml:space="preserve">obtained by subtracting the mean of the control group from </w:t>
      </w:r>
      <w:r w:rsidR="00E11DBD">
        <w:rPr>
          <w:sz w:val="18"/>
          <w:szCs w:val="18"/>
        </w:rPr>
        <w:t xml:space="preserve">that of </w:t>
      </w:r>
      <w:r w:rsidRPr="0011421D">
        <w:rPr>
          <w:sz w:val="18"/>
          <w:szCs w:val="18"/>
        </w:rPr>
        <w:t xml:space="preserve">the </w:t>
      </w:r>
      <w:r w:rsidR="00E11DBD">
        <w:rPr>
          <w:sz w:val="18"/>
          <w:szCs w:val="18"/>
        </w:rPr>
        <w:t xml:space="preserve">S&amp;P 500 index addition </w:t>
      </w:r>
      <w:r w:rsidRPr="0011421D">
        <w:rPr>
          <w:sz w:val="18"/>
          <w:szCs w:val="18"/>
        </w:rPr>
        <w:t>sample. The control group consists of all bonds hav</w:t>
      </w:r>
      <w:r w:rsidR="00E11DBD">
        <w:rPr>
          <w:sz w:val="18"/>
          <w:szCs w:val="18"/>
        </w:rPr>
        <w:t>ing</w:t>
      </w:r>
      <w:r w:rsidRPr="0011421D">
        <w:rPr>
          <w:sz w:val="18"/>
          <w:szCs w:val="18"/>
        </w:rPr>
        <w:t xml:space="preserve"> the same credit rating and similar time to maturity as the bond issued by the firm </w:t>
      </w:r>
      <w:r w:rsidR="00E11DBD">
        <w:rPr>
          <w:sz w:val="18"/>
          <w:szCs w:val="18"/>
        </w:rPr>
        <w:t xml:space="preserve">being </w:t>
      </w:r>
      <w:r w:rsidRPr="0011421D">
        <w:rPr>
          <w:sz w:val="18"/>
          <w:szCs w:val="18"/>
        </w:rPr>
        <w:t xml:space="preserve">added to the S&amp;P 500 </w:t>
      </w:r>
      <w:r w:rsidR="00E11DBD">
        <w:rPr>
          <w:sz w:val="18"/>
          <w:szCs w:val="18"/>
        </w:rPr>
        <w:t>i</w:t>
      </w:r>
      <w:r w:rsidRPr="0011421D">
        <w:rPr>
          <w:sz w:val="18"/>
          <w:szCs w:val="18"/>
        </w:rPr>
        <w:t xml:space="preserve">ndex. </w:t>
      </w:r>
      <w:r w:rsidR="00E11DBD">
        <w:rPr>
          <w:sz w:val="18"/>
          <w:szCs w:val="18"/>
        </w:rPr>
        <w:t xml:space="preserve">In each case, we also report results for subsamples of </w:t>
      </w:r>
      <w:r w:rsidR="00D04DE2">
        <w:rPr>
          <w:sz w:val="18"/>
          <w:szCs w:val="18"/>
        </w:rPr>
        <w:t xml:space="preserve">investment grade and high-yield grade bonds. Superscripts </w:t>
      </w:r>
      <w:r>
        <w:rPr>
          <w:sz w:val="18"/>
          <w:szCs w:val="18"/>
        </w:rPr>
        <w:t>a, b, and c denote the significance level of 1%, 5%, and 10%</w:t>
      </w:r>
      <w:r w:rsidR="00D04DE2">
        <w:rPr>
          <w:sz w:val="18"/>
          <w:szCs w:val="18"/>
        </w:rPr>
        <w:t>, respectively</w:t>
      </w:r>
      <w:r>
        <w:rPr>
          <w:sz w:val="18"/>
          <w:szCs w:val="18"/>
        </w:rPr>
        <w:t>.</w:t>
      </w:r>
    </w:p>
    <w:p w:rsidR="00D331EB" w:rsidRDefault="00B005FD" w:rsidP="00CF0506">
      <w:pPr>
        <w:jc w:val="center"/>
        <w:rPr>
          <w:sz w:val="18"/>
          <w:szCs w:val="18"/>
        </w:rPr>
      </w:pPr>
      <w:r w:rsidRPr="00CF0506">
        <w:rPr>
          <w:noProof/>
          <w:szCs w:val="18"/>
        </w:rPr>
        <w:drawing>
          <wp:inline distT="0" distB="0" distL="0" distR="0" wp14:anchorId="17820584" wp14:editId="721A4FDF">
            <wp:extent cx="5943600" cy="532819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5943600" cy="5328195"/>
                    </a:xfrm>
                    <a:prstGeom prst="rect">
                      <a:avLst/>
                    </a:prstGeom>
                    <a:noFill/>
                    <a:ln w="9525">
                      <a:noFill/>
                      <a:miter lim="800000"/>
                      <a:headEnd/>
                      <a:tailEnd/>
                    </a:ln>
                  </pic:spPr>
                </pic:pic>
              </a:graphicData>
            </a:graphic>
          </wp:inline>
        </w:drawing>
      </w:r>
    </w:p>
    <w:p w:rsidR="007E4510" w:rsidRDefault="007E4510" w:rsidP="007E4510">
      <w:pPr>
        <w:rPr>
          <w:sz w:val="18"/>
          <w:szCs w:val="18"/>
        </w:rPr>
      </w:pPr>
    </w:p>
    <w:p w:rsidR="007E4510" w:rsidRDefault="007E4510" w:rsidP="007E4510"/>
    <w:p w:rsidR="007E4510" w:rsidRDefault="007E4510" w:rsidP="007E4510"/>
    <w:p w:rsidR="00554DE7" w:rsidRDefault="00554DE7" w:rsidP="007E4510">
      <w:pPr>
        <w:jc w:val="center"/>
      </w:pPr>
    </w:p>
    <w:sectPr w:rsidR="00554DE7" w:rsidSect="007E4510">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8A" w:rsidRDefault="0099458A">
      <w:r>
        <w:separator/>
      </w:r>
    </w:p>
  </w:endnote>
  <w:endnote w:type="continuationSeparator" w:id="0">
    <w:p w:rsidR="0099458A" w:rsidRDefault="0099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EPND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3C" w:rsidRDefault="00957B06">
    <w:pPr>
      <w:pStyle w:val="Footer"/>
      <w:jc w:val="center"/>
    </w:pPr>
    <w:r>
      <w:fldChar w:fldCharType="begin"/>
    </w:r>
    <w:r>
      <w:instrText xml:space="preserve"> PAGE   \* MERGEFORMAT </w:instrText>
    </w:r>
    <w:r>
      <w:fldChar w:fldCharType="separate"/>
    </w:r>
    <w:r w:rsidR="00BC75F4">
      <w:rPr>
        <w:noProof/>
      </w:rPr>
      <w:t>1</w:t>
    </w:r>
    <w:r>
      <w:rPr>
        <w:noProof/>
      </w:rPr>
      <w:fldChar w:fldCharType="end"/>
    </w:r>
  </w:p>
  <w:p w:rsidR="0018713C" w:rsidRDefault="001871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3C" w:rsidRDefault="00957B06">
    <w:pPr>
      <w:pStyle w:val="Footer"/>
      <w:jc w:val="center"/>
    </w:pPr>
    <w:r>
      <w:fldChar w:fldCharType="begin"/>
    </w:r>
    <w:r>
      <w:instrText xml:space="preserve"> PAGE   \* MERGEFORMAT </w:instrText>
    </w:r>
    <w:r>
      <w:fldChar w:fldCharType="separate"/>
    </w:r>
    <w:r w:rsidR="00BC75F4">
      <w:rPr>
        <w:noProof/>
      </w:rPr>
      <w:t>28</w:t>
    </w:r>
    <w:r>
      <w:rPr>
        <w:noProof/>
      </w:rPr>
      <w:fldChar w:fldCharType="end"/>
    </w:r>
  </w:p>
  <w:p w:rsidR="0018713C" w:rsidRDefault="00187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8A" w:rsidRDefault="0099458A">
      <w:r>
        <w:separator/>
      </w:r>
    </w:p>
  </w:footnote>
  <w:footnote w:type="continuationSeparator" w:id="0">
    <w:p w:rsidR="0099458A" w:rsidRDefault="0099458A">
      <w:r>
        <w:continuationSeparator/>
      </w:r>
    </w:p>
  </w:footnote>
  <w:footnote w:id="1">
    <w:p w:rsidR="0018713C" w:rsidRDefault="0018713C" w:rsidP="003D1BA0">
      <w:pPr>
        <w:pStyle w:val="FootnoteText"/>
        <w:jc w:val="both"/>
      </w:pPr>
      <w:r>
        <w:rPr>
          <w:rStyle w:val="FootnoteReference"/>
        </w:rPr>
        <w:footnoteRef/>
      </w:r>
      <w:r>
        <w:t xml:space="preserve"> Oliver Chang, Simi Kedia and Xing Zhou are at Rutgers Business School, Rutgers University. Jason Wei is at </w:t>
      </w:r>
      <w:r w:rsidRPr="003D1BA0">
        <w:t>Rotman School of Management, University of Toronto</w:t>
      </w:r>
      <w:r>
        <w:t>. We gratefully acknowledge the financial support from the Whitcomb Center and the Social Sciences and Humanities Research Council of Canada.</w:t>
      </w:r>
    </w:p>
  </w:footnote>
  <w:footnote w:id="2">
    <w:p w:rsidR="0018713C" w:rsidRDefault="0018713C" w:rsidP="003D1BA0">
      <w:pPr>
        <w:pStyle w:val="FootnoteText"/>
        <w:jc w:val="both"/>
      </w:pPr>
      <w:r>
        <w:rPr>
          <w:rStyle w:val="FootnoteReference"/>
        </w:rPr>
        <w:footnoteRef/>
      </w:r>
      <w:r>
        <w:t xml:space="preserve">  See “Transparency a Risk for Corp Bond Liquidity – Survey</w:t>
      </w:r>
      <w:r>
        <w:rPr>
          <w:lang w:val="en-CA"/>
        </w:rPr>
        <w:t>,</w:t>
      </w:r>
      <w:r>
        <w:t>” Rueters News, 7 June, 2010. Arthur Levitt</w:t>
      </w:r>
      <w:r>
        <w:rPr>
          <w:lang w:val="en-CA"/>
        </w:rPr>
        <w:t>’s</w:t>
      </w:r>
      <w:r>
        <w:t xml:space="preserve"> </w:t>
      </w:r>
      <w:r>
        <w:rPr>
          <w:lang w:val="en-CA"/>
        </w:rPr>
        <w:t>s</w:t>
      </w:r>
      <w:r>
        <w:t xml:space="preserve">peech titled “The Importance of Transparency in America’s Debt Market,” delivered on September </w:t>
      </w:r>
      <w:r w:rsidRPr="0006045E">
        <w:t>9</w:t>
      </w:r>
      <w:r>
        <w:rPr>
          <w:lang w:val="en-CA"/>
        </w:rPr>
        <w:t xml:space="preserve">, </w:t>
      </w:r>
      <w:r w:rsidRPr="0006045E">
        <w:t>1998</w:t>
      </w:r>
      <w:r>
        <w:rPr>
          <w:lang w:val="en-CA"/>
        </w:rPr>
        <w:t>,</w:t>
      </w:r>
      <w:r>
        <w:t xml:space="preserve"> can be found at </w:t>
      </w:r>
      <w:hyperlink r:id="rId1" w:history="1">
        <w:r w:rsidRPr="00A72C81">
          <w:rPr>
            <w:rStyle w:val="Hyperlink"/>
          </w:rPr>
          <w:t>http://www.sec.gov/news/speech/speecharchive/1998/spch218.htm</w:t>
        </w:r>
      </w:hyperlink>
      <w:r>
        <w:t xml:space="preserve">. </w:t>
      </w:r>
    </w:p>
  </w:footnote>
  <w:footnote w:id="3">
    <w:p w:rsidR="0018713C" w:rsidRDefault="0018713C" w:rsidP="003D1BA0">
      <w:pPr>
        <w:pStyle w:val="FootnoteText"/>
        <w:jc w:val="both"/>
      </w:pPr>
      <w:r>
        <w:rPr>
          <w:rStyle w:val="FootnoteReference"/>
        </w:rPr>
        <w:footnoteRef/>
      </w:r>
      <w:r>
        <w:t xml:space="preserve"> Th</w:t>
      </w:r>
      <w:r>
        <w:rPr>
          <w:lang w:val="en-CA"/>
        </w:rPr>
        <w:t>e</w:t>
      </w:r>
      <w:r>
        <w:t xml:space="preserve"> breadth of institutional </w:t>
      </w:r>
      <w:r>
        <w:rPr>
          <w:lang w:val="en-CA"/>
        </w:rPr>
        <w:t>ownership</w:t>
      </w:r>
      <w:r>
        <w:t xml:space="preserve"> has been used in </w:t>
      </w:r>
      <w:r>
        <w:rPr>
          <w:lang w:val="en-CA"/>
        </w:rPr>
        <w:t xml:space="preserve">the </w:t>
      </w:r>
      <w:r>
        <w:t>prior literature to capture investor recognition and visibility in the equity markets.  See</w:t>
      </w:r>
      <w:r>
        <w:rPr>
          <w:lang w:val="en-CA"/>
        </w:rPr>
        <w:t>,</w:t>
      </w:r>
      <w:r>
        <w:t xml:space="preserve"> e.g., Kadlec and McConnell (1994), Grullon, Kanatas and Weston (2004), Lehavy and Sloan (2008)</w:t>
      </w:r>
      <w:r>
        <w:rPr>
          <w:lang w:val="en-CA"/>
        </w:rPr>
        <w:t>,</w:t>
      </w:r>
      <w:r>
        <w:t xml:space="preserve"> and Bodnaruk and Ostberg (2009)</w:t>
      </w:r>
      <w:r>
        <w:rPr>
          <w:lang w:val="en-CA"/>
        </w:rPr>
        <w:t>.</w:t>
      </w:r>
      <w:r>
        <w:t xml:space="preserve">  </w:t>
      </w:r>
    </w:p>
  </w:footnote>
  <w:footnote w:id="4">
    <w:p w:rsidR="0018713C" w:rsidRDefault="0018713C" w:rsidP="003D1BA0">
      <w:pPr>
        <w:pStyle w:val="FootnoteText"/>
        <w:jc w:val="both"/>
      </w:pPr>
      <w:r>
        <w:rPr>
          <w:rStyle w:val="FootnoteReference"/>
        </w:rPr>
        <w:footnoteRef/>
      </w:r>
      <w:r>
        <w:t xml:space="preserve"> The economic impact was the smallest when we use the number of analysts as the measure of visibility. </w:t>
      </w:r>
      <w:r>
        <w:rPr>
          <w:lang w:val="en-CA"/>
        </w:rPr>
        <w:t>But even there,</w:t>
      </w:r>
      <w:r>
        <w:t xml:space="preserve"> a move from the first to the third quartile is associated with a 6% increase in liquidity</w:t>
      </w:r>
      <w:r>
        <w:rPr>
          <w:lang w:val="en-CA"/>
        </w:rPr>
        <w:t xml:space="preserve"> measured as the percentage of zero returns</w:t>
      </w:r>
      <w:r>
        <w:t>.</w:t>
      </w:r>
    </w:p>
  </w:footnote>
  <w:footnote w:id="5">
    <w:p w:rsidR="0018713C" w:rsidRDefault="0018713C" w:rsidP="003D1BA0">
      <w:pPr>
        <w:pStyle w:val="FootnoteText"/>
        <w:jc w:val="both"/>
      </w:pPr>
      <w:r>
        <w:rPr>
          <w:rStyle w:val="FootnoteReference"/>
        </w:rPr>
        <w:footnoteRef/>
      </w:r>
      <w:r>
        <w:t xml:space="preserve"> Related to the effect of visibility on stock liquidity is the literature that examines the impact of visibility on stock returns. Merton (1987) models this </w:t>
      </w:r>
      <w:r>
        <w:rPr>
          <w:lang w:val="en-CA"/>
        </w:rPr>
        <w:t xml:space="preserve">link </w:t>
      </w:r>
      <w:r>
        <w:t>and shows that higher investor recognition leads to higher prices and lower equilibrium stock returns. Several studies, most recently Bodnaruk and Ostberg (2010)</w:t>
      </w:r>
      <w:r>
        <w:rPr>
          <w:lang w:val="en-CA"/>
        </w:rPr>
        <w:t>,</w:t>
      </w:r>
      <w:r>
        <w:t xml:space="preserve"> provide empirical support</w:t>
      </w:r>
      <w:r>
        <w:rPr>
          <w:lang w:val="en-CA"/>
        </w:rPr>
        <w:t xml:space="preserve"> for Merton's predictions</w:t>
      </w:r>
      <w:r>
        <w:t xml:space="preserve">. </w:t>
      </w:r>
    </w:p>
  </w:footnote>
  <w:footnote w:id="6">
    <w:p w:rsidR="0018713C" w:rsidRPr="006D0B36" w:rsidRDefault="0018713C" w:rsidP="003D1BA0">
      <w:pPr>
        <w:pStyle w:val="FootnoteText"/>
        <w:jc w:val="both"/>
        <w:rPr>
          <w:lang w:val="en-CA"/>
        </w:rPr>
      </w:pPr>
      <w:r>
        <w:rPr>
          <w:rStyle w:val="FootnoteReference"/>
        </w:rPr>
        <w:footnoteRef/>
      </w:r>
      <w:r>
        <w:t xml:space="preserve"> </w:t>
      </w:r>
      <w:r>
        <w:rPr>
          <w:lang w:val="en-CA"/>
        </w:rPr>
        <w:t xml:space="preserve">Following </w:t>
      </w:r>
      <w:r w:rsidRPr="00B15145">
        <w:t>Grullon, Kanatas and Weston (2004)</w:t>
      </w:r>
      <w:r>
        <w:rPr>
          <w:lang w:val="en-CA"/>
        </w:rPr>
        <w:t>,</w:t>
      </w:r>
      <w:r w:rsidRPr="00B15145">
        <w:t xml:space="preserve"> </w:t>
      </w:r>
      <w:r>
        <w:rPr>
          <w:lang w:val="en-CA"/>
        </w:rPr>
        <w:t xml:space="preserve">we use </w:t>
      </w:r>
      <w:r>
        <w:t>the total dollars spen</w:t>
      </w:r>
      <w:r>
        <w:rPr>
          <w:lang w:val="en-CA"/>
        </w:rPr>
        <w:t>t</w:t>
      </w:r>
      <w:r>
        <w:t xml:space="preserve"> on advertising </w:t>
      </w:r>
      <w:r>
        <w:rPr>
          <w:lang w:val="en-CA"/>
        </w:rPr>
        <w:t xml:space="preserve">instead of </w:t>
      </w:r>
      <w:r>
        <w:t xml:space="preserve">the ratio of advertising </w:t>
      </w:r>
      <w:r>
        <w:rPr>
          <w:lang w:val="en-CA"/>
        </w:rPr>
        <w:t xml:space="preserve">expenditure </w:t>
      </w:r>
      <w:r>
        <w:t xml:space="preserve">to assets </w:t>
      </w:r>
      <w:r>
        <w:rPr>
          <w:lang w:val="en-CA"/>
        </w:rPr>
        <w:t>or</w:t>
      </w:r>
      <w:r>
        <w:t xml:space="preserve"> sales. As argued by </w:t>
      </w:r>
      <w:r w:rsidRPr="00B15145">
        <w:t>Grullon, Kanatas and Weston (2004)</w:t>
      </w:r>
      <w:r>
        <w:rPr>
          <w:lang w:val="en-CA"/>
        </w:rPr>
        <w:t xml:space="preserve">, </w:t>
      </w:r>
      <w:r>
        <w:t>the purpose is to capture the exposure of the firm to a wide population of investors</w:t>
      </w:r>
      <w:r>
        <w:rPr>
          <w:lang w:val="en-CA"/>
        </w:rPr>
        <w:t>,</w:t>
      </w:r>
      <w:r>
        <w:t xml:space="preserve"> not the relative intensity of advertising to </w:t>
      </w:r>
      <w:r>
        <w:rPr>
          <w:lang w:val="en-CA"/>
        </w:rPr>
        <w:t xml:space="preserve">assets or </w:t>
      </w:r>
      <w:r>
        <w:t xml:space="preserve">sales. </w:t>
      </w:r>
    </w:p>
  </w:footnote>
  <w:footnote w:id="7">
    <w:p w:rsidR="0018713C" w:rsidRPr="00A82412" w:rsidRDefault="0018713C" w:rsidP="003D1BA0">
      <w:pPr>
        <w:pStyle w:val="FootnoteText"/>
        <w:jc w:val="both"/>
      </w:pPr>
      <w:r>
        <w:rPr>
          <w:rStyle w:val="FootnoteReference"/>
        </w:rPr>
        <w:footnoteRef/>
      </w:r>
      <w:r>
        <w:t xml:space="preserve"> For block trades, exact size information is not available in </w:t>
      </w:r>
      <w:r w:rsidRPr="007D460C">
        <w:t>TRACE</w:t>
      </w:r>
      <w:r>
        <w:t xml:space="preserve">. </w:t>
      </w:r>
      <w:r w:rsidRPr="007D460C">
        <w:t>For investment-grade/high-yield issues, trades greater than $5million/$1million are coded as ‘5MM+’/’1MM+’</w:t>
      </w:r>
      <w:r>
        <w:t xml:space="preserve">. When calculating the VOLUME measure, we </w:t>
      </w:r>
      <w:r w:rsidRPr="00233AA3">
        <w:t>treat</w:t>
      </w:r>
      <w:r>
        <w:t xml:space="preserve"> </w:t>
      </w:r>
      <w:r w:rsidRPr="00233AA3">
        <w:t xml:space="preserve">trades with </w:t>
      </w:r>
      <w:bookmarkStart w:id="1" w:name="OLE_LINK6"/>
      <w:bookmarkStart w:id="2" w:name="OLE_LINK7"/>
      <w:r w:rsidRPr="00233AA3">
        <w:t>“5MM+”</w:t>
      </w:r>
      <w:bookmarkEnd w:id="1"/>
      <w:bookmarkEnd w:id="2"/>
      <w:r w:rsidRPr="00233AA3">
        <w:t xml:space="preserve">/“1MM+” codes as if their trade sizes were $5,000,000/$1,000,000.  </w:t>
      </w:r>
    </w:p>
  </w:footnote>
  <w:footnote w:id="8">
    <w:p w:rsidR="0018713C" w:rsidRDefault="0018713C" w:rsidP="003D1BA0">
      <w:pPr>
        <w:pStyle w:val="FootnoteText"/>
        <w:jc w:val="both"/>
      </w:pPr>
      <w:r>
        <w:rPr>
          <w:rStyle w:val="FootnoteReference"/>
        </w:rPr>
        <w:footnoteRef/>
      </w:r>
      <w:r>
        <w:t xml:space="preserve"> See for example, Alexander, Edwards, and Ferri (2000),  Hong and Warga (2000), Schultz (2001), Chakravarty and Sarkar (2003), Edwards, Harris and Piwowar (2007), Hotchkiss and Jostova (2007), Mahanti, Nashikkar, Subrahmanyam, Chacko, and Mallik (2008), and Bao, Pan and Wang (2011).</w:t>
      </w:r>
    </w:p>
  </w:footnote>
  <w:footnote w:id="9">
    <w:p w:rsidR="0018713C" w:rsidRDefault="0018713C" w:rsidP="003D1BA0">
      <w:pPr>
        <w:pStyle w:val="FootnoteText"/>
        <w:jc w:val="both"/>
      </w:pPr>
      <w:r>
        <w:rPr>
          <w:rStyle w:val="FootnoteReference"/>
        </w:rPr>
        <w:footnoteRef/>
      </w:r>
      <w:r>
        <w:t xml:space="preserve"> This setup allows us to capture potential nonlinear effect of credit rating on liquidity. This is similar to Edwards, Harris and Piwowar (2007) who study the cross-sectional determinants of bond transaction costs. Nevertheless, we have also performed the analysis with a numerical rating variable with 1, 2, …, etc correspond</w:t>
      </w:r>
      <w:r w:rsidRPr="00F73956">
        <w:t xml:space="preserve">ing </w:t>
      </w:r>
      <w:r>
        <w:t xml:space="preserve">to </w:t>
      </w:r>
      <w:r w:rsidRPr="00F73956">
        <w:t>AAA,</w:t>
      </w:r>
      <w:r>
        <w:t xml:space="preserve"> AA, …, and so on. The results are qualitatively the same.</w:t>
      </w:r>
    </w:p>
  </w:footnote>
  <w:footnote w:id="10">
    <w:p w:rsidR="0018713C" w:rsidRDefault="0018713C" w:rsidP="003D1BA0">
      <w:pPr>
        <w:pStyle w:val="FootnoteText"/>
        <w:jc w:val="both"/>
      </w:pPr>
      <w:r>
        <w:rPr>
          <w:rStyle w:val="FootnoteReference"/>
        </w:rPr>
        <w:footnoteRef/>
      </w:r>
      <w:r>
        <w:t xml:space="preserve"> As these are Fama-Mcbeth results we estimate the average Q1 and Q3 for all the quarters. The mean value of ZEROPCT used for this calculation is 0.6722 and is the mean across all the quarters. </w:t>
      </w:r>
    </w:p>
  </w:footnote>
  <w:footnote w:id="11">
    <w:p w:rsidR="0018713C" w:rsidRDefault="0018713C" w:rsidP="003D1BA0">
      <w:pPr>
        <w:pStyle w:val="FootnoteText"/>
        <w:jc w:val="both"/>
      </w:pPr>
      <w:r>
        <w:rPr>
          <w:rStyle w:val="FootnoteReference"/>
        </w:rPr>
        <w:footnoteRef/>
      </w:r>
      <w:r>
        <w:t xml:space="preserve"> The sample size drops in Panels C and D of Table 5 due to the restrictions imposed in the estimation of GAMMA and AMIHUD measures.</w:t>
      </w:r>
    </w:p>
  </w:footnote>
  <w:footnote w:id="12">
    <w:p w:rsidR="0018713C" w:rsidRDefault="0018713C" w:rsidP="003D1BA0">
      <w:pPr>
        <w:pStyle w:val="FootnoteText"/>
        <w:jc w:val="both"/>
      </w:pPr>
      <w:r>
        <w:rPr>
          <w:rStyle w:val="FootnoteReference"/>
        </w:rPr>
        <w:footnoteRef/>
      </w:r>
      <w:r>
        <w:t xml:space="preserve"> For funds that are co-managed, the holdings of that fund appear multiple times in the Lipper database. We exclude the duplicates when calculating the aggregate holding. </w:t>
      </w:r>
    </w:p>
  </w:footnote>
  <w:footnote w:id="13">
    <w:p w:rsidR="0018713C" w:rsidRDefault="0018713C" w:rsidP="003D1BA0">
      <w:pPr>
        <w:pStyle w:val="FootnoteText"/>
        <w:jc w:val="both"/>
      </w:pPr>
      <w:r>
        <w:rPr>
          <w:rStyle w:val="FootnoteReference"/>
        </w:rPr>
        <w:footnoteRef/>
      </w:r>
      <w:r>
        <w:t xml:space="preserve"> The results in Table 8 are based on the liquidity measure ZEROPCT. We have estimated models with other liquidity measures and obtained qualitatively similar results, which are omitted for brevity.</w:t>
      </w:r>
    </w:p>
  </w:footnote>
  <w:footnote w:id="14">
    <w:p w:rsidR="0018713C" w:rsidRDefault="0018713C" w:rsidP="003D1BA0">
      <w:pPr>
        <w:pStyle w:val="FootnoteText"/>
        <w:jc w:val="both"/>
      </w:pPr>
      <w:r>
        <w:rPr>
          <w:rStyle w:val="FootnoteReference"/>
        </w:rPr>
        <w:footnoteRef/>
      </w:r>
      <w:r>
        <w:t xml:space="preserve"> We also conduct the tests with both bond and firm visibility measures on the investment-grade and high-yield subsamples separately. We continue to find significant impact of both visibility measures for the two groups of bonds.</w:t>
      </w:r>
    </w:p>
  </w:footnote>
  <w:footnote w:id="15">
    <w:p w:rsidR="0018713C" w:rsidRDefault="0018713C">
      <w:pPr>
        <w:pStyle w:val="FootnoteText"/>
      </w:pPr>
      <w:r>
        <w:rPr>
          <w:rStyle w:val="FootnoteReference"/>
        </w:rPr>
        <w:footnoteRef/>
      </w:r>
      <w:r>
        <w:t xml:space="preserve"> Certain bonds didn’t trade in the quarters around the announcement, causing difficulty in estimating/calculating the last two liquidity measures, GAMMA and AMIHUD. We therefore do not report results for these measures.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F1160"/>
    <w:multiLevelType w:val="hybridMultilevel"/>
    <w:tmpl w:val="76BA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D0"/>
    <w:rsid w:val="000024D4"/>
    <w:rsid w:val="000065C9"/>
    <w:rsid w:val="0001372E"/>
    <w:rsid w:val="00014D5D"/>
    <w:rsid w:val="00015D34"/>
    <w:rsid w:val="00016568"/>
    <w:rsid w:val="00030007"/>
    <w:rsid w:val="00030D0D"/>
    <w:rsid w:val="00033831"/>
    <w:rsid w:val="00034647"/>
    <w:rsid w:val="00043546"/>
    <w:rsid w:val="000440FA"/>
    <w:rsid w:val="0004733A"/>
    <w:rsid w:val="000475C1"/>
    <w:rsid w:val="00047FDA"/>
    <w:rsid w:val="00050F94"/>
    <w:rsid w:val="00051F46"/>
    <w:rsid w:val="00056E57"/>
    <w:rsid w:val="0006045E"/>
    <w:rsid w:val="00061149"/>
    <w:rsid w:val="00067256"/>
    <w:rsid w:val="000813B5"/>
    <w:rsid w:val="000858E6"/>
    <w:rsid w:val="000924A7"/>
    <w:rsid w:val="000951B9"/>
    <w:rsid w:val="00095DF9"/>
    <w:rsid w:val="00096E7B"/>
    <w:rsid w:val="000A019A"/>
    <w:rsid w:val="000A19A4"/>
    <w:rsid w:val="000A1AE7"/>
    <w:rsid w:val="000A29D9"/>
    <w:rsid w:val="000B1E59"/>
    <w:rsid w:val="000C0AB6"/>
    <w:rsid w:val="000C234B"/>
    <w:rsid w:val="000C774C"/>
    <w:rsid w:val="000D0FA3"/>
    <w:rsid w:val="000D4FA1"/>
    <w:rsid w:val="000D61F4"/>
    <w:rsid w:val="000F0FA0"/>
    <w:rsid w:val="000F5907"/>
    <w:rsid w:val="000F74D7"/>
    <w:rsid w:val="00110169"/>
    <w:rsid w:val="00110F40"/>
    <w:rsid w:val="00112D3C"/>
    <w:rsid w:val="00116AF8"/>
    <w:rsid w:val="001229D7"/>
    <w:rsid w:val="0013430C"/>
    <w:rsid w:val="001361DA"/>
    <w:rsid w:val="0014303D"/>
    <w:rsid w:val="00144CBD"/>
    <w:rsid w:val="0014556D"/>
    <w:rsid w:val="00145C4F"/>
    <w:rsid w:val="00147D3D"/>
    <w:rsid w:val="00160DD5"/>
    <w:rsid w:val="001629A9"/>
    <w:rsid w:val="00165993"/>
    <w:rsid w:val="0016752D"/>
    <w:rsid w:val="00175A73"/>
    <w:rsid w:val="00182850"/>
    <w:rsid w:val="0018713C"/>
    <w:rsid w:val="00191D78"/>
    <w:rsid w:val="00193535"/>
    <w:rsid w:val="00194B75"/>
    <w:rsid w:val="001A60BA"/>
    <w:rsid w:val="001A6AB1"/>
    <w:rsid w:val="001B25F2"/>
    <w:rsid w:val="001B4641"/>
    <w:rsid w:val="001B47E8"/>
    <w:rsid w:val="001C0294"/>
    <w:rsid w:val="001C7B81"/>
    <w:rsid w:val="001D43B0"/>
    <w:rsid w:val="001D45D1"/>
    <w:rsid w:val="001E26CC"/>
    <w:rsid w:val="001E4E4D"/>
    <w:rsid w:val="001E777C"/>
    <w:rsid w:val="001F0F54"/>
    <w:rsid w:val="001F44AE"/>
    <w:rsid w:val="001F6B25"/>
    <w:rsid w:val="00201651"/>
    <w:rsid w:val="00204B16"/>
    <w:rsid w:val="00206ACF"/>
    <w:rsid w:val="00213D3B"/>
    <w:rsid w:val="00217621"/>
    <w:rsid w:val="002222FB"/>
    <w:rsid w:val="0022640D"/>
    <w:rsid w:val="00226546"/>
    <w:rsid w:val="00227F8C"/>
    <w:rsid w:val="00236206"/>
    <w:rsid w:val="00237EA8"/>
    <w:rsid w:val="00242193"/>
    <w:rsid w:val="00256678"/>
    <w:rsid w:val="0025749D"/>
    <w:rsid w:val="00264502"/>
    <w:rsid w:val="0026785B"/>
    <w:rsid w:val="002740F4"/>
    <w:rsid w:val="002835D2"/>
    <w:rsid w:val="0028717F"/>
    <w:rsid w:val="00287A64"/>
    <w:rsid w:val="00292FC9"/>
    <w:rsid w:val="00294810"/>
    <w:rsid w:val="002963E2"/>
    <w:rsid w:val="00296695"/>
    <w:rsid w:val="002973D3"/>
    <w:rsid w:val="00297CAB"/>
    <w:rsid w:val="002A323E"/>
    <w:rsid w:val="002B662C"/>
    <w:rsid w:val="002B6E8B"/>
    <w:rsid w:val="002C76B0"/>
    <w:rsid w:val="002D4B69"/>
    <w:rsid w:val="002D5621"/>
    <w:rsid w:val="002E54A0"/>
    <w:rsid w:val="002E54B5"/>
    <w:rsid w:val="002E57F4"/>
    <w:rsid w:val="002F0143"/>
    <w:rsid w:val="002F096D"/>
    <w:rsid w:val="002F2889"/>
    <w:rsid w:val="002F30A8"/>
    <w:rsid w:val="002F4DC8"/>
    <w:rsid w:val="002F551F"/>
    <w:rsid w:val="003032CA"/>
    <w:rsid w:val="003040D1"/>
    <w:rsid w:val="00307A04"/>
    <w:rsid w:val="00312A4A"/>
    <w:rsid w:val="003175E9"/>
    <w:rsid w:val="00324900"/>
    <w:rsid w:val="0032532F"/>
    <w:rsid w:val="00327383"/>
    <w:rsid w:val="00333EB6"/>
    <w:rsid w:val="0034085F"/>
    <w:rsid w:val="00340D9C"/>
    <w:rsid w:val="00342757"/>
    <w:rsid w:val="00347D60"/>
    <w:rsid w:val="00352639"/>
    <w:rsid w:val="00356518"/>
    <w:rsid w:val="00361FB9"/>
    <w:rsid w:val="0036230C"/>
    <w:rsid w:val="00363EF6"/>
    <w:rsid w:val="003644EE"/>
    <w:rsid w:val="00365A23"/>
    <w:rsid w:val="003701D8"/>
    <w:rsid w:val="0037417C"/>
    <w:rsid w:val="003744B0"/>
    <w:rsid w:val="003776BB"/>
    <w:rsid w:val="003800FF"/>
    <w:rsid w:val="0038143A"/>
    <w:rsid w:val="00381689"/>
    <w:rsid w:val="00382335"/>
    <w:rsid w:val="00384281"/>
    <w:rsid w:val="0038498E"/>
    <w:rsid w:val="0039181B"/>
    <w:rsid w:val="0039217B"/>
    <w:rsid w:val="00397048"/>
    <w:rsid w:val="00397563"/>
    <w:rsid w:val="003A09C6"/>
    <w:rsid w:val="003B0564"/>
    <w:rsid w:val="003B2780"/>
    <w:rsid w:val="003B6E44"/>
    <w:rsid w:val="003B7921"/>
    <w:rsid w:val="003C19F0"/>
    <w:rsid w:val="003D14E8"/>
    <w:rsid w:val="003D1BA0"/>
    <w:rsid w:val="003D4DFC"/>
    <w:rsid w:val="003D5ED0"/>
    <w:rsid w:val="003F37F0"/>
    <w:rsid w:val="003F3FE1"/>
    <w:rsid w:val="00403436"/>
    <w:rsid w:val="00405ABE"/>
    <w:rsid w:val="00411017"/>
    <w:rsid w:val="00412161"/>
    <w:rsid w:val="00413AB5"/>
    <w:rsid w:val="0041517A"/>
    <w:rsid w:val="004167A2"/>
    <w:rsid w:val="00420F71"/>
    <w:rsid w:val="0042285D"/>
    <w:rsid w:val="0042315B"/>
    <w:rsid w:val="00425E58"/>
    <w:rsid w:val="00430618"/>
    <w:rsid w:val="0043677A"/>
    <w:rsid w:val="004413CE"/>
    <w:rsid w:val="004420E4"/>
    <w:rsid w:val="00443DE0"/>
    <w:rsid w:val="004457D9"/>
    <w:rsid w:val="0044613F"/>
    <w:rsid w:val="00450456"/>
    <w:rsid w:val="004529DE"/>
    <w:rsid w:val="004531FB"/>
    <w:rsid w:val="00455507"/>
    <w:rsid w:val="00457DE2"/>
    <w:rsid w:val="00463E9F"/>
    <w:rsid w:val="00463FD5"/>
    <w:rsid w:val="00465308"/>
    <w:rsid w:val="00470FC4"/>
    <w:rsid w:val="004814EF"/>
    <w:rsid w:val="00483126"/>
    <w:rsid w:val="00484879"/>
    <w:rsid w:val="00490F83"/>
    <w:rsid w:val="00493903"/>
    <w:rsid w:val="00493B0B"/>
    <w:rsid w:val="00494B9A"/>
    <w:rsid w:val="004A14A1"/>
    <w:rsid w:val="004A3B63"/>
    <w:rsid w:val="004A4E7C"/>
    <w:rsid w:val="004A63AD"/>
    <w:rsid w:val="004A6760"/>
    <w:rsid w:val="004B1EF0"/>
    <w:rsid w:val="004B20C0"/>
    <w:rsid w:val="004B23F1"/>
    <w:rsid w:val="004B2D72"/>
    <w:rsid w:val="004B44FC"/>
    <w:rsid w:val="004B7DB8"/>
    <w:rsid w:val="004C2D05"/>
    <w:rsid w:val="004D0432"/>
    <w:rsid w:val="004D2D24"/>
    <w:rsid w:val="004D64A6"/>
    <w:rsid w:val="004E0639"/>
    <w:rsid w:val="004E29B8"/>
    <w:rsid w:val="004E56B0"/>
    <w:rsid w:val="004F3553"/>
    <w:rsid w:val="004F51CF"/>
    <w:rsid w:val="00504E32"/>
    <w:rsid w:val="005074B9"/>
    <w:rsid w:val="00515418"/>
    <w:rsid w:val="00515AFA"/>
    <w:rsid w:val="00516A79"/>
    <w:rsid w:val="005171A3"/>
    <w:rsid w:val="00517E2C"/>
    <w:rsid w:val="00525242"/>
    <w:rsid w:val="005268A5"/>
    <w:rsid w:val="005302DC"/>
    <w:rsid w:val="005315DB"/>
    <w:rsid w:val="0053461B"/>
    <w:rsid w:val="00535CD7"/>
    <w:rsid w:val="00537810"/>
    <w:rsid w:val="00553E21"/>
    <w:rsid w:val="00554DE7"/>
    <w:rsid w:val="00571066"/>
    <w:rsid w:val="00571F71"/>
    <w:rsid w:val="0057307F"/>
    <w:rsid w:val="00575C91"/>
    <w:rsid w:val="005765A4"/>
    <w:rsid w:val="00576A50"/>
    <w:rsid w:val="0058210C"/>
    <w:rsid w:val="00592E7F"/>
    <w:rsid w:val="005955F8"/>
    <w:rsid w:val="00596405"/>
    <w:rsid w:val="00596FAE"/>
    <w:rsid w:val="005A1C26"/>
    <w:rsid w:val="005A3B67"/>
    <w:rsid w:val="005A3F60"/>
    <w:rsid w:val="005A4669"/>
    <w:rsid w:val="005A47CD"/>
    <w:rsid w:val="005B0D31"/>
    <w:rsid w:val="005B36CF"/>
    <w:rsid w:val="005B733C"/>
    <w:rsid w:val="005C3602"/>
    <w:rsid w:val="005C4FF3"/>
    <w:rsid w:val="005D6EA8"/>
    <w:rsid w:val="005D7D5C"/>
    <w:rsid w:val="005E055C"/>
    <w:rsid w:val="005E2636"/>
    <w:rsid w:val="005E4C39"/>
    <w:rsid w:val="005F0023"/>
    <w:rsid w:val="005F0554"/>
    <w:rsid w:val="005F5029"/>
    <w:rsid w:val="005F5B4A"/>
    <w:rsid w:val="00605F6A"/>
    <w:rsid w:val="0061123E"/>
    <w:rsid w:val="00612042"/>
    <w:rsid w:val="00612DB0"/>
    <w:rsid w:val="0061307A"/>
    <w:rsid w:val="0061492E"/>
    <w:rsid w:val="00616F91"/>
    <w:rsid w:val="00617355"/>
    <w:rsid w:val="00617F29"/>
    <w:rsid w:val="00623509"/>
    <w:rsid w:val="006243DA"/>
    <w:rsid w:val="00630909"/>
    <w:rsid w:val="006340DA"/>
    <w:rsid w:val="0063656C"/>
    <w:rsid w:val="00642462"/>
    <w:rsid w:val="00661D06"/>
    <w:rsid w:val="00663611"/>
    <w:rsid w:val="00663753"/>
    <w:rsid w:val="00664E66"/>
    <w:rsid w:val="00672263"/>
    <w:rsid w:val="00677826"/>
    <w:rsid w:val="00677EEC"/>
    <w:rsid w:val="00686DCF"/>
    <w:rsid w:val="00693991"/>
    <w:rsid w:val="00694788"/>
    <w:rsid w:val="0069585D"/>
    <w:rsid w:val="006A0B2A"/>
    <w:rsid w:val="006A0B2C"/>
    <w:rsid w:val="006A1D41"/>
    <w:rsid w:val="006A3D87"/>
    <w:rsid w:val="006A4EF3"/>
    <w:rsid w:val="006A76FC"/>
    <w:rsid w:val="006B1438"/>
    <w:rsid w:val="006B40B9"/>
    <w:rsid w:val="006B79D2"/>
    <w:rsid w:val="006C0145"/>
    <w:rsid w:val="006C5605"/>
    <w:rsid w:val="006D0B36"/>
    <w:rsid w:val="006D22F7"/>
    <w:rsid w:val="006D25F5"/>
    <w:rsid w:val="006E2D1C"/>
    <w:rsid w:val="006E32BB"/>
    <w:rsid w:val="006E335E"/>
    <w:rsid w:val="006E49E8"/>
    <w:rsid w:val="006F48AE"/>
    <w:rsid w:val="006F63DF"/>
    <w:rsid w:val="006F72EE"/>
    <w:rsid w:val="00700B47"/>
    <w:rsid w:val="00702577"/>
    <w:rsid w:val="00702EF1"/>
    <w:rsid w:val="007036F8"/>
    <w:rsid w:val="00704A30"/>
    <w:rsid w:val="0071004B"/>
    <w:rsid w:val="0071041D"/>
    <w:rsid w:val="00714F23"/>
    <w:rsid w:val="0071799B"/>
    <w:rsid w:val="00720AEB"/>
    <w:rsid w:val="0072190E"/>
    <w:rsid w:val="00730482"/>
    <w:rsid w:val="0073685D"/>
    <w:rsid w:val="00752990"/>
    <w:rsid w:val="007530D0"/>
    <w:rsid w:val="00770AAF"/>
    <w:rsid w:val="00773A07"/>
    <w:rsid w:val="00781540"/>
    <w:rsid w:val="00791DB2"/>
    <w:rsid w:val="0079305D"/>
    <w:rsid w:val="00795D12"/>
    <w:rsid w:val="00796166"/>
    <w:rsid w:val="00796E62"/>
    <w:rsid w:val="00797D4D"/>
    <w:rsid w:val="007A2DDB"/>
    <w:rsid w:val="007A5FBB"/>
    <w:rsid w:val="007B1320"/>
    <w:rsid w:val="007B2570"/>
    <w:rsid w:val="007B5820"/>
    <w:rsid w:val="007C032F"/>
    <w:rsid w:val="007C4D11"/>
    <w:rsid w:val="007C6E6B"/>
    <w:rsid w:val="007D135C"/>
    <w:rsid w:val="007D32A8"/>
    <w:rsid w:val="007D460C"/>
    <w:rsid w:val="007D52C8"/>
    <w:rsid w:val="007E01D6"/>
    <w:rsid w:val="007E2532"/>
    <w:rsid w:val="007E3CF3"/>
    <w:rsid w:val="007E4510"/>
    <w:rsid w:val="007F601A"/>
    <w:rsid w:val="007F61DB"/>
    <w:rsid w:val="007F7C79"/>
    <w:rsid w:val="00800266"/>
    <w:rsid w:val="00803AAF"/>
    <w:rsid w:val="00810C19"/>
    <w:rsid w:val="00811274"/>
    <w:rsid w:val="008128CE"/>
    <w:rsid w:val="008134EC"/>
    <w:rsid w:val="00813DFA"/>
    <w:rsid w:val="00814178"/>
    <w:rsid w:val="00816A48"/>
    <w:rsid w:val="008221FB"/>
    <w:rsid w:val="008228A9"/>
    <w:rsid w:val="00826185"/>
    <w:rsid w:val="00831BE8"/>
    <w:rsid w:val="00832A72"/>
    <w:rsid w:val="00832E04"/>
    <w:rsid w:val="00834B44"/>
    <w:rsid w:val="008405DA"/>
    <w:rsid w:val="00841E20"/>
    <w:rsid w:val="00842C1F"/>
    <w:rsid w:val="0084308B"/>
    <w:rsid w:val="0085485F"/>
    <w:rsid w:val="00863810"/>
    <w:rsid w:val="00863ED2"/>
    <w:rsid w:val="00867646"/>
    <w:rsid w:val="00873449"/>
    <w:rsid w:val="00873D0A"/>
    <w:rsid w:val="008809EC"/>
    <w:rsid w:val="008833A8"/>
    <w:rsid w:val="0088783D"/>
    <w:rsid w:val="0089426A"/>
    <w:rsid w:val="00896942"/>
    <w:rsid w:val="0089713A"/>
    <w:rsid w:val="008A53B8"/>
    <w:rsid w:val="008A6284"/>
    <w:rsid w:val="008A7E82"/>
    <w:rsid w:val="008C0D1F"/>
    <w:rsid w:val="008C2894"/>
    <w:rsid w:val="008C45A0"/>
    <w:rsid w:val="008C5FE5"/>
    <w:rsid w:val="008D535F"/>
    <w:rsid w:val="008D54DD"/>
    <w:rsid w:val="008D79C6"/>
    <w:rsid w:val="008E0199"/>
    <w:rsid w:val="008E055E"/>
    <w:rsid w:val="008E6013"/>
    <w:rsid w:val="008E667F"/>
    <w:rsid w:val="008E7007"/>
    <w:rsid w:val="008F7FC2"/>
    <w:rsid w:val="00905217"/>
    <w:rsid w:val="00905BF5"/>
    <w:rsid w:val="00911363"/>
    <w:rsid w:val="009217AE"/>
    <w:rsid w:val="009222AA"/>
    <w:rsid w:val="009228E7"/>
    <w:rsid w:val="009237EE"/>
    <w:rsid w:val="009263E2"/>
    <w:rsid w:val="00930E1C"/>
    <w:rsid w:val="00934A16"/>
    <w:rsid w:val="00943470"/>
    <w:rsid w:val="00944D14"/>
    <w:rsid w:val="009510D6"/>
    <w:rsid w:val="00954193"/>
    <w:rsid w:val="00957B06"/>
    <w:rsid w:val="00965DF2"/>
    <w:rsid w:val="00966A90"/>
    <w:rsid w:val="009727E2"/>
    <w:rsid w:val="00972B09"/>
    <w:rsid w:val="0098216D"/>
    <w:rsid w:val="009830C9"/>
    <w:rsid w:val="00984298"/>
    <w:rsid w:val="00986032"/>
    <w:rsid w:val="00987DE5"/>
    <w:rsid w:val="0099316E"/>
    <w:rsid w:val="0099458A"/>
    <w:rsid w:val="0099458B"/>
    <w:rsid w:val="00995881"/>
    <w:rsid w:val="009B4AFC"/>
    <w:rsid w:val="009C4A81"/>
    <w:rsid w:val="009D2B44"/>
    <w:rsid w:val="009D2C94"/>
    <w:rsid w:val="009D442E"/>
    <w:rsid w:val="009D4E7A"/>
    <w:rsid w:val="009E0826"/>
    <w:rsid w:val="009E73D5"/>
    <w:rsid w:val="009F3680"/>
    <w:rsid w:val="00A00E90"/>
    <w:rsid w:val="00A13006"/>
    <w:rsid w:val="00A16D9F"/>
    <w:rsid w:val="00A23D56"/>
    <w:rsid w:val="00A301EC"/>
    <w:rsid w:val="00A30AD1"/>
    <w:rsid w:val="00A33DD6"/>
    <w:rsid w:val="00A367BD"/>
    <w:rsid w:val="00A37E6F"/>
    <w:rsid w:val="00A418E2"/>
    <w:rsid w:val="00A47FFE"/>
    <w:rsid w:val="00A52520"/>
    <w:rsid w:val="00A5308F"/>
    <w:rsid w:val="00A53B4A"/>
    <w:rsid w:val="00A60098"/>
    <w:rsid w:val="00A60B8E"/>
    <w:rsid w:val="00A62B5E"/>
    <w:rsid w:val="00A67790"/>
    <w:rsid w:val="00A74A67"/>
    <w:rsid w:val="00A75313"/>
    <w:rsid w:val="00A82412"/>
    <w:rsid w:val="00A82DE0"/>
    <w:rsid w:val="00A856F9"/>
    <w:rsid w:val="00A86027"/>
    <w:rsid w:val="00A94F01"/>
    <w:rsid w:val="00A9535B"/>
    <w:rsid w:val="00A97C05"/>
    <w:rsid w:val="00AA0A5F"/>
    <w:rsid w:val="00AA2C1F"/>
    <w:rsid w:val="00AA48B5"/>
    <w:rsid w:val="00AA570E"/>
    <w:rsid w:val="00AB0210"/>
    <w:rsid w:val="00AB0733"/>
    <w:rsid w:val="00AB3F21"/>
    <w:rsid w:val="00AC06ED"/>
    <w:rsid w:val="00AC0B8C"/>
    <w:rsid w:val="00AC1A69"/>
    <w:rsid w:val="00AC214E"/>
    <w:rsid w:val="00AC6DFA"/>
    <w:rsid w:val="00AD5936"/>
    <w:rsid w:val="00AD6D0B"/>
    <w:rsid w:val="00AE1227"/>
    <w:rsid w:val="00AF298C"/>
    <w:rsid w:val="00AF37A5"/>
    <w:rsid w:val="00AF65A3"/>
    <w:rsid w:val="00AF73E8"/>
    <w:rsid w:val="00AF7DE4"/>
    <w:rsid w:val="00B005FD"/>
    <w:rsid w:val="00B039D3"/>
    <w:rsid w:val="00B05334"/>
    <w:rsid w:val="00B06C36"/>
    <w:rsid w:val="00B07A2E"/>
    <w:rsid w:val="00B07A68"/>
    <w:rsid w:val="00B119D1"/>
    <w:rsid w:val="00B13E55"/>
    <w:rsid w:val="00B15145"/>
    <w:rsid w:val="00B15D33"/>
    <w:rsid w:val="00B162FE"/>
    <w:rsid w:val="00B22C73"/>
    <w:rsid w:val="00B3507C"/>
    <w:rsid w:val="00B37CE9"/>
    <w:rsid w:val="00B415C5"/>
    <w:rsid w:val="00B417BC"/>
    <w:rsid w:val="00B44592"/>
    <w:rsid w:val="00B50802"/>
    <w:rsid w:val="00B603CB"/>
    <w:rsid w:val="00B62198"/>
    <w:rsid w:val="00B62B89"/>
    <w:rsid w:val="00B64B4C"/>
    <w:rsid w:val="00B67EA7"/>
    <w:rsid w:val="00B67F9A"/>
    <w:rsid w:val="00B72BC7"/>
    <w:rsid w:val="00B7423F"/>
    <w:rsid w:val="00B86223"/>
    <w:rsid w:val="00B91379"/>
    <w:rsid w:val="00B9300F"/>
    <w:rsid w:val="00B97575"/>
    <w:rsid w:val="00BA6A9D"/>
    <w:rsid w:val="00BC75F4"/>
    <w:rsid w:val="00BD0084"/>
    <w:rsid w:val="00BD0A54"/>
    <w:rsid w:val="00BD6CF4"/>
    <w:rsid w:val="00BD703F"/>
    <w:rsid w:val="00BE01B3"/>
    <w:rsid w:val="00BE0CDA"/>
    <w:rsid w:val="00BE275E"/>
    <w:rsid w:val="00BE47D8"/>
    <w:rsid w:val="00BE64BD"/>
    <w:rsid w:val="00BE6899"/>
    <w:rsid w:val="00BF1B91"/>
    <w:rsid w:val="00BF40C6"/>
    <w:rsid w:val="00BF4937"/>
    <w:rsid w:val="00BF6F2F"/>
    <w:rsid w:val="00C00B05"/>
    <w:rsid w:val="00C043B7"/>
    <w:rsid w:val="00C12B5E"/>
    <w:rsid w:val="00C21257"/>
    <w:rsid w:val="00C3188A"/>
    <w:rsid w:val="00C35D01"/>
    <w:rsid w:val="00C36D40"/>
    <w:rsid w:val="00C469F3"/>
    <w:rsid w:val="00C56378"/>
    <w:rsid w:val="00C60EF5"/>
    <w:rsid w:val="00C6351E"/>
    <w:rsid w:val="00C650FD"/>
    <w:rsid w:val="00C84199"/>
    <w:rsid w:val="00C84348"/>
    <w:rsid w:val="00C97AB4"/>
    <w:rsid w:val="00CA4CC5"/>
    <w:rsid w:val="00CA4D34"/>
    <w:rsid w:val="00CB0960"/>
    <w:rsid w:val="00CB4917"/>
    <w:rsid w:val="00CB5D8D"/>
    <w:rsid w:val="00CB6112"/>
    <w:rsid w:val="00CC0756"/>
    <w:rsid w:val="00CC19A2"/>
    <w:rsid w:val="00CC2C00"/>
    <w:rsid w:val="00CC33CD"/>
    <w:rsid w:val="00CC33D2"/>
    <w:rsid w:val="00CC5B62"/>
    <w:rsid w:val="00CC6A6C"/>
    <w:rsid w:val="00CC6E17"/>
    <w:rsid w:val="00CD792E"/>
    <w:rsid w:val="00CE40F8"/>
    <w:rsid w:val="00CF0506"/>
    <w:rsid w:val="00CF2136"/>
    <w:rsid w:val="00CF29DE"/>
    <w:rsid w:val="00CF5860"/>
    <w:rsid w:val="00CF5E1F"/>
    <w:rsid w:val="00D014D4"/>
    <w:rsid w:val="00D04DE2"/>
    <w:rsid w:val="00D07C6D"/>
    <w:rsid w:val="00D14A8C"/>
    <w:rsid w:val="00D15C03"/>
    <w:rsid w:val="00D17E71"/>
    <w:rsid w:val="00D30FCF"/>
    <w:rsid w:val="00D331EB"/>
    <w:rsid w:val="00D45FB3"/>
    <w:rsid w:val="00D475CC"/>
    <w:rsid w:val="00D4789D"/>
    <w:rsid w:val="00D532AF"/>
    <w:rsid w:val="00D53AC4"/>
    <w:rsid w:val="00D54A48"/>
    <w:rsid w:val="00D54DDA"/>
    <w:rsid w:val="00D64C96"/>
    <w:rsid w:val="00D64D5F"/>
    <w:rsid w:val="00D65145"/>
    <w:rsid w:val="00D70DB4"/>
    <w:rsid w:val="00D72004"/>
    <w:rsid w:val="00D7708F"/>
    <w:rsid w:val="00D847C9"/>
    <w:rsid w:val="00D84932"/>
    <w:rsid w:val="00D856A7"/>
    <w:rsid w:val="00D8585A"/>
    <w:rsid w:val="00D9041D"/>
    <w:rsid w:val="00D90554"/>
    <w:rsid w:val="00D90D95"/>
    <w:rsid w:val="00D92514"/>
    <w:rsid w:val="00D927EA"/>
    <w:rsid w:val="00D93235"/>
    <w:rsid w:val="00DA2C45"/>
    <w:rsid w:val="00DA30F8"/>
    <w:rsid w:val="00DA709D"/>
    <w:rsid w:val="00DB10CA"/>
    <w:rsid w:val="00DB1425"/>
    <w:rsid w:val="00DB1612"/>
    <w:rsid w:val="00DB21CF"/>
    <w:rsid w:val="00DB259D"/>
    <w:rsid w:val="00DB4F0F"/>
    <w:rsid w:val="00DC168B"/>
    <w:rsid w:val="00DD0391"/>
    <w:rsid w:val="00DD0CA8"/>
    <w:rsid w:val="00DD3934"/>
    <w:rsid w:val="00DE0FFD"/>
    <w:rsid w:val="00DE2D6A"/>
    <w:rsid w:val="00DF0E4F"/>
    <w:rsid w:val="00DF56A3"/>
    <w:rsid w:val="00E031C7"/>
    <w:rsid w:val="00E03D57"/>
    <w:rsid w:val="00E055A9"/>
    <w:rsid w:val="00E11B67"/>
    <w:rsid w:val="00E11DBD"/>
    <w:rsid w:val="00E12B5A"/>
    <w:rsid w:val="00E1673C"/>
    <w:rsid w:val="00E179A3"/>
    <w:rsid w:val="00E2016A"/>
    <w:rsid w:val="00E21C22"/>
    <w:rsid w:val="00E31A7A"/>
    <w:rsid w:val="00E364EB"/>
    <w:rsid w:val="00E37E0D"/>
    <w:rsid w:val="00E431EE"/>
    <w:rsid w:val="00E45992"/>
    <w:rsid w:val="00E52110"/>
    <w:rsid w:val="00E569B9"/>
    <w:rsid w:val="00E63C34"/>
    <w:rsid w:val="00E64273"/>
    <w:rsid w:val="00E65C58"/>
    <w:rsid w:val="00E66522"/>
    <w:rsid w:val="00E6688E"/>
    <w:rsid w:val="00E70A74"/>
    <w:rsid w:val="00E71449"/>
    <w:rsid w:val="00E74FBF"/>
    <w:rsid w:val="00E77B66"/>
    <w:rsid w:val="00E80642"/>
    <w:rsid w:val="00E84BF6"/>
    <w:rsid w:val="00E94449"/>
    <w:rsid w:val="00EA1176"/>
    <w:rsid w:val="00EA1466"/>
    <w:rsid w:val="00EA1A1D"/>
    <w:rsid w:val="00EB163C"/>
    <w:rsid w:val="00EB2B2A"/>
    <w:rsid w:val="00EB6A4D"/>
    <w:rsid w:val="00EC3B5D"/>
    <w:rsid w:val="00EC4C64"/>
    <w:rsid w:val="00ED4518"/>
    <w:rsid w:val="00ED5C86"/>
    <w:rsid w:val="00ED6025"/>
    <w:rsid w:val="00EE0ECC"/>
    <w:rsid w:val="00EE32EF"/>
    <w:rsid w:val="00EF63A6"/>
    <w:rsid w:val="00EF6AEB"/>
    <w:rsid w:val="00F01CDE"/>
    <w:rsid w:val="00F04438"/>
    <w:rsid w:val="00F054BC"/>
    <w:rsid w:val="00F05819"/>
    <w:rsid w:val="00F06213"/>
    <w:rsid w:val="00F1351D"/>
    <w:rsid w:val="00F16315"/>
    <w:rsid w:val="00F25979"/>
    <w:rsid w:val="00F275E1"/>
    <w:rsid w:val="00F3075A"/>
    <w:rsid w:val="00F34E7C"/>
    <w:rsid w:val="00F35182"/>
    <w:rsid w:val="00F372E4"/>
    <w:rsid w:val="00F437EC"/>
    <w:rsid w:val="00F55478"/>
    <w:rsid w:val="00F5796B"/>
    <w:rsid w:val="00F57E42"/>
    <w:rsid w:val="00F6603C"/>
    <w:rsid w:val="00F66C5E"/>
    <w:rsid w:val="00F66D28"/>
    <w:rsid w:val="00F72419"/>
    <w:rsid w:val="00F740A0"/>
    <w:rsid w:val="00F74411"/>
    <w:rsid w:val="00F75443"/>
    <w:rsid w:val="00F82A15"/>
    <w:rsid w:val="00F8656C"/>
    <w:rsid w:val="00F9043B"/>
    <w:rsid w:val="00F9545E"/>
    <w:rsid w:val="00F97642"/>
    <w:rsid w:val="00FA0A96"/>
    <w:rsid w:val="00FA292B"/>
    <w:rsid w:val="00FA3735"/>
    <w:rsid w:val="00FA51EA"/>
    <w:rsid w:val="00FA7531"/>
    <w:rsid w:val="00FB2765"/>
    <w:rsid w:val="00FB3E6F"/>
    <w:rsid w:val="00FB4E4F"/>
    <w:rsid w:val="00FC0B73"/>
    <w:rsid w:val="00FD28A9"/>
    <w:rsid w:val="00FD70FF"/>
    <w:rsid w:val="00FE0125"/>
    <w:rsid w:val="00FE214D"/>
    <w:rsid w:val="00FE5756"/>
    <w:rsid w:val="00FF29CB"/>
    <w:rsid w:val="00FF4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CC"/>
    <w:rPr>
      <w:sz w:val="24"/>
      <w:szCs w:val="24"/>
    </w:rPr>
  </w:style>
  <w:style w:type="paragraph" w:styleId="Heading1">
    <w:name w:val="heading 1"/>
    <w:basedOn w:val="Normal"/>
    <w:link w:val="Heading1Char"/>
    <w:uiPriority w:val="9"/>
    <w:qFormat/>
    <w:rsid w:val="0004733A"/>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4733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9713A"/>
    <w:rPr>
      <w:i/>
      <w:iCs/>
    </w:rPr>
  </w:style>
  <w:style w:type="paragraph" w:styleId="FootnoteText">
    <w:name w:val="footnote text"/>
    <w:basedOn w:val="Normal"/>
    <w:link w:val="FootnoteTextChar"/>
    <w:semiHidden/>
    <w:rsid w:val="00D07C6D"/>
    <w:rPr>
      <w:sz w:val="20"/>
      <w:szCs w:val="20"/>
    </w:rPr>
  </w:style>
  <w:style w:type="character" w:styleId="FootnoteReference">
    <w:name w:val="footnote reference"/>
    <w:semiHidden/>
    <w:rsid w:val="00D07C6D"/>
    <w:rPr>
      <w:vertAlign w:val="superscript"/>
    </w:rPr>
  </w:style>
  <w:style w:type="table" w:customStyle="1" w:styleId="MediumList21">
    <w:name w:val="Medium List 21"/>
    <w:basedOn w:val="TableNormal"/>
    <w:uiPriority w:val="66"/>
    <w:rsid w:val="00312A4A"/>
    <w:rPr>
      <w:rFonts w:ascii="Cambria" w:eastAsia="Times New Roman" w:hAnsi="Cambria"/>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Strong">
    <w:name w:val="Strong"/>
    <w:qFormat/>
    <w:rsid w:val="00490F83"/>
    <w:rPr>
      <w:b/>
      <w:bCs/>
    </w:rPr>
  </w:style>
  <w:style w:type="table" w:styleId="TableGrid">
    <w:name w:val="Table Grid"/>
    <w:basedOn w:val="TableNormal"/>
    <w:rsid w:val="00013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6">
    <w:name w:val="Table Grid 6"/>
    <w:basedOn w:val="TableNormal"/>
    <w:rsid w:val="000137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4246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
    <w:name w:val="Light List1"/>
    <w:basedOn w:val="TableNormal"/>
    <w:uiPriority w:val="61"/>
    <w:rsid w:val="009222AA"/>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rsid w:val="009F3680"/>
    <w:rPr>
      <w:rFonts w:ascii="Tahoma" w:hAnsi="Tahoma"/>
      <w:sz w:val="16"/>
      <w:szCs w:val="16"/>
    </w:rPr>
  </w:style>
  <w:style w:type="character" w:customStyle="1" w:styleId="BalloonTextChar">
    <w:name w:val="Balloon Text Char"/>
    <w:link w:val="BalloonText"/>
    <w:rsid w:val="009F3680"/>
    <w:rPr>
      <w:rFonts w:ascii="Tahoma" w:hAnsi="Tahoma" w:cs="Tahoma"/>
      <w:sz w:val="16"/>
      <w:szCs w:val="16"/>
      <w:lang w:eastAsia="zh-CN"/>
    </w:rPr>
  </w:style>
  <w:style w:type="table" w:styleId="TableClassic4">
    <w:name w:val="Table Classic 4"/>
    <w:basedOn w:val="TableNormal"/>
    <w:rsid w:val="004D043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4D043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PlainText">
    <w:name w:val="Plain Text"/>
    <w:basedOn w:val="Normal"/>
    <w:next w:val="Normal"/>
    <w:link w:val="PlainTextChar"/>
    <w:uiPriority w:val="99"/>
    <w:rsid w:val="007036F8"/>
    <w:pPr>
      <w:autoSpaceDE w:val="0"/>
      <w:autoSpaceDN w:val="0"/>
      <w:adjustRightInd w:val="0"/>
    </w:pPr>
    <w:rPr>
      <w:rFonts w:ascii="OEPNDJ+TimesNewRoman" w:hAnsi="OEPNDJ+TimesNewRoman"/>
    </w:rPr>
  </w:style>
  <w:style w:type="character" w:customStyle="1" w:styleId="PlainTextChar">
    <w:name w:val="Plain Text Char"/>
    <w:link w:val="PlainText"/>
    <w:uiPriority w:val="99"/>
    <w:rsid w:val="007036F8"/>
    <w:rPr>
      <w:rFonts w:ascii="OEPNDJ+TimesNewRoman" w:hAnsi="OEPNDJ+TimesNewRoman"/>
      <w:sz w:val="24"/>
      <w:szCs w:val="24"/>
    </w:rPr>
  </w:style>
  <w:style w:type="character" w:customStyle="1" w:styleId="Heading1Char">
    <w:name w:val="Heading 1 Char"/>
    <w:link w:val="Heading1"/>
    <w:uiPriority w:val="9"/>
    <w:rsid w:val="0004733A"/>
    <w:rPr>
      <w:rFonts w:eastAsia="Times New Roman"/>
      <w:b/>
      <w:bCs/>
      <w:kern w:val="36"/>
      <w:sz w:val="48"/>
      <w:szCs w:val="48"/>
    </w:rPr>
  </w:style>
  <w:style w:type="character" w:customStyle="1" w:styleId="Heading2Char">
    <w:name w:val="Heading 2 Char"/>
    <w:link w:val="Heading2"/>
    <w:uiPriority w:val="9"/>
    <w:rsid w:val="0004733A"/>
    <w:rPr>
      <w:rFonts w:eastAsia="Times New Roman"/>
      <w:b/>
      <w:bCs/>
      <w:sz w:val="36"/>
      <w:szCs w:val="36"/>
    </w:rPr>
  </w:style>
  <w:style w:type="character" w:styleId="Hyperlink">
    <w:name w:val="Hyperlink"/>
    <w:uiPriority w:val="99"/>
    <w:unhideWhenUsed/>
    <w:rsid w:val="0004733A"/>
    <w:rPr>
      <w:color w:val="0000FF"/>
      <w:u w:val="single"/>
    </w:rPr>
  </w:style>
  <w:style w:type="character" w:customStyle="1" w:styleId="searchtermshighlighted">
    <w:name w:val="searchtermshighlighted"/>
    <w:rsid w:val="0004733A"/>
  </w:style>
  <w:style w:type="character" w:customStyle="1" w:styleId="FootnoteTextChar">
    <w:name w:val="Footnote Text Char"/>
    <w:link w:val="FootnoteText"/>
    <w:semiHidden/>
    <w:rsid w:val="00455507"/>
    <w:rPr>
      <w:lang w:eastAsia="zh-CN"/>
    </w:rPr>
  </w:style>
  <w:style w:type="paragraph" w:styleId="Header">
    <w:name w:val="header"/>
    <w:basedOn w:val="Normal"/>
    <w:link w:val="HeaderChar"/>
    <w:rsid w:val="00B119D1"/>
    <w:pPr>
      <w:tabs>
        <w:tab w:val="center" w:pos="4680"/>
        <w:tab w:val="right" w:pos="9360"/>
      </w:tabs>
    </w:pPr>
  </w:style>
  <w:style w:type="character" w:customStyle="1" w:styleId="HeaderChar">
    <w:name w:val="Header Char"/>
    <w:link w:val="Header"/>
    <w:rsid w:val="00B119D1"/>
    <w:rPr>
      <w:sz w:val="24"/>
      <w:szCs w:val="24"/>
    </w:rPr>
  </w:style>
  <w:style w:type="paragraph" w:styleId="Footer">
    <w:name w:val="footer"/>
    <w:basedOn w:val="Normal"/>
    <w:link w:val="FooterChar"/>
    <w:uiPriority w:val="99"/>
    <w:rsid w:val="00B119D1"/>
    <w:pPr>
      <w:tabs>
        <w:tab w:val="center" w:pos="4680"/>
        <w:tab w:val="right" w:pos="9360"/>
      </w:tabs>
    </w:pPr>
  </w:style>
  <w:style w:type="character" w:customStyle="1" w:styleId="FooterChar">
    <w:name w:val="Footer Char"/>
    <w:link w:val="Footer"/>
    <w:uiPriority w:val="99"/>
    <w:rsid w:val="00B119D1"/>
    <w:rPr>
      <w:sz w:val="24"/>
      <w:szCs w:val="24"/>
    </w:rPr>
  </w:style>
  <w:style w:type="character" w:styleId="CommentReference">
    <w:name w:val="annotation reference"/>
    <w:rsid w:val="000924A7"/>
    <w:rPr>
      <w:sz w:val="16"/>
      <w:szCs w:val="16"/>
    </w:rPr>
  </w:style>
  <w:style w:type="paragraph" w:styleId="CommentText">
    <w:name w:val="annotation text"/>
    <w:basedOn w:val="Normal"/>
    <w:link w:val="CommentTextChar"/>
    <w:rsid w:val="000924A7"/>
    <w:rPr>
      <w:sz w:val="20"/>
      <w:szCs w:val="20"/>
    </w:rPr>
  </w:style>
  <w:style w:type="character" w:customStyle="1" w:styleId="CommentTextChar">
    <w:name w:val="Comment Text Char"/>
    <w:link w:val="CommentText"/>
    <w:rsid w:val="000924A7"/>
    <w:rPr>
      <w:lang w:val="en-US"/>
    </w:rPr>
  </w:style>
  <w:style w:type="paragraph" w:styleId="CommentSubject">
    <w:name w:val="annotation subject"/>
    <w:basedOn w:val="CommentText"/>
    <w:next w:val="CommentText"/>
    <w:link w:val="CommentSubjectChar"/>
    <w:rsid w:val="000924A7"/>
    <w:rPr>
      <w:b/>
      <w:bCs/>
    </w:rPr>
  </w:style>
  <w:style w:type="character" w:customStyle="1" w:styleId="CommentSubjectChar">
    <w:name w:val="Comment Subject Char"/>
    <w:link w:val="CommentSubject"/>
    <w:rsid w:val="000924A7"/>
    <w:rPr>
      <w:b/>
      <w:bCs/>
      <w:lang w:val="en-US"/>
    </w:rPr>
  </w:style>
  <w:style w:type="paragraph" w:styleId="Revision">
    <w:name w:val="Revision"/>
    <w:hidden/>
    <w:uiPriority w:val="99"/>
    <w:semiHidden/>
    <w:rsid w:val="00E642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CC"/>
    <w:rPr>
      <w:sz w:val="24"/>
      <w:szCs w:val="24"/>
    </w:rPr>
  </w:style>
  <w:style w:type="paragraph" w:styleId="Heading1">
    <w:name w:val="heading 1"/>
    <w:basedOn w:val="Normal"/>
    <w:link w:val="Heading1Char"/>
    <w:uiPriority w:val="9"/>
    <w:qFormat/>
    <w:rsid w:val="0004733A"/>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04733A"/>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9713A"/>
    <w:rPr>
      <w:i/>
      <w:iCs/>
    </w:rPr>
  </w:style>
  <w:style w:type="paragraph" w:styleId="FootnoteText">
    <w:name w:val="footnote text"/>
    <w:basedOn w:val="Normal"/>
    <w:link w:val="FootnoteTextChar"/>
    <w:semiHidden/>
    <w:rsid w:val="00D07C6D"/>
    <w:rPr>
      <w:sz w:val="20"/>
      <w:szCs w:val="20"/>
    </w:rPr>
  </w:style>
  <w:style w:type="character" w:styleId="FootnoteReference">
    <w:name w:val="footnote reference"/>
    <w:semiHidden/>
    <w:rsid w:val="00D07C6D"/>
    <w:rPr>
      <w:vertAlign w:val="superscript"/>
    </w:rPr>
  </w:style>
  <w:style w:type="table" w:customStyle="1" w:styleId="MediumList21">
    <w:name w:val="Medium List 21"/>
    <w:basedOn w:val="TableNormal"/>
    <w:uiPriority w:val="66"/>
    <w:rsid w:val="00312A4A"/>
    <w:rPr>
      <w:rFonts w:ascii="Cambria" w:eastAsia="Times New Roman" w:hAnsi="Cambria"/>
      <w:color w:val="000000"/>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Strong">
    <w:name w:val="Strong"/>
    <w:qFormat/>
    <w:rsid w:val="00490F83"/>
    <w:rPr>
      <w:b/>
      <w:bCs/>
    </w:rPr>
  </w:style>
  <w:style w:type="table" w:styleId="TableGrid">
    <w:name w:val="Table Grid"/>
    <w:basedOn w:val="TableNormal"/>
    <w:rsid w:val="00013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6">
    <w:name w:val="Table Grid 6"/>
    <w:basedOn w:val="TableNormal"/>
    <w:rsid w:val="0001372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4246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ightList1">
    <w:name w:val="Light List1"/>
    <w:basedOn w:val="TableNormal"/>
    <w:uiPriority w:val="61"/>
    <w:rsid w:val="009222AA"/>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rsid w:val="009F3680"/>
    <w:rPr>
      <w:rFonts w:ascii="Tahoma" w:hAnsi="Tahoma"/>
      <w:sz w:val="16"/>
      <w:szCs w:val="16"/>
    </w:rPr>
  </w:style>
  <w:style w:type="character" w:customStyle="1" w:styleId="BalloonTextChar">
    <w:name w:val="Balloon Text Char"/>
    <w:link w:val="BalloonText"/>
    <w:rsid w:val="009F3680"/>
    <w:rPr>
      <w:rFonts w:ascii="Tahoma" w:hAnsi="Tahoma" w:cs="Tahoma"/>
      <w:sz w:val="16"/>
      <w:szCs w:val="16"/>
      <w:lang w:eastAsia="zh-CN"/>
    </w:rPr>
  </w:style>
  <w:style w:type="table" w:styleId="TableClassic4">
    <w:name w:val="Table Classic 4"/>
    <w:basedOn w:val="TableNormal"/>
    <w:rsid w:val="004D043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4D043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PlainText">
    <w:name w:val="Plain Text"/>
    <w:basedOn w:val="Normal"/>
    <w:next w:val="Normal"/>
    <w:link w:val="PlainTextChar"/>
    <w:uiPriority w:val="99"/>
    <w:rsid w:val="007036F8"/>
    <w:pPr>
      <w:autoSpaceDE w:val="0"/>
      <w:autoSpaceDN w:val="0"/>
      <w:adjustRightInd w:val="0"/>
    </w:pPr>
    <w:rPr>
      <w:rFonts w:ascii="OEPNDJ+TimesNewRoman" w:hAnsi="OEPNDJ+TimesNewRoman"/>
    </w:rPr>
  </w:style>
  <w:style w:type="character" w:customStyle="1" w:styleId="PlainTextChar">
    <w:name w:val="Plain Text Char"/>
    <w:link w:val="PlainText"/>
    <w:uiPriority w:val="99"/>
    <w:rsid w:val="007036F8"/>
    <w:rPr>
      <w:rFonts w:ascii="OEPNDJ+TimesNewRoman" w:hAnsi="OEPNDJ+TimesNewRoman"/>
      <w:sz w:val="24"/>
      <w:szCs w:val="24"/>
    </w:rPr>
  </w:style>
  <w:style w:type="character" w:customStyle="1" w:styleId="Heading1Char">
    <w:name w:val="Heading 1 Char"/>
    <w:link w:val="Heading1"/>
    <w:uiPriority w:val="9"/>
    <w:rsid w:val="0004733A"/>
    <w:rPr>
      <w:rFonts w:eastAsia="Times New Roman"/>
      <w:b/>
      <w:bCs/>
      <w:kern w:val="36"/>
      <w:sz w:val="48"/>
      <w:szCs w:val="48"/>
    </w:rPr>
  </w:style>
  <w:style w:type="character" w:customStyle="1" w:styleId="Heading2Char">
    <w:name w:val="Heading 2 Char"/>
    <w:link w:val="Heading2"/>
    <w:uiPriority w:val="9"/>
    <w:rsid w:val="0004733A"/>
    <w:rPr>
      <w:rFonts w:eastAsia="Times New Roman"/>
      <w:b/>
      <w:bCs/>
      <w:sz w:val="36"/>
      <w:szCs w:val="36"/>
    </w:rPr>
  </w:style>
  <w:style w:type="character" w:styleId="Hyperlink">
    <w:name w:val="Hyperlink"/>
    <w:uiPriority w:val="99"/>
    <w:unhideWhenUsed/>
    <w:rsid w:val="0004733A"/>
    <w:rPr>
      <w:color w:val="0000FF"/>
      <w:u w:val="single"/>
    </w:rPr>
  </w:style>
  <w:style w:type="character" w:customStyle="1" w:styleId="searchtermshighlighted">
    <w:name w:val="searchtermshighlighted"/>
    <w:rsid w:val="0004733A"/>
  </w:style>
  <w:style w:type="character" w:customStyle="1" w:styleId="FootnoteTextChar">
    <w:name w:val="Footnote Text Char"/>
    <w:link w:val="FootnoteText"/>
    <w:semiHidden/>
    <w:rsid w:val="00455507"/>
    <w:rPr>
      <w:lang w:eastAsia="zh-CN"/>
    </w:rPr>
  </w:style>
  <w:style w:type="paragraph" w:styleId="Header">
    <w:name w:val="header"/>
    <w:basedOn w:val="Normal"/>
    <w:link w:val="HeaderChar"/>
    <w:rsid w:val="00B119D1"/>
    <w:pPr>
      <w:tabs>
        <w:tab w:val="center" w:pos="4680"/>
        <w:tab w:val="right" w:pos="9360"/>
      </w:tabs>
    </w:pPr>
  </w:style>
  <w:style w:type="character" w:customStyle="1" w:styleId="HeaderChar">
    <w:name w:val="Header Char"/>
    <w:link w:val="Header"/>
    <w:rsid w:val="00B119D1"/>
    <w:rPr>
      <w:sz w:val="24"/>
      <w:szCs w:val="24"/>
    </w:rPr>
  </w:style>
  <w:style w:type="paragraph" w:styleId="Footer">
    <w:name w:val="footer"/>
    <w:basedOn w:val="Normal"/>
    <w:link w:val="FooterChar"/>
    <w:uiPriority w:val="99"/>
    <w:rsid w:val="00B119D1"/>
    <w:pPr>
      <w:tabs>
        <w:tab w:val="center" w:pos="4680"/>
        <w:tab w:val="right" w:pos="9360"/>
      </w:tabs>
    </w:pPr>
  </w:style>
  <w:style w:type="character" w:customStyle="1" w:styleId="FooterChar">
    <w:name w:val="Footer Char"/>
    <w:link w:val="Footer"/>
    <w:uiPriority w:val="99"/>
    <w:rsid w:val="00B119D1"/>
    <w:rPr>
      <w:sz w:val="24"/>
      <w:szCs w:val="24"/>
    </w:rPr>
  </w:style>
  <w:style w:type="character" w:styleId="CommentReference">
    <w:name w:val="annotation reference"/>
    <w:rsid w:val="000924A7"/>
    <w:rPr>
      <w:sz w:val="16"/>
      <w:szCs w:val="16"/>
    </w:rPr>
  </w:style>
  <w:style w:type="paragraph" w:styleId="CommentText">
    <w:name w:val="annotation text"/>
    <w:basedOn w:val="Normal"/>
    <w:link w:val="CommentTextChar"/>
    <w:rsid w:val="000924A7"/>
    <w:rPr>
      <w:sz w:val="20"/>
      <w:szCs w:val="20"/>
    </w:rPr>
  </w:style>
  <w:style w:type="character" w:customStyle="1" w:styleId="CommentTextChar">
    <w:name w:val="Comment Text Char"/>
    <w:link w:val="CommentText"/>
    <w:rsid w:val="000924A7"/>
    <w:rPr>
      <w:lang w:val="en-US"/>
    </w:rPr>
  </w:style>
  <w:style w:type="paragraph" w:styleId="CommentSubject">
    <w:name w:val="annotation subject"/>
    <w:basedOn w:val="CommentText"/>
    <w:next w:val="CommentText"/>
    <w:link w:val="CommentSubjectChar"/>
    <w:rsid w:val="000924A7"/>
    <w:rPr>
      <w:b/>
      <w:bCs/>
    </w:rPr>
  </w:style>
  <w:style w:type="character" w:customStyle="1" w:styleId="CommentSubjectChar">
    <w:name w:val="Comment Subject Char"/>
    <w:link w:val="CommentSubject"/>
    <w:rsid w:val="000924A7"/>
    <w:rPr>
      <w:b/>
      <w:bCs/>
      <w:lang w:val="en-US"/>
    </w:rPr>
  </w:style>
  <w:style w:type="paragraph" w:styleId="Revision">
    <w:name w:val="Revision"/>
    <w:hidden/>
    <w:uiPriority w:val="99"/>
    <w:semiHidden/>
    <w:rsid w:val="00E642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6091">
      <w:bodyDiv w:val="1"/>
      <w:marLeft w:val="0"/>
      <w:marRight w:val="0"/>
      <w:marTop w:val="0"/>
      <w:marBottom w:val="0"/>
      <w:divBdr>
        <w:top w:val="none" w:sz="0" w:space="0" w:color="auto"/>
        <w:left w:val="none" w:sz="0" w:space="0" w:color="auto"/>
        <w:bottom w:val="none" w:sz="0" w:space="0" w:color="auto"/>
        <w:right w:val="none" w:sz="0" w:space="0" w:color="auto"/>
      </w:divBdr>
    </w:div>
    <w:div w:id="235357039">
      <w:bodyDiv w:val="1"/>
      <w:marLeft w:val="0"/>
      <w:marRight w:val="0"/>
      <w:marTop w:val="0"/>
      <w:marBottom w:val="0"/>
      <w:divBdr>
        <w:top w:val="none" w:sz="0" w:space="0" w:color="auto"/>
        <w:left w:val="none" w:sz="0" w:space="0" w:color="auto"/>
        <w:bottom w:val="none" w:sz="0" w:space="0" w:color="auto"/>
        <w:right w:val="none" w:sz="0" w:space="0" w:color="auto"/>
      </w:divBdr>
    </w:div>
    <w:div w:id="540676490">
      <w:bodyDiv w:val="1"/>
      <w:marLeft w:val="0"/>
      <w:marRight w:val="0"/>
      <w:marTop w:val="0"/>
      <w:marBottom w:val="0"/>
      <w:divBdr>
        <w:top w:val="none" w:sz="0" w:space="0" w:color="auto"/>
        <w:left w:val="none" w:sz="0" w:space="0" w:color="auto"/>
        <w:bottom w:val="none" w:sz="0" w:space="0" w:color="auto"/>
        <w:right w:val="none" w:sz="0" w:space="0" w:color="auto"/>
      </w:divBdr>
    </w:div>
    <w:div w:id="769203724">
      <w:bodyDiv w:val="1"/>
      <w:marLeft w:val="0"/>
      <w:marRight w:val="0"/>
      <w:marTop w:val="0"/>
      <w:marBottom w:val="0"/>
      <w:divBdr>
        <w:top w:val="none" w:sz="0" w:space="0" w:color="auto"/>
        <w:left w:val="none" w:sz="0" w:space="0" w:color="auto"/>
        <w:bottom w:val="none" w:sz="0" w:space="0" w:color="auto"/>
        <w:right w:val="none" w:sz="0" w:space="0" w:color="auto"/>
      </w:divBdr>
    </w:div>
    <w:div w:id="964773342">
      <w:bodyDiv w:val="1"/>
      <w:marLeft w:val="0"/>
      <w:marRight w:val="0"/>
      <w:marTop w:val="0"/>
      <w:marBottom w:val="0"/>
      <w:divBdr>
        <w:top w:val="none" w:sz="0" w:space="0" w:color="auto"/>
        <w:left w:val="none" w:sz="0" w:space="0" w:color="auto"/>
        <w:bottom w:val="none" w:sz="0" w:space="0" w:color="auto"/>
        <w:right w:val="none" w:sz="0" w:space="0" w:color="auto"/>
      </w:divBdr>
      <w:divsChild>
        <w:div w:id="281688818">
          <w:marLeft w:val="0"/>
          <w:marRight w:val="0"/>
          <w:marTop w:val="0"/>
          <w:marBottom w:val="0"/>
          <w:divBdr>
            <w:top w:val="none" w:sz="0" w:space="0" w:color="auto"/>
            <w:left w:val="none" w:sz="0" w:space="0" w:color="auto"/>
            <w:bottom w:val="none" w:sz="0" w:space="0" w:color="auto"/>
            <w:right w:val="none" w:sz="0" w:space="0" w:color="auto"/>
          </w:divBdr>
        </w:div>
      </w:divsChild>
    </w:div>
    <w:div w:id="1051925766">
      <w:bodyDiv w:val="1"/>
      <w:marLeft w:val="0"/>
      <w:marRight w:val="0"/>
      <w:marTop w:val="0"/>
      <w:marBottom w:val="0"/>
      <w:divBdr>
        <w:top w:val="none" w:sz="0" w:space="0" w:color="auto"/>
        <w:left w:val="none" w:sz="0" w:space="0" w:color="auto"/>
        <w:bottom w:val="none" w:sz="0" w:space="0" w:color="auto"/>
        <w:right w:val="none" w:sz="0" w:space="0" w:color="auto"/>
      </w:divBdr>
    </w:div>
    <w:div w:id="1071271252">
      <w:bodyDiv w:val="1"/>
      <w:marLeft w:val="0"/>
      <w:marRight w:val="0"/>
      <w:marTop w:val="0"/>
      <w:marBottom w:val="0"/>
      <w:divBdr>
        <w:top w:val="none" w:sz="0" w:space="0" w:color="auto"/>
        <w:left w:val="none" w:sz="0" w:space="0" w:color="auto"/>
        <w:bottom w:val="none" w:sz="0" w:space="0" w:color="auto"/>
        <w:right w:val="none" w:sz="0" w:space="0" w:color="auto"/>
      </w:divBdr>
    </w:div>
    <w:div w:id="1387412400">
      <w:bodyDiv w:val="1"/>
      <w:marLeft w:val="0"/>
      <w:marRight w:val="0"/>
      <w:marTop w:val="0"/>
      <w:marBottom w:val="0"/>
      <w:divBdr>
        <w:top w:val="none" w:sz="0" w:space="0" w:color="auto"/>
        <w:left w:val="none" w:sz="0" w:space="0" w:color="auto"/>
        <w:bottom w:val="none" w:sz="0" w:space="0" w:color="auto"/>
        <w:right w:val="none" w:sz="0" w:space="0" w:color="auto"/>
      </w:divBdr>
    </w:div>
    <w:div w:id="1416976025">
      <w:bodyDiv w:val="1"/>
      <w:marLeft w:val="0"/>
      <w:marRight w:val="0"/>
      <w:marTop w:val="0"/>
      <w:marBottom w:val="0"/>
      <w:divBdr>
        <w:top w:val="none" w:sz="0" w:space="0" w:color="auto"/>
        <w:left w:val="none" w:sz="0" w:space="0" w:color="auto"/>
        <w:bottom w:val="none" w:sz="0" w:space="0" w:color="auto"/>
        <w:right w:val="none" w:sz="0" w:space="0" w:color="auto"/>
      </w:divBdr>
    </w:div>
    <w:div w:id="1570379000">
      <w:bodyDiv w:val="1"/>
      <w:marLeft w:val="0"/>
      <w:marRight w:val="0"/>
      <w:marTop w:val="0"/>
      <w:marBottom w:val="0"/>
      <w:divBdr>
        <w:top w:val="none" w:sz="0" w:space="0" w:color="auto"/>
        <w:left w:val="none" w:sz="0" w:space="0" w:color="auto"/>
        <w:bottom w:val="none" w:sz="0" w:space="0" w:color="auto"/>
        <w:right w:val="none" w:sz="0" w:space="0" w:color="auto"/>
      </w:divBdr>
      <w:divsChild>
        <w:div w:id="1340884520">
          <w:marLeft w:val="0"/>
          <w:marRight w:val="0"/>
          <w:marTop w:val="0"/>
          <w:marBottom w:val="0"/>
          <w:divBdr>
            <w:top w:val="none" w:sz="0" w:space="0" w:color="auto"/>
            <w:left w:val="none" w:sz="0" w:space="0" w:color="auto"/>
            <w:bottom w:val="none" w:sz="0" w:space="0" w:color="auto"/>
            <w:right w:val="none" w:sz="0" w:space="0" w:color="auto"/>
          </w:divBdr>
        </w:div>
      </w:divsChild>
    </w:div>
    <w:div w:id="1672636708">
      <w:bodyDiv w:val="1"/>
      <w:marLeft w:val="0"/>
      <w:marRight w:val="0"/>
      <w:marTop w:val="0"/>
      <w:marBottom w:val="0"/>
      <w:divBdr>
        <w:top w:val="none" w:sz="0" w:space="0" w:color="auto"/>
        <w:left w:val="none" w:sz="0" w:space="0" w:color="auto"/>
        <w:bottom w:val="none" w:sz="0" w:space="0" w:color="auto"/>
        <w:right w:val="none" w:sz="0" w:space="0" w:color="auto"/>
      </w:divBdr>
    </w:div>
    <w:div w:id="1894341042">
      <w:bodyDiv w:val="1"/>
      <w:marLeft w:val="0"/>
      <w:marRight w:val="0"/>
      <w:marTop w:val="0"/>
      <w:marBottom w:val="0"/>
      <w:divBdr>
        <w:top w:val="none" w:sz="0" w:space="0" w:color="auto"/>
        <w:left w:val="none" w:sz="0" w:space="0" w:color="auto"/>
        <w:bottom w:val="none" w:sz="0" w:space="0" w:color="auto"/>
        <w:right w:val="none" w:sz="0" w:space="0" w:color="auto"/>
      </w:divBdr>
    </w:div>
    <w:div w:id="20194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w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3.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emf"/><Relationship Id="rId22" Type="http://schemas.openxmlformats.org/officeDocument/2006/relationships/image" Target="media/image12.emf"/><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sec.gov/news/speech/speecharchive/1998/spch2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E760-4B0D-427A-8A9F-01679880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Investor Recognition in Corporate Bonds</vt:lpstr>
    </vt:vector>
  </TitlesOfParts>
  <Company>Rutgers Business School</Company>
  <LinksUpToDate>false</LinksUpToDate>
  <CharactersWithSpaces>49947</CharactersWithSpaces>
  <SharedDoc>false</SharedDoc>
  <HLinks>
    <vt:vector size="12" baseType="variant">
      <vt:variant>
        <vt:i4>5111898</vt:i4>
      </vt:variant>
      <vt:variant>
        <vt:i4>3</vt:i4>
      </vt:variant>
      <vt:variant>
        <vt:i4>0</vt:i4>
      </vt:variant>
      <vt:variant>
        <vt:i4>5</vt:i4>
      </vt:variant>
      <vt:variant>
        <vt:lpwstr>http://www.sec.gov/news/speech/speecharchive/1998/spch218.htm</vt:lpwstr>
      </vt:variant>
      <vt:variant>
        <vt:lpwstr/>
      </vt:variant>
      <vt:variant>
        <vt:i4>4128861</vt:i4>
      </vt:variant>
      <vt:variant>
        <vt:i4>0</vt:i4>
      </vt:variant>
      <vt:variant>
        <vt:i4>0</vt:i4>
      </vt:variant>
      <vt:variant>
        <vt:i4>5</vt:i4>
      </vt:variant>
      <vt:variant>
        <vt:lpwstr>mailto:skedia@rbsmail.rutgers.edu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Investor Recognition in Corporate Bonds</dc:title>
  <dc:creator>Alex</dc:creator>
  <cp:lastModifiedBy>Alex</cp:lastModifiedBy>
  <cp:revision>2</cp:revision>
  <cp:lastPrinted>2012-03-05T18:16:00Z</cp:lastPrinted>
  <dcterms:created xsi:type="dcterms:W3CDTF">2012-03-26T20:57:00Z</dcterms:created>
  <dcterms:modified xsi:type="dcterms:W3CDTF">2012-03-26T20:57:00Z</dcterms:modified>
</cp:coreProperties>
</file>