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B7" w:rsidRPr="00E57086" w:rsidRDefault="00523FB7" w:rsidP="0043238F">
      <w:pPr>
        <w:spacing w:line="480" w:lineRule="auto"/>
        <w:jc w:val="center"/>
        <w:rPr>
          <w:rFonts w:ascii="Times New Roman" w:hAnsi="Times New Roman" w:cs="Times New Roman"/>
          <w:b/>
          <w:sz w:val="28"/>
          <w:szCs w:val="28"/>
        </w:rPr>
      </w:pPr>
      <w:r w:rsidRPr="00E57086">
        <w:rPr>
          <w:rFonts w:ascii="Times New Roman" w:hAnsi="Times New Roman" w:cs="Times New Roman"/>
          <w:b/>
          <w:sz w:val="28"/>
          <w:szCs w:val="28"/>
        </w:rPr>
        <w:t>The Impact of Institutional Trading and Individual Trading on Value and Size Premiums: Evidence from the Japan Stock Market</w:t>
      </w:r>
    </w:p>
    <w:p w:rsidR="00523FB7" w:rsidRPr="00E57086" w:rsidRDefault="00523FB7" w:rsidP="0043238F">
      <w:pPr>
        <w:snapToGrid w:val="0"/>
        <w:spacing w:line="480" w:lineRule="auto"/>
        <w:jc w:val="center"/>
        <w:rPr>
          <w:rFonts w:ascii="Times New Roman" w:hAnsi="Times New Roman" w:cs="Times New Roman"/>
          <w:b/>
          <w:bCs/>
          <w:sz w:val="28"/>
          <w:szCs w:val="28"/>
        </w:rPr>
      </w:pPr>
    </w:p>
    <w:p w:rsidR="00523FB7" w:rsidRPr="00E1392F" w:rsidRDefault="00523FB7" w:rsidP="0043238F">
      <w:pPr>
        <w:snapToGrid w:val="0"/>
        <w:spacing w:line="360" w:lineRule="auto"/>
        <w:jc w:val="center"/>
        <w:rPr>
          <w:rFonts w:ascii="Times New Roman" w:hAnsi="Times New Roman" w:cs="Times New Roman"/>
        </w:rPr>
      </w:pPr>
    </w:p>
    <w:p w:rsidR="00523FB7" w:rsidRPr="003410DE" w:rsidRDefault="00523FB7" w:rsidP="0043238F">
      <w:pPr>
        <w:snapToGrid w:val="0"/>
        <w:spacing w:line="360" w:lineRule="auto"/>
        <w:jc w:val="center"/>
        <w:rPr>
          <w:rFonts w:ascii="Times New Roman" w:hAnsi="Times New Roman" w:cs="Times New Roman"/>
          <w:lang w:val="de-DE"/>
        </w:rPr>
      </w:pPr>
    </w:p>
    <w:p w:rsidR="00523FB7" w:rsidRPr="00581ED0" w:rsidRDefault="00523FB7" w:rsidP="0043238F">
      <w:pPr>
        <w:pStyle w:val="Default"/>
        <w:rPr>
          <w:b/>
          <w:bCs/>
        </w:rPr>
      </w:pPr>
      <w:r w:rsidRPr="00581ED0">
        <w:rPr>
          <w:b/>
          <w:bCs/>
        </w:rPr>
        <w:t xml:space="preserve">Sheng-Tang Huang </w:t>
      </w:r>
    </w:p>
    <w:p w:rsidR="00523FB7" w:rsidRDefault="00523FB7" w:rsidP="0043238F">
      <w:pPr>
        <w:snapToGrid w:val="0"/>
        <w:rPr>
          <w:rFonts w:ascii="Times New Roman" w:hAnsi="Times New Roman" w:cs="Times New Roman"/>
          <w:sz w:val="20"/>
          <w:szCs w:val="20"/>
        </w:rPr>
      </w:pPr>
      <w:r w:rsidRPr="00581ED0">
        <w:rPr>
          <w:rFonts w:ascii="Times New Roman" w:hAnsi="Times New Roman" w:cs="Times New Roman"/>
          <w:sz w:val="20"/>
          <w:szCs w:val="20"/>
        </w:rPr>
        <w:t xml:space="preserve">Department of Finance, </w:t>
      </w:r>
      <w:r w:rsidRPr="009D04B5">
        <w:rPr>
          <w:rFonts w:ascii="Times New Roman" w:hAnsi="Times New Roman" w:cs="Times New Roman"/>
          <w:sz w:val="20"/>
          <w:szCs w:val="20"/>
        </w:rPr>
        <w:t>Taoyuan Innovation</w:t>
      </w:r>
      <w:r w:rsidRPr="00581ED0">
        <w:rPr>
          <w:rFonts w:ascii="Times New Roman" w:hAnsi="Times New Roman" w:cs="Times New Roman"/>
          <w:sz w:val="20"/>
          <w:szCs w:val="20"/>
        </w:rPr>
        <w:t>of Technology, Taiwan</w:t>
      </w:r>
    </w:p>
    <w:p w:rsidR="00523FB7" w:rsidRDefault="00523FB7" w:rsidP="0043238F">
      <w:pPr>
        <w:snapToGrid w:val="0"/>
        <w:rPr>
          <w:rFonts w:ascii="Times New Roman" w:hAnsi="Times New Roman" w:cs="Times New Roman"/>
          <w:sz w:val="20"/>
          <w:szCs w:val="20"/>
        </w:rPr>
      </w:pPr>
      <w:hyperlink r:id="rId7" w:history="1">
        <w:r w:rsidRPr="001F276E">
          <w:rPr>
            <w:rStyle w:val="Hyperlink"/>
            <w:rFonts w:ascii="Times New Roman" w:hAnsi="Times New Roman"/>
            <w:sz w:val="20"/>
            <w:szCs w:val="20"/>
          </w:rPr>
          <w:t>tom@tiit.edu.tw</w:t>
        </w:r>
      </w:hyperlink>
    </w:p>
    <w:p w:rsidR="00523FB7" w:rsidRDefault="00523FB7" w:rsidP="0043238F">
      <w:pPr>
        <w:snapToGrid w:val="0"/>
        <w:rPr>
          <w:rFonts w:ascii="Times New Roman" w:hAnsi="Times New Roman" w:cs="Times New Roman"/>
          <w:sz w:val="20"/>
          <w:szCs w:val="20"/>
        </w:rPr>
      </w:pPr>
      <w:r>
        <w:rPr>
          <w:rFonts w:ascii="Times New Roman" w:hAnsi="Times New Roman" w:cs="Times New Roman"/>
          <w:sz w:val="20"/>
          <w:szCs w:val="20"/>
        </w:rPr>
        <w:t>Fax: 886-3-4378240</w:t>
      </w:r>
    </w:p>
    <w:p w:rsidR="00523FB7" w:rsidRPr="00581ED0" w:rsidRDefault="00523FB7" w:rsidP="0043238F">
      <w:pPr>
        <w:snapToGrid w:val="0"/>
        <w:rPr>
          <w:rFonts w:ascii="Times New Roman" w:hAnsi="Times New Roman" w:cs="Times New Roman"/>
          <w:sz w:val="20"/>
          <w:szCs w:val="20"/>
        </w:rPr>
      </w:pPr>
      <w:r>
        <w:rPr>
          <w:rFonts w:ascii="Times New Roman" w:hAnsi="Times New Roman" w:cs="Times New Roman"/>
          <w:sz w:val="20"/>
          <w:szCs w:val="20"/>
        </w:rPr>
        <w:t xml:space="preserve">Phone: 886-982782889, </w:t>
      </w:r>
      <w:r>
        <w:rPr>
          <w:rStyle w:val="Strong"/>
          <w:rFonts w:ascii="Times New Roman" w:hAnsi="Times New Roman"/>
          <w:b w:val="0"/>
          <w:sz w:val="20"/>
          <w:szCs w:val="20"/>
        </w:rPr>
        <w:t>886-3-4361070, Ext. 5502</w:t>
      </w:r>
    </w:p>
    <w:p w:rsidR="00523FB7" w:rsidRPr="00581ED0" w:rsidRDefault="00523FB7" w:rsidP="0043238F">
      <w:pPr>
        <w:snapToGrid w:val="0"/>
        <w:rPr>
          <w:rFonts w:ascii="Times New Roman" w:hAnsi="Times New Roman" w:cs="Times New Roman"/>
          <w:b/>
          <w:bCs/>
        </w:rPr>
      </w:pPr>
      <w:r w:rsidRPr="00581ED0">
        <w:rPr>
          <w:rFonts w:ascii="Times New Roman" w:hAnsi="Times New Roman" w:cs="Times New Roman"/>
          <w:b/>
          <w:bCs/>
        </w:rPr>
        <w:t xml:space="preserve">Weifeng Hung </w:t>
      </w:r>
      <w:r w:rsidRPr="00581ED0">
        <w:rPr>
          <w:rStyle w:val="FootnoteReference"/>
          <w:rFonts w:ascii="Times New Roman" w:hAnsi="Times New Roman"/>
        </w:rPr>
        <w:footnoteReference w:customMarkFollows="1" w:id="1"/>
        <w:t>*</w:t>
      </w:r>
    </w:p>
    <w:p w:rsidR="00523FB7" w:rsidRDefault="00523FB7" w:rsidP="0043238F">
      <w:pPr>
        <w:snapToGrid w:val="0"/>
        <w:rPr>
          <w:rFonts w:ascii="Times New Roman" w:hAnsi="Times New Roman" w:cs="Times New Roman"/>
          <w:b/>
          <w:bCs/>
        </w:rPr>
      </w:pPr>
      <w:r w:rsidRPr="00581ED0">
        <w:rPr>
          <w:rFonts w:ascii="Times New Roman" w:hAnsi="Times New Roman" w:cs="Times New Roman"/>
          <w:sz w:val="20"/>
          <w:szCs w:val="20"/>
        </w:rPr>
        <w:t>Department of Finance, Feng Chia University, Taichung, Taiwan</w:t>
      </w:r>
    </w:p>
    <w:p w:rsidR="00523FB7" w:rsidRPr="00581ED0" w:rsidRDefault="00523FB7" w:rsidP="0043238F">
      <w:pPr>
        <w:snapToGrid w:val="0"/>
        <w:rPr>
          <w:rFonts w:ascii="Times New Roman" w:hAnsi="Times New Roman" w:cs="Times New Roman"/>
          <w:b/>
          <w:bCs/>
        </w:rPr>
      </w:pPr>
      <w:r w:rsidRPr="00581ED0">
        <w:rPr>
          <w:rFonts w:ascii="Times New Roman" w:hAnsi="Times New Roman" w:cs="Times New Roman"/>
          <w:b/>
          <w:bCs/>
        </w:rPr>
        <w:t xml:space="preserve">Chia-Chi Lu </w:t>
      </w:r>
    </w:p>
    <w:p w:rsidR="00523FB7" w:rsidRPr="003B32BB" w:rsidRDefault="00523FB7" w:rsidP="0043238F">
      <w:pPr>
        <w:snapToGrid w:val="0"/>
        <w:rPr>
          <w:rFonts w:ascii="Times New Roman" w:hAnsi="Times New Roman" w:cs="Times New Roman"/>
          <w:color w:val="000000"/>
          <w:sz w:val="20"/>
          <w:szCs w:val="20"/>
        </w:rPr>
      </w:pPr>
      <w:r w:rsidRPr="003B32BB">
        <w:rPr>
          <w:rFonts w:ascii="Times New Roman" w:hAnsi="Times New Roman" w:cs="Times New Roman"/>
          <w:sz w:val="20"/>
          <w:szCs w:val="20"/>
        </w:rPr>
        <w:t>Department of Finance, and Institute of Accounting, National Central University, Taiwan</w:t>
      </w:r>
    </w:p>
    <w:p w:rsidR="00523FB7" w:rsidRPr="00581ED0" w:rsidRDefault="00523FB7" w:rsidP="0043238F">
      <w:pPr>
        <w:snapToGrid w:val="0"/>
        <w:rPr>
          <w:rFonts w:ascii="Times New Roman" w:hAnsi="Times New Roman" w:cs="Times New Roman"/>
          <w:b/>
          <w:bCs/>
        </w:rPr>
      </w:pPr>
      <w:r w:rsidRPr="00581ED0">
        <w:rPr>
          <w:rFonts w:ascii="Times New Roman" w:hAnsi="Times New Roman" w:cs="Times New Roman"/>
          <w:b/>
          <w:bCs/>
        </w:rPr>
        <w:t xml:space="preserve">Cheng F. Lee </w:t>
      </w:r>
    </w:p>
    <w:p w:rsidR="00523FB7" w:rsidRDefault="00523FB7" w:rsidP="0043238F">
      <w:pPr>
        <w:snapToGrid w:val="0"/>
        <w:rPr>
          <w:rFonts w:ascii="Times New Roman" w:hAnsi="Times New Roman" w:cs="Times New Roman"/>
          <w:sz w:val="20"/>
          <w:szCs w:val="20"/>
        </w:rPr>
      </w:pPr>
      <w:r w:rsidRPr="00581ED0">
        <w:rPr>
          <w:rFonts w:ascii="Times New Roman" w:hAnsi="Times New Roman" w:cs="Times New Roman"/>
          <w:sz w:val="20"/>
          <w:szCs w:val="20"/>
        </w:rPr>
        <w:t>Department of Finance, Rutgers University, USA</w:t>
      </w:r>
    </w:p>
    <w:p w:rsidR="00523FB7" w:rsidRPr="0043238F" w:rsidRDefault="00523FB7" w:rsidP="00194558">
      <w:pPr>
        <w:snapToGrid w:val="0"/>
        <w:spacing w:line="480" w:lineRule="auto"/>
        <w:rPr>
          <w:rFonts w:ascii="Times New Roman" w:hAnsi="Times New Roman" w:cs="Times New Roman"/>
          <w:b/>
          <w:bCs/>
          <w:sz w:val="28"/>
          <w:szCs w:val="28"/>
        </w:rPr>
      </w:pPr>
    </w:p>
    <w:p w:rsidR="00523FB7" w:rsidRDefault="00523FB7">
      <w:pPr>
        <w:widowControl/>
        <w:rPr>
          <w:rFonts w:ascii="Times New Roman" w:hAnsi="Times New Roman" w:cs="Times New Roman"/>
          <w:b/>
          <w:bCs/>
          <w:sz w:val="28"/>
          <w:szCs w:val="28"/>
        </w:rPr>
      </w:pPr>
      <w:r>
        <w:rPr>
          <w:rFonts w:ascii="Times New Roman" w:hAnsi="Times New Roman" w:cs="Times New Roman"/>
          <w:b/>
          <w:bCs/>
          <w:sz w:val="28"/>
          <w:szCs w:val="28"/>
        </w:rPr>
        <w:br w:type="page"/>
      </w:r>
    </w:p>
    <w:p w:rsidR="00523FB7" w:rsidRPr="003410DE" w:rsidRDefault="00523FB7" w:rsidP="00B619F3">
      <w:pPr>
        <w:snapToGrid w:val="0"/>
        <w:spacing w:line="480" w:lineRule="auto"/>
        <w:jc w:val="center"/>
        <w:rPr>
          <w:rFonts w:ascii="Times New Roman" w:hAnsi="Times New Roman" w:cs="Times New Roman"/>
          <w:b/>
          <w:bCs/>
          <w:sz w:val="28"/>
          <w:szCs w:val="28"/>
        </w:rPr>
      </w:pPr>
      <w:r w:rsidRPr="00E57086">
        <w:rPr>
          <w:rFonts w:ascii="Times New Roman" w:hAnsi="Times New Roman" w:cs="Times New Roman"/>
          <w:b/>
          <w:sz w:val="28"/>
          <w:szCs w:val="28"/>
        </w:rPr>
        <w:t>The Impact of Institutional Trading and Individual Trading on Value and Size Premiums: Evidence from the Japan Stock Market</w:t>
      </w:r>
    </w:p>
    <w:p w:rsidR="00523FB7" w:rsidRPr="00B619F3" w:rsidRDefault="00523FB7" w:rsidP="00F86FF5">
      <w:pPr>
        <w:rPr>
          <w:rFonts w:ascii="Times New Roman" w:hAnsi="Times New Roman" w:cs="Times New Roman"/>
        </w:rPr>
      </w:pPr>
    </w:p>
    <w:p w:rsidR="00523FB7" w:rsidRPr="003410DE" w:rsidRDefault="00523FB7" w:rsidP="00D709C1">
      <w:pPr>
        <w:snapToGrid w:val="0"/>
        <w:spacing w:line="360" w:lineRule="auto"/>
        <w:jc w:val="center"/>
        <w:rPr>
          <w:rFonts w:ascii="Times New Roman" w:hAnsi="Times New Roman" w:cs="Times New Roman"/>
          <w:b/>
          <w:bCs/>
        </w:rPr>
      </w:pPr>
      <w:r w:rsidRPr="003410DE">
        <w:rPr>
          <w:rFonts w:ascii="Times New Roman" w:hAnsi="Times New Roman" w:cs="Times New Roman"/>
          <w:b/>
          <w:bCs/>
        </w:rPr>
        <w:t>Abstract</w:t>
      </w:r>
    </w:p>
    <w:p w:rsidR="00523FB7" w:rsidRPr="003410DE" w:rsidRDefault="00523FB7" w:rsidP="00E06796">
      <w:pPr>
        <w:snapToGrid w:val="0"/>
        <w:jc w:val="both"/>
        <w:rPr>
          <w:rFonts w:ascii="Times New Roman" w:hAnsi="Times New Roman" w:cs="Times New Roman"/>
        </w:rPr>
      </w:pPr>
      <w:r w:rsidRPr="00F77BDF">
        <w:rPr>
          <w:rFonts w:ascii="Times New Roman" w:hAnsi="Times New Roman" w:cs="Times New Roman"/>
        </w:rPr>
        <w:t xml:space="preserve">By using firm-level data of institutional and individual holdings, </w:t>
      </w:r>
      <w:r w:rsidRPr="00F77BDF">
        <w:rPr>
          <w:rFonts w:ascii="Times New Roman" w:hAnsi="Times New Roman" w:cs="Times New Roman"/>
          <w:kern w:val="0"/>
        </w:rPr>
        <w:t xml:space="preserve">we examine the </w:t>
      </w:r>
      <w:r>
        <w:rPr>
          <w:rFonts w:ascii="Times New Roman" w:hAnsi="Times New Roman" w:cs="Times New Roman"/>
          <w:kern w:val="0"/>
        </w:rPr>
        <w:t xml:space="preserve">trading </w:t>
      </w:r>
      <w:r w:rsidRPr="00F77BDF">
        <w:rPr>
          <w:rFonts w:ascii="Times New Roman" w:hAnsi="Times New Roman" w:cs="Times New Roman"/>
          <w:kern w:val="0"/>
        </w:rPr>
        <w:t xml:space="preserve">behavior of </w:t>
      </w:r>
      <w:r w:rsidRPr="00F77BDF">
        <w:rPr>
          <w:rFonts w:ascii="Times New Roman" w:hAnsi="Times New Roman" w:cs="Times New Roman"/>
        </w:rPr>
        <w:t>institutional</w:t>
      </w:r>
      <w:r w:rsidRPr="00F77BDF">
        <w:rPr>
          <w:rFonts w:ascii="Times New Roman" w:hAnsi="Times New Roman" w:cs="Times New Roman"/>
          <w:kern w:val="0"/>
        </w:rPr>
        <w:t xml:space="preserve"> </w:t>
      </w:r>
      <w:r>
        <w:rPr>
          <w:rFonts w:ascii="Times New Roman" w:hAnsi="Times New Roman" w:cs="Times New Roman"/>
          <w:kern w:val="0"/>
        </w:rPr>
        <w:t xml:space="preserve">and individual </w:t>
      </w:r>
      <w:r w:rsidRPr="00F77BDF">
        <w:rPr>
          <w:rFonts w:ascii="Times New Roman" w:hAnsi="Times New Roman" w:cs="Times New Roman"/>
          <w:kern w:val="0"/>
        </w:rPr>
        <w:t>investors in Japan.</w:t>
      </w:r>
      <w:r>
        <w:rPr>
          <w:rFonts w:ascii="Times New Roman" w:hAnsi="Times New Roman" w:cs="Times New Roman"/>
          <w:kern w:val="0"/>
        </w:rPr>
        <w:t xml:space="preserve"> </w:t>
      </w:r>
      <w:r>
        <w:rPr>
          <w:rFonts w:ascii="Times New Roman" w:hAnsi="Times New Roman" w:cs="Times New Roman"/>
        </w:rPr>
        <w:t>W</w:t>
      </w:r>
      <w:r w:rsidRPr="003410DE">
        <w:rPr>
          <w:rFonts w:ascii="Times New Roman" w:hAnsi="Times New Roman" w:cs="Times New Roman"/>
        </w:rPr>
        <w:t xml:space="preserve">e document a significantly and economically negative relation between </w:t>
      </w:r>
      <w:r>
        <w:rPr>
          <w:rFonts w:ascii="Times New Roman" w:hAnsi="Times New Roman" w:cs="Times New Roman"/>
        </w:rPr>
        <w:t xml:space="preserve">annual </w:t>
      </w:r>
      <w:r w:rsidRPr="003410DE">
        <w:rPr>
          <w:rFonts w:ascii="Times New Roman" w:hAnsi="Times New Roman" w:cs="Times New Roman"/>
        </w:rPr>
        <w:t xml:space="preserve">changes in institutional ownership and </w:t>
      </w:r>
      <w:r>
        <w:rPr>
          <w:rFonts w:ascii="Times New Roman" w:hAnsi="Times New Roman" w:cs="Times New Roman"/>
        </w:rPr>
        <w:t xml:space="preserve">future </w:t>
      </w:r>
      <w:r w:rsidRPr="003410DE">
        <w:rPr>
          <w:rFonts w:ascii="Times New Roman" w:hAnsi="Times New Roman" w:cs="Times New Roman"/>
        </w:rPr>
        <w:t xml:space="preserve">stocks returns. </w:t>
      </w:r>
      <w:r>
        <w:rPr>
          <w:rFonts w:ascii="Times New Roman" w:hAnsi="Times New Roman" w:cs="Times New Roman"/>
        </w:rPr>
        <w:t xml:space="preserve">However, the relation between annual </w:t>
      </w:r>
      <w:r w:rsidRPr="003410DE">
        <w:rPr>
          <w:rFonts w:ascii="Times New Roman" w:hAnsi="Times New Roman" w:cs="Times New Roman"/>
        </w:rPr>
        <w:t xml:space="preserve">changes in </w:t>
      </w:r>
      <w:r>
        <w:rPr>
          <w:rFonts w:ascii="Times New Roman" w:hAnsi="Times New Roman" w:cs="Times New Roman"/>
        </w:rPr>
        <w:t xml:space="preserve">individual </w:t>
      </w:r>
      <w:r w:rsidRPr="003410DE">
        <w:rPr>
          <w:rFonts w:ascii="Times New Roman" w:hAnsi="Times New Roman" w:cs="Times New Roman"/>
        </w:rPr>
        <w:t>ownership</w:t>
      </w:r>
      <w:r>
        <w:rPr>
          <w:rFonts w:ascii="Times New Roman" w:hAnsi="Times New Roman" w:cs="Times New Roman"/>
        </w:rPr>
        <w:t xml:space="preserve"> and future stock returns does not exist. We also find that institutional investors tend to net-buy growth stocks and net-sell value stocks</w:t>
      </w:r>
      <w:r w:rsidRPr="003410DE">
        <w:rPr>
          <w:rFonts w:ascii="Times New Roman" w:hAnsi="Times New Roman" w:cs="Times New Roman"/>
        </w:rPr>
        <w:t>.</w:t>
      </w:r>
      <w:r>
        <w:rPr>
          <w:rFonts w:ascii="Times New Roman" w:hAnsi="Times New Roman" w:cs="Times New Roman"/>
        </w:rPr>
        <w:t xml:space="preserve"> </w:t>
      </w:r>
      <w:r w:rsidRPr="003410DE">
        <w:rPr>
          <w:rFonts w:ascii="Times New Roman" w:hAnsi="Times New Roman" w:cs="Times New Roman"/>
        </w:rPr>
        <w:t xml:space="preserve">However, </w:t>
      </w:r>
      <w:r>
        <w:rPr>
          <w:rFonts w:ascii="Times New Roman" w:hAnsi="Times New Roman" w:cs="Times New Roman"/>
        </w:rPr>
        <w:t xml:space="preserve">there is no significant </w:t>
      </w:r>
      <w:r w:rsidRPr="003410DE">
        <w:rPr>
          <w:rFonts w:ascii="Times New Roman" w:hAnsi="Times New Roman" w:cs="Times New Roman"/>
        </w:rPr>
        <w:t>relationship between changes in institutional ownership and size</w:t>
      </w:r>
      <w:r>
        <w:rPr>
          <w:rFonts w:ascii="Times New Roman" w:hAnsi="Times New Roman" w:cs="Times New Roman"/>
        </w:rPr>
        <w:t>. Conversely, individual investors tend to net-buy small and value stocks, and net-sell large and growth stocks. Further, w</w:t>
      </w:r>
      <w:r w:rsidRPr="003410DE">
        <w:rPr>
          <w:rFonts w:ascii="Times New Roman" w:hAnsi="Times New Roman" w:cs="Times New Roman"/>
        </w:rPr>
        <w:t xml:space="preserve">e find that incorporating information about the institutional trading can </w:t>
      </w:r>
      <w:r>
        <w:rPr>
          <w:rFonts w:ascii="Times New Roman" w:hAnsi="Times New Roman" w:cs="Times New Roman"/>
        </w:rPr>
        <w:t xml:space="preserve">significantly </w:t>
      </w:r>
      <w:r w:rsidRPr="003410DE">
        <w:rPr>
          <w:rFonts w:ascii="Times New Roman" w:hAnsi="Times New Roman" w:cs="Times New Roman"/>
        </w:rPr>
        <w:t xml:space="preserve">improve the value strategy. </w:t>
      </w:r>
      <w:r>
        <w:rPr>
          <w:rFonts w:ascii="Times New Roman" w:hAnsi="Times New Roman" w:cs="Times New Roman"/>
        </w:rPr>
        <w:t xml:space="preserve"> Overall, we show that </w:t>
      </w:r>
      <w:r w:rsidRPr="003410DE">
        <w:rPr>
          <w:rFonts w:ascii="Times New Roman" w:hAnsi="Times New Roman" w:cs="Times New Roman"/>
        </w:rPr>
        <w:t>institutional</w:t>
      </w:r>
      <w:r>
        <w:rPr>
          <w:rFonts w:ascii="Times New Roman" w:hAnsi="Times New Roman" w:cs="Times New Roman"/>
        </w:rPr>
        <w:t xml:space="preserve"> trading</w:t>
      </w:r>
      <w:r w:rsidRPr="003410DE">
        <w:rPr>
          <w:rFonts w:ascii="Times New Roman" w:hAnsi="Times New Roman" w:cs="Times New Roman"/>
        </w:rPr>
        <w:t xml:space="preserve"> and individual trading </w:t>
      </w:r>
      <w:r>
        <w:rPr>
          <w:rFonts w:ascii="Times New Roman" w:hAnsi="Times New Roman" w:cs="Times New Roman"/>
        </w:rPr>
        <w:t>are</w:t>
      </w:r>
      <w:r w:rsidRPr="003410DE">
        <w:rPr>
          <w:rFonts w:ascii="Times New Roman" w:hAnsi="Times New Roman" w:cs="Times New Roman"/>
        </w:rPr>
        <w:t xml:space="preserve"> </w:t>
      </w:r>
      <w:r>
        <w:rPr>
          <w:rFonts w:ascii="Times New Roman" w:hAnsi="Times New Roman" w:cs="Times New Roman"/>
        </w:rPr>
        <w:t>weak</w:t>
      </w:r>
      <w:r w:rsidRPr="003410DE">
        <w:rPr>
          <w:rFonts w:ascii="Times New Roman" w:hAnsi="Times New Roman" w:cs="Times New Roman"/>
        </w:rPr>
        <w:t xml:space="preserve"> </w:t>
      </w:r>
      <w:r>
        <w:rPr>
          <w:rFonts w:ascii="Times New Roman" w:hAnsi="Times New Roman" w:cs="Times New Roman"/>
        </w:rPr>
        <w:t>in explaining</w:t>
      </w:r>
      <w:r w:rsidRPr="003410DE">
        <w:rPr>
          <w:rFonts w:ascii="Times New Roman" w:hAnsi="Times New Roman" w:cs="Times New Roman"/>
        </w:rPr>
        <w:t xml:space="preserve"> </w:t>
      </w:r>
      <w:r w:rsidRPr="0079666E">
        <w:rPr>
          <w:rFonts w:ascii="Times New Roman" w:hAnsi="Times New Roman" w:cs="Times New Roman"/>
          <w:iCs/>
        </w:rPr>
        <w:t>value</w:t>
      </w:r>
      <w:r w:rsidRPr="003410DE">
        <w:rPr>
          <w:rFonts w:ascii="Times New Roman" w:hAnsi="Times New Roman" w:cs="Times New Roman"/>
        </w:rPr>
        <w:t xml:space="preserve"> and size premiums</w:t>
      </w:r>
      <w:r>
        <w:rPr>
          <w:rFonts w:ascii="Times New Roman" w:hAnsi="Times New Roman" w:cs="Times New Roman"/>
        </w:rPr>
        <w:t xml:space="preserve">, inconsistent with the behavioral explanation. </w:t>
      </w:r>
    </w:p>
    <w:p w:rsidR="00523FB7" w:rsidRPr="00E015AD" w:rsidRDefault="00523FB7" w:rsidP="00F86FF5">
      <w:pPr>
        <w:rPr>
          <w:rFonts w:ascii="Times New Roman" w:hAnsi="Times New Roman" w:cs="Times New Roman"/>
        </w:rPr>
      </w:pPr>
    </w:p>
    <w:p w:rsidR="00523FB7" w:rsidRPr="003410DE" w:rsidRDefault="00523FB7" w:rsidP="00F86FF5">
      <w:pPr>
        <w:autoSpaceDE w:val="0"/>
        <w:autoSpaceDN w:val="0"/>
        <w:adjustRightInd w:val="0"/>
        <w:rPr>
          <w:rFonts w:ascii="Times New Roman" w:hAnsi="Times New Roman" w:cs="Times New Roman"/>
          <w:kern w:val="0"/>
        </w:rPr>
      </w:pPr>
      <w:r w:rsidRPr="003410DE">
        <w:rPr>
          <w:rFonts w:ascii="Times New Roman" w:hAnsi="Times New Roman" w:cs="Times New Roman"/>
          <w:i/>
          <w:iCs/>
          <w:kern w:val="0"/>
        </w:rPr>
        <w:t xml:space="preserve">JEL classification: </w:t>
      </w:r>
      <w:r w:rsidRPr="003410DE">
        <w:rPr>
          <w:rFonts w:ascii="Times New Roman" w:hAnsi="Times New Roman" w:cs="Times New Roman"/>
          <w:kern w:val="0"/>
        </w:rPr>
        <w:t>G12</w:t>
      </w:r>
    </w:p>
    <w:p w:rsidR="00523FB7" w:rsidRPr="003410DE" w:rsidRDefault="00523FB7" w:rsidP="00F86FF5">
      <w:pPr>
        <w:autoSpaceDE w:val="0"/>
        <w:autoSpaceDN w:val="0"/>
        <w:adjustRightInd w:val="0"/>
        <w:spacing w:line="2" w:lineRule="exact"/>
        <w:rPr>
          <w:rFonts w:ascii="Times New Roman" w:hAnsi="Times New Roman" w:cs="Times New Roman"/>
          <w:kern w:val="0"/>
        </w:rPr>
      </w:pPr>
    </w:p>
    <w:p w:rsidR="00523FB7" w:rsidRPr="003410DE" w:rsidRDefault="00523FB7" w:rsidP="00F86FF5">
      <w:pPr>
        <w:autoSpaceDE w:val="0"/>
        <w:autoSpaceDN w:val="0"/>
        <w:adjustRightInd w:val="0"/>
        <w:rPr>
          <w:rFonts w:ascii="Times New Roman" w:hAnsi="Times New Roman" w:cs="Times New Roman"/>
        </w:rPr>
      </w:pPr>
      <w:r w:rsidRPr="003410DE">
        <w:rPr>
          <w:rFonts w:ascii="Times New Roman" w:hAnsi="Times New Roman" w:cs="Times New Roman"/>
          <w:i/>
          <w:iCs/>
          <w:kern w:val="0"/>
        </w:rPr>
        <w:t xml:space="preserve">Keywords: </w:t>
      </w:r>
      <w:r w:rsidRPr="003410DE">
        <w:rPr>
          <w:rFonts w:ascii="Times New Roman" w:hAnsi="Times New Roman" w:cs="Times New Roman"/>
          <w:kern w:val="0"/>
        </w:rPr>
        <w:t xml:space="preserve">Institutional investors; Individual investors; Value </w:t>
      </w:r>
      <w:r>
        <w:rPr>
          <w:rFonts w:ascii="Times New Roman" w:hAnsi="Times New Roman" w:cs="Times New Roman"/>
          <w:kern w:val="0"/>
        </w:rPr>
        <w:t>effect</w:t>
      </w:r>
      <w:r w:rsidRPr="003410DE">
        <w:rPr>
          <w:rFonts w:ascii="Times New Roman" w:hAnsi="Times New Roman" w:cs="Times New Roman"/>
          <w:kern w:val="0"/>
        </w:rPr>
        <w:t>; Size</w:t>
      </w:r>
      <w:r>
        <w:rPr>
          <w:rFonts w:ascii="Times New Roman" w:hAnsi="Times New Roman" w:cs="Times New Roman"/>
          <w:kern w:val="0"/>
        </w:rPr>
        <w:t xml:space="preserve"> effect; Japan stock market</w:t>
      </w:r>
    </w:p>
    <w:p w:rsidR="00523FB7" w:rsidRDefault="00523FB7" w:rsidP="00F86FF5">
      <w:pPr>
        <w:rPr>
          <w:rFonts w:ascii="Times New Roman" w:hAnsi="Times New Roman" w:cs="Times New Roman"/>
        </w:rPr>
      </w:pPr>
    </w:p>
    <w:p w:rsidR="00523FB7" w:rsidRPr="00B62D3E" w:rsidRDefault="00523FB7" w:rsidP="00F86FF5">
      <w:pPr>
        <w:rPr>
          <w:rFonts w:ascii="Times New Roman" w:hAnsi="Times New Roman" w:cs="Times New Roman"/>
        </w:rPr>
      </w:pPr>
    </w:p>
    <w:p w:rsidR="00523FB7" w:rsidRPr="003410DE" w:rsidRDefault="00523FB7" w:rsidP="00CC31B9">
      <w:pPr>
        <w:numPr>
          <w:ilvl w:val="0"/>
          <w:numId w:val="2"/>
        </w:numPr>
        <w:snapToGrid w:val="0"/>
        <w:spacing w:line="480" w:lineRule="auto"/>
        <w:rPr>
          <w:rFonts w:ascii="Times New Roman" w:hAnsi="Times New Roman" w:cs="Times New Roman"/>
          <w:b/>
          <w:bCs/>
          <w:sz w:val="28"/>
          <w:szCs w:val="28"/>
        </w:rPr>
      </w:pPr>
      <w:r w:rsidRPr="003410DE">
        <w:rPr>
          <w:rFonts w:ascii="Times New Roman" w:hAnsi="Times New Roman" w:cs="Times New Roman"/>
        </w:rPr>
        <w:br w:type="page"/>
      </w:r>
      <w:r>
        <w:rPr>
          <w:rFonts w:ascii="Times New Roman" w:hAnsi="Times New Roman" w:cs="Times New Roman"/>
        </w:rPr>
        <w:t xml:space="preserve"> </w:t>
      </w:r>
      <w:r w:rsidRPr="003410DE">
        <w:rPr>
          <w:rFonts w:ascii="Times New Roman" w:hAnsi="Times New Roman" w:cs="Times New Roman"/>
          <w:b/>
          <w:bCs/>
          <w:sz w:val="28"/>
          <w:szCs w:val="28"/>
        </w:rPr>
        <w:t>Introduction</w:t>
      </w:r>
    </w:p>
    <w:p w:rsidR="00523FB7" w:rsidRPr="003410DE" w:rsidRDefault="00523FB7" w:rsidP="00CC31B9">
      <w:pPr>
        <w:snapToGrid w:val="0"/>
        <w:spacing w:line="480" w:lineRule="auto"/>
        <w:jc w:val="both"/>
        <w:rPr>
          <w:rFonts w:ascii="Times New Roman" w:hAnsi="Times New Roman" w:cs="Times New Roman"/>
        </w:rPr>
      </w:pPr>
      <w:r>
        <w:rPr>
          <w:rFonts w:ascii="Times New Roman" w:hAnsi="Times New Roman" w:cs="Times New Roman"/>
        </w:rPr>
        <w:t>P</w:t>
      </w:r>
      <w:r w:rsidRPr="003410DE">
        <w:rPr>
          <w:rFonts w:ascii="Times New Roman" w:hAnsi="Times New Roman" w:cs="Times New Roman"/>
        </w:rPr>
        <w:t xml:space="preserve">rior literature suggests that firms </w:t>
      </w:r>
      <w:r>
        <w:rPr>
          <w:rFonts w:ascii="Times New Roman" w:hAnsi="Times New Roman" w:cs="Times New Roman"/>
        </w:rPr>
        <w:t>with</w:t>
      </w:r>
      <w:r w:rsidRPr="003410DE">
        <w:rPr>
          <w:rFonts w:ascii="Times New Roman" w:hAnsi="Times New Roman" w:cs="Times New Roman"/>
        </w:rPr>
        <w:t xml:space="preserve"> high book-to-market equity (</w:t>
      </w:r>
      <w:r w:rsidRPr="00D5561B">
        <w:rPr>
          <w:rFonts w:ascii="Times New Roman" w:hAnsi="Times New Roman" w:cs="Times New Roman"/>
          <w:i/>
          <w:iCs/>
        </w:rPr>
        <w:t>BE/ME</w:t>
      </w:r>
      <w:r w:rsidRPr="003410DE">
        <w:rPr>
          <w:rFonts w:ascii="Times New Roman" w:hAnsi="Times New Roman" w:cs="Times New Roman"/>
        </w:rPr>
        <w:t xml:space="preserve">) tend </w:t>
      </w:r>
      <w:r w:rsidRPr="00181A6D">
        <w:rPr>
          <w:rFonts w:ascii="Times New Roman" w:hAnsi="Times New Roman" w:cs="Times New Roman"/>
        </w:rPr>
        <w:t>to have high future returns and poor past performances</w:t>
      </w:r>
      <w:r>
        <w:rPr>
          <w:rFonts w:ascii="Times New Roman" w:hAnsi="Times New Roman" w:cs="Times New Roman"/>
        </w:rPr>
        <w:t>,</w:t>
      </w:r>
      <w:r w:rsidRPr="00181A6D">
        <w:rPr>
          <w:rFonts w:ascii="Times New Roman" w:hAnsi="Times New Roman" w:cs="Times New Roman"/>
        </w:rPr>
        <w:t xml:space="preserve"> </w:t>
      </w:r>
      <w:r w:rsidRPr="00181A6D">
        <w:rPr>
          <w:rFonts w:ascii="Times New Roman" w:eastAsia="AdvTimes" w:hAnsi="Times New Roman" w:cs="Times New Roman"/>
          <w:color w:val="000000"/>
          <w:kern w:val="0"/>
        </w:rPr>
        <w:t>and small firms tend to have higher returns than</w:t>
      </w:r>
      <w:r>
        <w:rPr>
          <w:rFonts w:ascii="Times New Roman" w:eastAsia="AdvTimes" w:hAnsi="Times New Roman" w:cs="Times New Roman"/>
          <w:color w:val="000000"/>
          <w:kern w:val="0"/>
        </w:rPr>
        <w:t xml:space="preserve"> do</w:t>
      </w:r>
      <w:r w:rsidRPr="00181A6D">
        <w:rPr>
          <w:rFonts w:ascii="Times New Roman" w:eastAsia="AdvTimes" w:hAnsi="Times New Roman" w:cs="Times New Roman"/>
          <w:color w:val="000000"/>
          <w:kern w:val="0"/>
        </w:rPr>
        <w:t xml:space="preserve"> </w:t>
      </w:r>
      <w:r>
        <w:rPr>
          <w:rFonts w:ascii="Times New Roman" w:eastAsia="AdvTimes" w:hAnsi="Times New Roman" w:cs="Times New Roman"/>
          <w:color w:val="000000"/>
          <w:kern w:val="0"/>
        </w:rPr>
        <w:t>large</w:t>
      </w:r>
      <w:r w:rsidRPr="00181A6D">
        <w:rPr>
          <w:rFonts w:ascii="Times New Roman" w:eastAsia="AdvTimes" w:hAnsi="Times New Roman" w:cs="Times New Roman"/>
          <w:color w:val="000000"/>
          <w:kern w:val="0"/>
        </w:rPr>
        <w:t xml:space="preserve"> firms (e.g., </w:t>
      </w:r>
      <w:r w:rsidRPr="00EE645B">
        <w:rPr>
          <w:rFonts w:ascii="Times New Roman" w:eastAsia="AdvTimes" w:hAnsi="Times New Roman" w:cs="Times New Roman"/>
          <w:color w:val="000000"/>
          <w:kern w:val="0"/>
        </w:rPr>
        <w:t xml:space="preserve">Fama and French, 1992; 1993; 1996; 1998; </w:t>
      </w:r>
      <w:r w:rsidRPr="00EE645B">
        <w:rPr>
          <w:rFonts w:ascii="Times New Roman" w:hAnsi="Times New Roman" w:cs="Times New Roman"/>
          <w:kern w:val="0"/>
        </w:rPr>
        <w:t>Lakonishok, Shleifer, and Vishny, 1994)</w:t>
      </w:r>
      <w:r w:rsidRPr="00181A6D">
        <w:rPr>
          <w:rFonts w:ascii="Times New Roman" w:hAnsi="Times New Roman" w:cs="Times New Roman"/>
        </w:rPr>
        <w:t xml:space="preserve">. </w:t>
      </w:r>
      <w:r>
        <w:rPr>
          <w:rFonts w:ascii="Times New Roman" w:hAnsi="Times New Roman" w:cs="Times New Roman"/>
        </w:rPr>
        <w:t>E</w:t>
      </w:r>
      <w:r w:rsidRPr="00181A6D">
        <w:rPr>
          <w:rFonts w:ascii="Times New Roman" w:hAnsi="Times New Roman" w:cs="Times New Roman"/>
        </w:rPr>
        <w:t xml:space="preserve">mpirical evidence of the existence of </w:t>
      </w:r>
      <w:r w:rsidRPr="00D5561B">
        <w:rPr>
          <w:rFonts w:ascii="Times New Roman" w:hAnsi="Times New Roman" w:cs="Times New Roman"/>
          <w:i/>
          <w:iCs/>
        </w:rPr>
        <w:t>BE/ME</w:t>
      </w:r>
      <w:r w:rsidRPr="00181A6D">
        <w:rPr>
          <w:rFonts w:ascii="Times New Roman" w:hAnsi="Times New Roman" w:cs="Times New Roman"/>
        </w:rPr>
        <w:t xml:space="preserve"> and size premiums has also been documented in the </w:t>
      </w:r>
      <w:smartTag w:uri="urn:schemas-microsoft-com:office:smarttags" w:element="country-region">
        <w:smartTag w:uri="urn:schemas-microsoft-com:office:smarttags" w:element="place">
          <w:r w:rsidRPr="00181A6D">
            <w:rPr>
              <w:rFonts w:ascii="Times New Roman" w:hAnsi="Times New Roman" w:cs="Times New Roman"/>
            </w:rPr>
            <w:t>Japan</w:t>
          </w:r>
        </w:smartTag>
      </w:smartTag>
      <w:r w:rsidRPr="00181A6D">
        <w:rPr>
          <w:rFonts w:ascii="Times New Roman" w:hAnsi="Times New Roman" w:cs="Times New Roman"/>
        </w:rPr>
        <w:t xml:space="preserve"> stock market (</w:t>
      </w:r>
      <w:r w:rsidRPr="00181A6D">
        <w:rPr>
          <w:rFonts w:ascii="Times New Roman" w:hAnsi="Times New Roman" w:cs="Times New Roman"/>
          <w:kern w:val="0"/>
        </w:rPr>
        <w:t>e.g.</w:t>
      </w:r>
      <w:r>
        <w:rPr>
          <w:rFonts w:ascii="Times New Roman" w:hAnsi="Times New Roman" w:cs="Times New Roman"/>
          <w:kern w:val="0"/>
        </w:rPr>
        <w:t>,</w:t>
      </w:r>
      <w:r w:rsidRPr="003410DE">
        <w:rPr>
          <w:rFonts w:ascii="Times New Roman" w:hAnsi="Times New Roman" w:cs="Times New Roman"/>
          <w:kern w:val="0"/>
        </w:rPr>
        <w:t xml:space="preserve"> Chan et al., 1993; Cai, 1997; Bae and Kim, 1998; Chen and Zhang, 1998; Daniel et al.,</w:t>
      </w:r>
      <w:r>
        <w:rPr>
          <w:rFonts w:ascii="Times New Roman" w:hAnsi="Times New Roman" w:cs="Times New Roman"/>
          <w:kern w:val="0"/>
        </w:rPr>
        <w:t xml:space="preserve"> </w:t>
      </w:r>
      <w:r w:rsidRPr="003410DE">
        <w:rPr>
          <w:rFonts w:ascii="Times New Roman" w:hAnsi="Times New Roman" w:cs="Times New Roman"/>
          <w:kern w:val="0"/>
        </w:rPr>
        <w:t>2001</w:t>
      </w:r>
      <w:r w:rsidRPr="003410DE">
        <w:rPr>
          <w:rFonts w:ascii="Times New Roman" w:hAnsi="Times New Roman" w:cs="Times New Roman"/>
          <w:color w:val="000000"/>
        </w:rPr>
        <w:t>)</w:t>
      </w:r>
      <w:r w:rsidRPr="003410DE">
        <w:rPr>
          <w:rFonts w:ascii="Times New Roman" w:hAnsi="Times New Roman" w:cs="Times New Roman"/>
        </w:rPr>
        <w:t>.</w:t>
      </w:r>
      <w:r>
        <w:rPr>
          <w:rStyle w:val="FootnoteReference"/>
          <w:rFonts w:ascii="Times New Roman" w:hAnsi="Times New Roman"/>
        </w:rPr>
        <w:footnoteReference w:id="2"/>
      </w:r>
      <w:r w:rsidRPr="003410DE">
        <w:rPr>
          <w:rFonts w:ascii="Times New Roman" w:hAnsi="Times New Roman" w:cs="Times New Roman"/>
        </w:rPr>
        <w:t xml:space="preserve"> </w:t>
      </w:r>
    </w:p>
    <w:p w:rsidR="00523FB7" w:rsidRPr="00200CFC" w:rsidRDefault="00523FB7" w:rsidP="00CC31B9">
      <w:pPr>
        <w:snapToGrid w:val="0"/>
        <w:spacing w:line="480" w:lineRule="auto"/>
        <w:ind w:firstLine="480"/>
        <w:jc w:val="both"/>
        <w:rPr>
          <w:rFonts w:ascii="Times New Roman" w:hAnsi="Times New Roman" w:cs="Times New Roman"/>
        </w:rPr>
      </w:pPr>
      <w:r w:rsidRPr="003410DE">
        <w:rPr>
          <w:rFonts w:ascii="Times New Roman" w:hAnsi="Times New Roman" w:cs="Times New Roman"/>
          <w:kern w:val="0"/>
        </w:rPr>
        <w:t>V</w:t>
      </w:r>
      <w:r w:rsidRPr="003410DE">
        <w:rPr>
          <w:rFonts w:ascii="Times New Roman" w:hAnsi="Times New Roman" w:cs="Times New Roman"/>
        </w:rPr>
        <w:t xml:space="preserve">alue </w:t>
      </w:r>
      <w:r>
        <w:rPr>
          <w:rFonts w:ascii="Times New Roman" w:hAnsi="Times New Roman" w:cs="Times New Roman"/>
        </w:rPr>
        <w:t xml:space="preserve">and size </w:t>
      </w:r>
      <w:r w:rsidRPr="003410DE">
        <w:rPr>
          <w:rFonts w:ascii="Times New Roman" w:hAnsi="Times New Roman" w:cs="Times New Roman"/>
        </w:rPr>
        <w:t>premium</w:t>
      </w:r>
      <w:r>
        <w:rPr>
          <w:rFonts w:ascii="Times New Roman" w:hAnsi="Times New Roman" w:cs="Times New Roman"/>
        </w:rPr>
        <w:t>s</w:t>
      </w:r>
      <w:r w:rsidRPr="003410DE">
        <w:rPr>
          <w:rFonts w:ascii="Times New Roman" w:hAnsi="Times New Roman" w:cs="Times New Roman"/>
        </w:rPr>
        <w:t xml:space="preserve"> </w:t>
      </w:r>
      <w:r>
        <w:rPr>
          <w:rFonts w:ascii="Times New Roman" w:hAnsi="Times New Roman" w:cs="Times New Roman"/>
        </w:rPr>
        <w:t>have</w:t>
      </w:r>
      <w:r w:rsidRPr="003410DE">
        <w:rPr>
          <w:rFonts w:ascii="Times New Roman" w:hAnsi="Times New Roman" w:cs="Times New Roman"/>
        </w:rPr>
        <w:t xml:space="preserve"> been </w:t>
      </w:r>
      <w:r>
        <w:rPr>
          <w:rFonts w:ascii="Times New Roman" w:hAnsi="Times New Roman" w:cs="Times New Roman"/>
        </w:rPr>
        <w:t xml:space="preserve">studied </w:t>
      </w:r>
      <w:r w:rsidRPr="003410DE">
        <w:rPr>
          <w:rFonts w:ascii="Times New Roman" w:hAnsi="Times New Roman" w:cs="Times New Roman"/>
        </w:rPr>
        <w:t>for a long time</w:t>
      </w:r>
      <w:r>
        <w:rPr>
          <w:rFonts w:ascii="Times New Roman" w:hAnsi="Times New Roman" w:cs="Times New Roman"/>
        </w:rPr>
        <w:t>.</w:t>
      </w:r>
      <w:r w:rsidRPr="003410DE">
        <w:rPr>
          <w:rFonts w:ascii="Times New Roman" w:hAnsi="Times New Roman" w:cs="Times New Roman"/>
        </w:rPr>
        <w:t xml:space="preserve"> </w:t>
      </w:r>
      <w:r>
        <w:rPr>
          <w:rFonts w:ascii="Times New Roman" w:hAnsi="Times New Roman" w:cs="Times New Roman"/>
        </w:rPr>
        <w:t>H</w:t>
      </w:r>
      <w:r w:rsidRPr="003410DE">
        <w:rPr>
          <w:rFonts w:ascii="Times New Roman" w:hAnsi="Times New Roman" w:cs="Times New Roman"/>
        </w:rPr>
        <w:t xml:space="preserve">owever, studies </w:t>
      </w:r>
      <w:r>
        <w:rPr>
          <w:rFonts w:ascii="Times New Roman" w:hAnsi="Times New Roman" w:cs="Times New Roman"/>
        </w:rPr>
        <w:t xml:space="preserve">on </w:t>
      </w:r>
      <w:r w:rsidRPr="003410DE">
        <w:rPr>
          <w:rFonts w:ascii="Times New Roman" w:hAnsi="Times New Roman" w:cs="Times New Roman"/>
        </w:rPr>
        <w:t xml:space="preserve">whether sophisticated institutions behave as arbitrageurs to exploit </w:t>
      </w:r>
      <w:r>
        <w:rPr>
          <w:rFonts w:ascii="Times New Roman" w:hAnsi="Times New Roman" w:cs="Times New Roman"/>
        </w:rPr>
        <w:t xml:space="preserve">these </w:t>
      </w:r>
      <w:r w:rsidRPr="003410DE">
        <w:rPr>
          <w:rFonts w:ascii="Times New Roman" w:hAnsi="Times New Roman" w:cs="Times New Roman"/>
        </w:rPr>
        <w:t>premium</w:t>
      </w:r>
      <w:r>
        <w:rPr>
          <w:rFonts w:ascii="Times New Roman" w:hAnsi="Times New Roman" w:cs="Times New Roman"/>
        </w:rPr>
        <w:t>s</w:t>
      </w:r>
      <w:r w:rsidRPr="003410DE">
        <w:rPr>
          <w:rFonts w:ascii="Times New Roman" w:hAnsi="Times New Roman" w:cs="Times New Roman"/>
        </w:rPr>
        <w:t xml:space="preserve"> or push asset price away from fund</w:t>
      </w:r>
      <w:r>
        <w:rPr>
          <w:rFonts w:ascii="Times New Roman" w:hAnsi="Times New Roman" w:cs="Times New Roman"/>
        </w:rPr>
        <w:t xml:space="preserve">amental value are rare. </w:t>
      </w:r>
      <w:r w:rsidRPr="003410DE">
        <w:rPr>
          <w:rFonts w:ascii="Times New Roman" w:hAnsi="Times New Roman" w:cs="Times New Roman"/>
          <w:kern w:val="0"/>
        </w:rPr>
        <w:t>M</w:t>
      </w:r>
      <w:r w:rsidRPr="003410DE">
        <w:rPr>
          <w:rFonts w:ascii="Times New Roman" w:hAnsi="Times New Roman" w:cs="Times New Roman"/>
        </w:rPr>
        <w:t xml:space="preserve">any studies show that institutional trading is capable </w:t>
      </w:r>
      <w:r>
        <w:rPr>
          <w:rFonts w:ascii="Times New Roman" w:hAnsi="Times New Roman" w:cs="Times New Roman"/>
        </w:rPr>
        <w:t>of</w:t>
      </w:r>
      <w:r w:rsidRPr="003410DE">
        <w:rPr>
          <w:rFonts w:ascii="Times New Roman" w:hAnsi="Times New Roman" w:cs="Times New Roman"/>
        </w:rPr>
        <w:t xml:space="preserve"> predict</w:t>
      </w:r>
      <w:r>
        <w:rPr>
          <w:rFonts w:ascii="Times New Roman" w:hAnsi="Times New Roman" w:cs="Times New Roman"/>
        </w:rPr>
        <w:t>ing</w:t>
      </w:r>
      <w:r w:rsidRPr="003410DE">
        <w:rPr>
          <w:rFonts w:ascii="Times New Roman" w:hAnsi="Times New Roman" w:cs="Times New Roman"/>
        </w:rPr>
        <w:t xml:space="preserve"> future stock returns</w:t>
      </w:r>
      <w:r>
        <w:rPr>
          <w:rFonts w:ascii="Times New Roman" w:hAnsi="Times New Roman" w:cs="Times New Roman"/>
        </w:rPr>
        <w:t>,</w:t>
      </w:r>
      <w:r w:rsidRPr="003410DE">
        <w:rPr>
          <w:rFonts w:ascii="Times New Roman" w:hAnsi="Times New Roman" w:cs="Times New Roman"/>
        </w:rPr>
        <w:t xml:space="preserve"> and</w:t>
      </w:r>
      <w:r>
        <w:rPr>
          <w:rFonts w:ascii="Times New Roman" w:hAnsi="Times New Roman" w:cs="Times New Roman"/>
        </w:rPr>
        <w:t xml:space="preserve"> it</w:t>
      </w:r>
      <w:r w:rsidRPr="003410DE">
        <w:rPr>
          <w:rFonts w:ascii="Times New Roman" w:hAnsi="Times New Roman" w:cs="Times New Roman"/>
        </w:rPr>
        <w:t xml:space="preserve"> has </w:t>
      </w:r>
      <w:r>
        <w:rPr>
          <w:rFonts w:ascii="Times New Roman" w:hAnsi="Times New Roman" w:cs="Times New Roman"/>
        </w:rPr>
        <w:t xml:space="preserve">a </w:t>
      </w:r>
      <w:r w:rsidRPr="003410DE">
        <w:rPr>
          <w:rFonts w:ascii="Times New Roman" w:hAnsi="Times New Roman" w:cs="Times New Roman"/>
        </w:rPr>
        <w:t xml:space="preserve">significant </w:t>
      </w:r>
      <w:r>
        <w:rPr>
          <w:rFonts w:ascii="Times New Roman" w:hAnsi="Times New Roman" w:cs="Times New Roman"/>
        </w:rPr>
        <w:t>effect</w:t>
      </w:r>
      <w:r w:rsidRPr="003410DE">
        <w:rPr>
          <w:rFonts w:ascii="Times New Roman" w:hAnsi="Times New Roman" w:cs="Times New Roman"/>
        </w:rPr>
        <w:t xml:space="preserve"> on</w:t>
      </w:r>
      <w:r>
        <w:rPr>
          <w:rFonts w:ascii="Times New Roman" w:hAnsi="Times New Roman" w:cs="Times New Roman"/>
        </w:rPr>
        <w:t xml:space="preserve"> the</w:t>
      </w:r>
      <w:r w:rsidRPr="003410DE">
        <w:rPr>
          <w:rFonts w:ascii="Times New Roman" w:hAnsi="Times New Roman" w:cs="Times New Roman"/>
        </w:rPr>
        <w:t xml:space="preserve"> current stock price </w:t>
      </w:r>
      <w:r w:rsidRPr="00A11789">
        <w:rPr>
          <w:rFonts w:ascii="Times New Roman" w:hAnsi="Times New Roman" w:cs="Times New Roman"/>
        </w:rPr>
        <w:t>(Wermers, 1999; Sias, 2004).</w:t>
      </w:r>
      <w:r>
        <w:rPr>
          <w:rFonts w:ascii="Times New Roman" w:hAnsi="Times New Roman" w:cs="Times New Roman"/>
        </w:rPr>
        <w:t xml:space="preserve"> On the one hand, institutional tr</w:t>
      </w:r>
      <w:r w:rsidRPr="003410DE">
        <w:rPr>
          <w:rFonts w:ascii="Times New Roman" w:hAnsi="Times New Roman" w:cs="Times New Roman"/>
        </w:rPr>
        <w:t xml:space="preserve">ading may irrationally </w:t>
      </w:r>
      <w:r>
        <w:rPr>
          <w:rFonts w:ascii="Times New Roman" w:hAnsi="Times New Roman" w:cs="Times New Roman"/>
        </w:rPr>
        <w:t>affect</w:t>
      </w:r>
      <w:r w:rsidRPr="003410DE">
        <w:rPr>
          <w:rFonts w:ascii="Times New Roman" w:hAnsi="Times New Roman" w:cs="Times New Roman"/>
        </w:rPr>
        <w:t xml:space="preserve"> stock prices. </w:t>
      </w:r>
      <w:r>
        <w:rPr>
          <w:rFonts w:ascii="Times New Roman" w:hAnsi="Times New Roman" w:cs="Times New Roman"/>
        </w:rPr>
        <w:t xml:space="preserve">The </w:t>
      </w:r>
      <w:r w:rsidRPr="003410DE">
        <w:rPr>
          <w:rFonts w:ascii="Times New Roman" w:hAnsi="Times New Roman" w:cs="Times New Roman"/>
        </w:rPr>
        <w:t>trading behavior may destabilize stock prices if overpriced securities are bought</w:t>
      </w:r>
      <w:r>
        <w:rPr>
          <w:rFonts w:ascii="Times New Roman" w:hAnsi="Times New Roman" w:cs="Times New Roman"/>
        </w:rPr>
        <w:t>,</w:t>
      </w:r>
      <w:r w:rsidRPr="003410DE">
        <w:rPr>
          <w:rFonts w:ascii="Times New Roman" w:hAnsi="Times New Roman" w:cs="Times New Roman"/>
        </w:rPr>
        <w:t xml:space="preserve"> and underpriced securities</w:t>
      </w:r>
      <w:r>
        <w:rPr>
          <w:rFonts w:ascii="Times New Roman" w:hAnsi="Times New Roman" w:cs="Times New Roman"/>
        </w:rPr>
        <w:t xml:space="preserve"> are</w:t>
      </w:r>
      <w:r w:rsidRPr="003410DE">
        <w:rPr>
          <w:rFonts w:ascii="Times New Roman" w:hAnsi="Times New Roman" w:cs="Times New Roman"/>
        </w:rPr>
        <w:t xml:space="preserve"> sold</w:t>
      </w:r>
      <w:r>
        <w:rPr>
          <w:rFonts w:ascii="Times New Roman" w:hAnsi="Times New Roman" w:cs="Times New Roman"/>
        </w:rPr>
        <w:t xml:space="preserve"> (Hung et al., 2010; </w:t>
      </w:r>
      <w:r w:rsidRPr="00CD684C">
        <w:rPr>
          <w:rFonts w:ascii="Times New Roman" w:hAnsi="Times New Roman" w:cs="Times New Roman"/>
        </w:rPr>
        <w:t>Dasgupta</w:t>
      </w:r>
      <w:r>
        <w:rPr>
          <w:rFonts w:ascii="Times New Roman" w:hAnsi="Times New Roman" w:cs="Times New Roman"/>
        </w:rPr>
        <w:t xml:space="preserve"> et al., </w:t>
      </w:r>
      <w:r w:rsidRPr="00CD684C">
        <w:rPr>
          <w:rFonts w:ascii="Times New Roman" w:hAnsi="Times New Roman" w:cs="Times New Roman"/>
        </w:rPr>
        <w:t>2011</w:t>
      </w:r>
      <w:r>
        <w:rPr>
          <w:rFonts w:ascii="Times New Roman" w:hAnsi="Times New Roman" w:cs="Times New Roman"/>
        </w:rPr>
        <w:t>)</w:t>
      </w:r>
      <w:r w:rsidRPr="003410DE">
        <w:rPr>
          <w:rFonts w:ascii="Times New Roman" w:hAnsi="Times New Roman" w:cs="Times New Roman"/>
        </w:rPr>
        <w:t xml:space="preserve">. After institutional irrational buying or selling, one would expect to see subsequent reversals in stock returns. If trading results from fads, reputational concerns, or preference for certain firm characteristics, such trading may drive asset prices away from fundamental values and create return reversals in the subsequent </w:t>
      </w:r>
      <w:r w:rsidRPr="00DF2A03">
        <w:rPr>
          <w:rFonts w:ascii="Times New Roman" w:hAnsi="Times New Roman" w:cs="Times New Roman"/>
        </w:rPr>
        <w:t>period. For example</w:t>
      </w:r>
      <w:r w:rsidRPr="00CD684C">
        <w:rPr>
          <w:rFonts w:ascii="Times New Roman" w:hAnsi="Times New Roman" w:cs="Times New Roman"/>
        </w:rPr>
        <w:t>, Dasgupta</w:t>
      </w:r>
      <w:r>
        <w:rPr>
          <w:rFonts w:ascii="Times New Roman" w:hAnsi="Times New Roman" w:cs="Times New Roman"/>
        </w:rPr>
        <w:t xml:space="preserve"> et al. (</w:t>
      </w:r>
      <w:r w:rsidRPr="00CD684C">
        <w:rPr>
          <w:rFonts w:ascii="Times New Roman" w:hAnsi="Times New Roman" w:cs="Times New Roman"/>
        </w:rPr>
        <w:t>2011) show</w:t>
      </w:r>
      <w:r w:rsidRPr="00DF2A03">
        <w:rPr>
          <w:rFonts w:ascii="Times New Roman" w:hAnsi="Times New Roman" w:cs="Times New Roman"/>
        </w:rPr>
        <w:t xml:space="preserve"> that the long-run future returns on stocks that have been persistently sold by institutions outperform stocks persistently bought by them. </w:t>
      </w:r>
      <w:r>
        <w:rPr>
          <w:rFonts w:ascii="Times New Roman" w:hAnsi="Times New Roman" w:cs="Times New Roman"/>
        </w:rPr>
        <w:t>S</w:t>
      </w:r>
      <w:r w:rsidRPr="00DF2A03">
        <w:rPr>
          <w:rFonts w:ascii="Times New Roman" w:hAnsi="Times New Roman" w:cs="Times New Roman"/>
        </w:rPr>
        <w:t>imilar patterns of</w:t>
      </w:r>
      <w:r>
        <w:rPr>
          <w:rFonts w:ascii="Times New Roman" w:hAnsi="Times New Roman" w:cs="Times New Roman"/>
        </w:rPr>
        <w:t xml:space="preserve"> a</w:t>
      </w:r>
      <w:r w:rsidRPr="00DF2A03">
        <w:rPr>
          <w:rFonts w:ascii="Times New Roman" w:hAnsi="Times New Roman" w:cs="Times New Roman"/>
        </w:rPr>
        <w:t xml:space="preserve"> long-run reversal associated </w:t>
      </w:r>
      <w:r>
        <w:rPr>
          <w:rFonts w:ascii="Times New Roman" w:hAnsi="Times New Roman" w:cs="Times New Roman"/>
        </w:rPr>
        <w:t>with</w:t>
      </w:r>
      <w:r w:rsidRPr="00DF2A03">
        <w:rPr>
          <w:rFonts w:ascii="Times New Roman" w:hAnsi="Times New Roman" w:cs="Times New Roman"/>
        </w:rPr>
        <w:t xml:space="preserve"> institutional trading are found in </w:t>
      </w:r>
      <w:r w:rsidRPr="00B613D4">
        <w:rPr>
          <w:rFonts w:ascii="Times New Roman" w:hAnsi="Times New Roman" w:cs="Times New Roman"/>
        </w:rPr>
        <w:t>Frazzini and Lamont (2008</w:t>
      </w:r>
      <w:r w:rsidRPr="00576C11">
        <w:rPr>
          <w:rFonts w:ascii="Times New Roman" w:hAnsi="Times New Roman" w:cs="Times New Roman"/>
        </w:rPr>
        <w:t xml:space="preserve">), </w:t>
      </w:r>
      <w:r>
        <w:rPr>
          <w:rFonts w:ascii="Times New Roman" w:hAnsi="Times New Roman" w:cs="Times New Roman"/>
        </w:rPr>
        <w:t xml:space="preserve">Gutierrez </w:t>
      </w:r>
      <w:r w:rsidRPr="00576C11">
        <w:rPr>
          <w:rFonts w:ascii="Times New Roman" w:hAnsi="Times New Roman" w:cs="Times New Roman"/>
        </w:rPr>
        <w:t>and Kelley (2009), and</w:t>
      </w:r>
      <w:r w:rsidRPr="00FE0F9F">
        <w:rPr>
          <w:rFonts w:ascii="Times New Roman" w:hAnsi="Times New Roman" w:cs="Times New Roman"/>
        </w:rPr>
        <w:t xml:space="preserve"> </w:t>
      </w:r>
      <w:r>
        <w:rPr>
          <w:rFonts w:ascii="Times New Roman" w:hAnsi="Times New Roman" w:cs="Times New Roman"/>
        </w:rPr>
        <w:t xml:space="preserve">Brown </w:t>
      </w:r>
      <w:r w:rsidRPr="00576C11">
        <w:rPr>
          <w:rFonts w:ascii="Times New Roman" w:hAnsi="Times New Roman" w:cs="Times New Roman"/>
        </w:rPr>
        <w:t>et al.</w:t>
      </w:r>
      <w:r>
        <w:rPr>
          <w:rFonts w:ascii="Times New Roman" w:hAnsi="Times New Roman" w:cs="Times New Roman"/>
        </w:rPr>
        <w:t xml:space="preserve"> (2009). O</w:t>
      </w:r>
      <w:r w:rsidRPr="00576C11">
        <w:rPr>
          <w:rFonts w:ascii="Times New Roman" w:hAnsi="Times New Roman" w:cs="Times New Roman"/>
        </w:rPr>
        <w:t>n the other hand, institution</w:t>
      </w:r>
      <w:r w:rsidRPr="00B613D4">
        <w:rPr>
          <w:rFonts w:ascii="Times New Roman" w:hAnsi="Times New Roman" w:cs="Times New Roman"/>
        </w:rPr>
        <w:t>a</w:t>
      </w:r>
      <w:r w:rsidRPr="003410DE">
        <w:rPr>
          <w:rFonts w:ascii="Times New Roman" w:hAnsi="Times New Roman" w:cs="Times New Roman"/>
        </w:rPr>
        <w:t xml:space="preserve">l buying (selling) may stabilize the stock market when prices are undervalued (overvalued). The absence of price reversals following institutional trading is consistent </w:t>
      </w:r>
      <w:r>
        <w:rPr>
          <w:rFonts w:ascii="Times New Roman" w:hAnsi="Times New Roman" w:cs="Times New Roman"/>
        </w:rPr>
        <w:t>with</w:t>
      </w:r>
      <w:r w:rsidRPr="003410DE">
        <w:rPr>
          <w:rFonts w:ascii="Times New Roman" w:hAnsi="Times New Roman" w:cs="Times New Roman"/>
        </w:rPr>
        <w:t xml:space="preserve"> the hypothesis that institutional trading reflects the manner </w:t>
      </w:r>
      <w:r>
        <w:rPr>
          <w:rFonts w:ascii="Times New Roman" w:hAnsi="Times New Roman" w:cs="Times New Roman"/>
        </w:rPr>
        <w:t>by</w:t>
      </w:r>
      <w:r w:rsidRPr="003410DE">
        <w:rPr>
          <w:rFonts w:ascii="Times New Roman" w:hAnsi="Times New Roman" w:cs="Times New Roman"/>
        </w:rPr>
        <w:t xml:space="preserve"> which information is impounded into security prices (</w:t>
      </w:r>
      <w:r w:rsidRPr="00200CFC">
        <w:rPr>
          <w:rFonts w:ascii="Times New Roman" w:hAnsi="Times New Roman" w:cs="Times New Roman"/>
        </w:rPr>
        <w:t>DeLong</w:t>
      </w:r>
      <w:r w:rsidRPr="00200CFC">
        <w:rPr>
          <w:rFonts w:ascii="Times New Roman" w:hAnsi="Times New Roman" w:cs="Times New Roman"/>
          <w:kern w:val="0"/>
        </w:rPr>
        <w:t xml:space="preserve"> et al.</w:t>
      </w:r>
      <w:r w:rsidRPr="00200CFC">
        <w:rPr>
          <w:rFonts w:ascii="Times New Roman" w:hAnsi="Times New Roman" w:cs="Times New Roman"/>
        </w:rPr>
        <w:t xml:space="preserve">, 1990; </w:t>
      </w:r>
      <w:r w:rsidRPr="00200CFC">
        <w:rPr>
          <w:rFonts w:ascii="Times New Roman" w:hAnsi="Times New Roman" w:cs="Times New Roman"/>
          <w:kern w:val="0"/>
        </w:rPr>
        <w:t xml:space="preserve">Choe et al., 1999; </w:t>
      </w:r>
      <w:r>
        <w:rPr>
          <w:rFonts w:ascii="Times New Roman" w:hAnsi="Times New Roman"/>
        </w:rPr>
        <w:t xml:space="preserve">Nofsinger and Sias, 1999; </w:t>
      </w:r>
      <w:r w:rsidRPr="00200CFC">
        <w:rPr>
          <w:rFonts w:ascii="Times New Roman" w:hAnsi="Times New Roman" w:cs="Times New Roman"/>
        </w:rPr>
        <w:t xml:space="preserve">Wermers, 1999; Sias, 2004). </w:t>
      </w:r>
    </w:p>
    <w:p w:rsidR="00523FB7" w:rsidRDefault="00523FB7" w:rsidP="00CC31B9">
      <w:pPr>
        <w:snapToGrid w:val="0"/>
        <w:spacing w:line="480" w:lineRule="auto"/>
        <w:ind w:firstLine="480"/>
        <w:jc w:val="both"/>
        <w:rPr>
          <w:rFonts w:ascii="Times New Roman" w:hAnsi="Times New Roman" w:cs="Times New Roman"/>
          <w:color w:val="000000"/>
          <w:kern w:val="0"/>
        </w:rPr>
      </w:pPr>
      <w:r w:rsidRPr="00200CFC">
        <w:rPr>
          <w:rFonts w:ascii="Times New Roman" w:hAnsi="Times New Roman" w:cs="Times New Roman"/>
        </w:rPr>
        <w:t>Lakonishok</w:t>
      </w:r>
      <w:r>
        <w:rPr>
          <w:rFonts w:ascii="Times New Roman" w:hAnsi="Times New Roman" w:cs="Times New Roman"/>
        </w:rPr>
        <w:t xml:space="preserve"> et al. </w:t>
      </w:r>
      <w:r w:rsidRPr="00200CFC">
        <w:rPr>
          <w:rFonts w:ascii="Times New Roman" w:hAnsi="Times New Roman" w:cs="Times New Roman"/>
        </w:rPr>
        <w:t>(1994) a</w:t>
      </w:r>
      <w:r w:rsidRPr="003410DE">
        <w:rPr>
          <w:rFonts w:ascii="Times New Roman" w:hAnsi="Times New Roman" w:cs="Times New Roman"/>
        </w:rPr>
        <w:t xml:space="preserve">rgue that the agency problem inherent in delegated portfolio management </w:t>
      </w:r>
      <w:r>
        <w:rPr>
          <w:rFonts w:ascii="Times New Roman" w:hAnsi="Times New Roman" w:cs="Times New Roman"/>
        </w:rPr>
        <w:t xml:space="preserve">may </w:t>
      </w:r>
      <w:r w:rsidRPr="003410DE">
        <w:rPr>
          <w:rFonts w:ascii="Times New Roman" w:hAnsi="Times New Roman" w:cs="Times New Roman"/>
        </w:rPr>
        <w:t>induce institutions to trade toward growth stocks and away fr</w:t>
      </w:r>
      <w:r>
        <w:rPr>
          <w:rFonts w:ascii="Times New Roman" w:hAnsi="Times New Roman" w:cs="Times New Roman"/>
        </w:rPr>
        <w:t xml:space="preserve">om value stocks and that such a behavioral </w:t>
      </w:r>
      <w:r w:rsidRPr="003410DE">
        <w:rPr>
          <w:rFonts w:ascii="Times New Roman" w:hAnsi="Times New Roman" w:cs="Times New Roman"/>
        </w:rPr>
        <w:t xml:space="preserve">tendency </w:t>
      </w:r>
      <w:r>
        <w:rPr>
          <w:rFonts w:ascii="Times New Roman" w:hAnsi="Times New Roman" w:cs="Times New Roman"/>
        </w:rPr>
        <w:t xml:space="preserve">may </w:t>
      </w:r>
      <w:r w:rsidRPr="003410DE">
        <w:rPr>
          <w:rFonts w:ascii="Times New Roman" w:hAnsi="Times New Roman" w:cs="Times New Roman"/>
        </w:rPr>
        <w:t>be an important driver of the value premium</w:t>
      </w:r>
      <w:r w:rsidRPr="003410DE">
        <w:rPr>
          <w:rFonts w:ascii="Times New Roman" w:hAnsi="Times New Roman" w:cs="Times New Roman"/>
          <w:kern w:val="0"/>
        </w:rPr>
        <w:t xml:space="preserve">. </w:t>
      </w:r>
      <w:r>
        <w:rPr>
          <w:rFonts w:ascii="Times New Roman" w:hAnsi="Times New Roman" w:cs="Times New Roman"/>
        </w:rPr>
        <w:t>R</w:t>
      </w:r>
      <w:r w:rsidRPr="003410DE">
        <w:rPr>
          <w:rFonts w:ascii="Times New Roman" w:hAnsi="Times New Roman" w:cs="Times New Roman"/>
        </w:rPr>
        <w:t xml:space="preserve">ecent evidence by </w:t>
      </w:r>
      <w:r w:rsidRPr="00D91322">
        <w:rPr>
          <w:rFonts w:ascii="Times New Roman" w:hAnsi="Times New Roman" w:cs="Times New Roman"/>
        </w:rPr>
        <w:t>Frazzini</w:t>
      </w:r>
      <w:r w:rsidRPr="00DE7781">
        <w:rPr>
          <w:rFonts w:ascii="Times New Roman" w:hAnsi="Times New Roman" w:cs="Times New Roman"/>
        </w:rPr>
        <w:t xml:space="preserve"> and Lamont (2008)</w:t>
      </w:r>
      <w:r w:rsidRPr="003410DE">
        <w:rPr>
          <w:rFonts w:ascii="Times New Roman" w:hAnsi="Times New Roman" w:cs="Times New Roman"/>
        </w:rPr>
        <w:t xml:space="preserve"> and </w:t>
      </w:r>
      <w:r w:rsidRPr="00DE7781">
        <w:rPr>
          <w:rFonts w:ascii="Times New Roman" w:hAnsi="Times New Roman" w:cs="Times New Roman"/>
        </w:rPr>
        <w:t>Sharma</w:t>
      </w:r>
      <w:r>
        <w:rPr>
          <w:rFonts w:ascii="Times New Roman" w:hAnsi="Times New Roman" w:cs="Times New Roman"/>
        </w:rPr>
        <w:t xml:space="preserve"> et al. </w:t>
      </w:r>
      <w:r w:rsidRPr="00DE7781">
        <w:rPr>
          <w:rFonts w:ascii="Times New Roman" w:hAnsi="Times New Roman" w:cs="Times New Roman"/>
        </w:rPr>
        <w:t>(200</w:t>
      </w:r>
      <w:r>
        <w:rPr>
          <w:rFonts w:ascii="Times New Roman" w:hAnsi="Times New Roman" w:cs="Times New Roman"/>
        </w:rPr>
        <w:t>8</w:t>
      </w:r>
      <w:r w:rsidRPr="00DE7781">
        <w:rPr>
          <w:rFonts w:ascii="Times New Roman" w:hAnsi="Times New Roman" w:cs="Times New Roman"/>
        </w:rPr>
        <w:t>) j</w:t>
      </w:r>
      <w:r>
        <w:rPr>
          <w:rFonts w:ascii="Times New Roman" w:hAnsi="Times New Roman" w:cs="Times New Roman"/>
        </w:rPr>
        <w:t xml:space="preserve">ustify the argument of </w:t>
      </w:r>
      <w:r w:rsidRPr="00DE7781">
        <w:rPr>
          <w:rFonts w:ascii="Times New Roman" w:hAnsi="Times New Roman" w:cs="Times New Roman"/>
        </w:rPr>
        <w:t>Lakonishok</w:t>
      </w:r>
      <w:r>
        <w:rPr>
          <w:rFonts w:ascii="Times New Roman" w:hAnsi="Times New Roman" w:cs="Times New Roman"/>
        </w:rPr>
        <w:t xml:space="preserve"> et al.</w:t>
      </w:r>
      <w:r w:rsidRPr="00DE7781">
        <w:rPr>
          <w:rFonts w:ascii="Times New Roman" w:hAnsi="Times New Roman" w:cs="Times New Roman"/>
        </w:rPr>
        <w:t xml:space="preserve"> (1994) that</w:t>
      </w:r>
      <w:r w:rsidRPr="003410DE">
        <w:rPr>
          <w:rFonts w:ascii="Times New Roman" w:hAnsi="Times New Roman" w:cs="Times New Roman"/>
        </w:rPr>
        <w:t xml:space="preserve"> institutions tend to buy growth stocks and sell value stocks.</w:t>
      </w:r>
      <w:r>
        <w:rPr>
          <w:rFonts w:ascii="Times New Roman" w:hAnsi="Times New Roman" w:cs="Times New Roman"/>
        </w:rPr>
        <w:t xml:space="preserve"> Further, recent studies document that </w:t>
      </w:r>
      <w:r w:rsidRPr="00E159C8">
        <w:rPr>
          <w:rFonts w:ascii="Times New Roman" w:hAnsi="Times New Roman" w:cs="Times New Roman"/>
          <w:kern w:val="0"/>
        </w:rPr>
        <w:t xml:space="preserve">institutional investors prefer holding large capitalization stocks </w:t>
      </w:r>
      <w:r w:rsidRPr="00DE7781">
        <w:rPr>
          <w:rFonts w:ascii="Times New Roman" w:hAnsi="Times New Roman" w:cs="Times New Roman"/>
          <w:kern w:val="0"/>
        </w:rPr>
        <w:t>(Bennett, Sias, Starks, 2003; Dahlquist and Robertsson, 2001; Falkenstein, 1996).</w:t>
      </w:r>
    </w:p>
    <w:p w:rsidR="00523FB7" w:rsidRDefault="00523FB7" w:rsidP="00CC31B9">
      <w:pPr>
        <w:snapToGrid w:val="0"/>
        <w:spacing w:line="480" w:lineRule="auto"/>
        <w:ind w:firstLine="480"/>
        <w:jc w:val="both"/>
        <w:rPr>
          <w:rFonts w:ascii="Times New Roman" w:hAnsi="Times New Roman" w:cs="Times New Roman"/>
          <w:color w:val="000000"/>
          <w:kern w:val="0"/>
        </w:rPr>
      </w:pPr>
      <w:r w:rsidRPr="003410DE">
        <w:rPr>
          <w:rFonts w:ascii="Times New Roman" w:hAnsi="Times New Roman" w:cs="Times New Roman"/>
          <w:color w:val="000000"/>
          <w:kern w:val="0"/>
        </w:rPr>
        <w:t xml:space="preserve">Although </w:t>
      </w:r>
      <w:r w:rsidRPr="00F1544A">
        <w:rPr>
          <w:rFonts w:ascii="Times New Roman" w:hAnsi="Times New Roman" w:cs="Times New Roman"/>
          <w:color w:val="000000"/>
          <w:kern w:val="0"/>
        </w:rPr>
        <w:t>Frazzini and Lamont (2008) and Sharma</w:t>
      </w:r>
      <w:r>
        <w:rPr>
          <w:rFonts w:ascii="Times New Roman" w:hAnsi="Times New Roman" w:cs="Times New Roman"/>
        </w:rPr>
        <w:t xml:space="preserve"> et al. </w:t>
      </w:r>
      <w:r w:rsidRPr="00F1544A">
        <w:rPr>
          <w:rFonts w:ascii="Times New Roman" w:hAnsi="Times New Roman" w:cs="Times New Roman"/>
          <w:color w:val="000000"/>
          <w:kern w:val="0"/>
        </w:rPr>
        <w:t>(2008)</w:t>
      </w:r>
      <w:r w:rsidRPr="003410DE">
        <w:rPr>
          <w:rFonts w:ascii="Times New Roman" w:hAnsi="Times New Roman" w:cs="Times New Roman"/>
          <w:color w:val="000000"/>
          <w:kern w:val="0"/>
        </w:rPr>
        <w:t xml:space="preserve"> indicate that institutions tend to buy growth stocks and sell value stocks, they do not </w:t>
      </w:r>
      <w:r>
        <w:rPr>
          <w:rFonts w:ascii="Times New Roman" w:hAnsi="Times New Roman" w:cs="Times New Roman"/>
          <w:color w:val="000000"/>
          <w:kern w:val="0"/>
        </w:rPr>
        <w:t>explore</w:t>
      </w:r>
      <w:r w:rsidRPr="003410DE">
        <w:rPr>
          <w:rFonts w:ascii="Times New Roman" w:hAnsi="Times New Roman" w:cs="Times New Roman"/>
          <w:color w:val="000000"/>
          <w:kern w:val="0"/>
        </w:rPr>
        <w:t xml:space="preserve"> </w:t>
      </w:r>
      <w:r>
        <w:rPr>
          <w:rFonts w:ascii="Times New Roman" w:hAnsi="Times New Roman" w:cs="Times New Roman"/>
          <w:color w:val="000000"/>
          <w:kern w:val="0"/>
        </w:rPr>
        <w:t>whether</w:t>
      </w:r>
      <w:r w:rsidRPr="003410DE">
        <w:rPr>
          <w:rFonts w:ascii="Times New Roman" w:hAnsi="Times New Roman" w:cs="Times New Roman"/>
          <w:color w:val="000000"/>
          <w:kern w:val="0"/>
        </w:rPr>
        <w:t xml:space="preserve"> </w:t>
      </w:r>
      <w:r w:rsidRPr="003410DE">
        <w:rPr>
          <w:rFonts w:ascii="Times New Roman" w:hAnsi="Times New Roman" w:cs="Times New Roman"/>
        </w:rPr>
        <w:t xml:space="preserve">trading preference </w:t>
      </w:r>
      <w:r>
        <w:rPr>
          <w:rFonts w:ascii="Times New Roman" w:hAnsi="Times New Roman" w:cs="Times New Roman"/>
        </w:rPr>
        <w:t>by</w:t>
      </w:r>
      <w:r w:rsidRPr="003410DE">
        <w:rPr>
          <w:rFonts w:ascii="Times New Roman" w:hAnsi="Times New Roman" w:cs="Times New Roman"/>
        </w:rPr>
        <w:t xml:space="preserve"> institutional investor drives the value</w:t>
      </w:r>
      <w:r>
        <w:rPr>
          <w:rFonts w:ascii="Times New Roman" w:hAnsi="Times New Roman" w:cs="Times New Roman"/>
        </w:rPr>
        <w:t xml:space="preserve"> and size</w:t>
      </w:r>
      <w:r w:rsidRPr="003410DE">
        <w:rPr>
          <w:rFonts w:ascii="Times New Roman" w:hAnsi="Times New Roman" w:cs="Times New Roman"/>
        </w:rPr>
        <w:t xml:space="preserve"> premium</w:t>
      </w:r>
      <w:r>
        <w:rPr>
          <w:rFonts w:ascii="Times New Roman" w:hAnsi="Times New Roman" w:cs="Times New Roman"/>
        </w:rPr>
        <w:t>s</w:t>
      </w:r>
      <w:r w:rsidRPr="003410DE">
        <w:rPr>
          <w:rFonts w:ascii="Times New Roman" w:hAnsi="Times New Roman" w:cs="Times New Roman"/>
        </w:rPr>
        <w:t xml:space="preserve">. </w:t>
      </w:r>
      <w:r w:rsidRPr="00F1544A">
        <w:rPr>
          <w:rFonts w:ascii="Times New Roman" w:hAnsi="Times New Roman" w:cs="Times New Roman"/>
        </w:rPr>
        <w:t>Jiang (2010) s</w:t>
      </w:r>
      <w:r w:rsidRPr="003410DE">
        <w:rPr>
          <w:rFonts w:ascii="Times New Roman" w:hAnsi="Times New Roman" w:cs="Times New Roman"/>
        </w:rPr>
        <w:t xml:space="preserve">hows that institutions tend to buy (sell) shares in response to positive (negative) intangible information </w:t>
      </w:r>
      <w:r w:rsidRPr="00F1544A">
        <w:rPr>
          <w:rFonts w:ascii="Times New Roman" w:hAnsi="Times New Roman" w:cs="Times New Roman"/>
        </w:rPr>
        <w:t>(</w:t>
      </w:r>
      <w:bookmarkStart w:id="0" w:name="OLE_LINK1"/>
      <w:bookmarkStart w:id="1" w:name="OLE_LINK2"/>
      <w:r w:rsidRPr="00F1544A">
        <w:rPr>
          <w:rFonts w:ascii="Times New Roman" w:hAnsi="Times New Roman" w:cs="Times New Roman"/>
        </w:rPr>
        <w:t>Daniel and Titman, 2006</w:t>
      </w:r>
      <w:bookmarkEnd w:id="0"/>
      <w:bookmarkEnd w:id="1"/>
      <w:r w:rsidRPr="00F1544A">
        <w:rPr>
          <w:rFonts w:ascii="Times New Roman" w:hAnsi="Times New Roman" w:cs="Times New Roman"/>
        </w:rPr>
        <w:t>)</w:t>
      </w:r>
      <w:r w:rsidRPr="003410DE">
        <w:rPr>
          <w:rFonts w:ascii="Times New Roman" w:hAnsi="Times New Roman" w:cs="Times New Roman"/>
        </w:rPr>
        <w:t xml:space="preserve"> and that the reversal of the intangible return is most pronounced among stocks</w:t>
      </w:r>
      <w:r>
        <w:rPr>
          <w:rFonts w:ascii="Times New Roman" w:hAnsi="Times New Roman" w:cs="Times New Roman"/>
        </w:rPr>
        <w:t xml:space="preserve"> traded by</w:t>
      </w:r>
      <w:r w:rsidRPr="003410DE">
        <w:rPr>
          <w:rFonts w:ascii="Times New Roman" w:hAnsi="Times New Roman" w:cs="Times New Roman"/>
        </w:rPr>
        <w:t xml:space="preserve"> a large proportion of active institutions in the direction </w:t>
      </w:r>
      <w:r>
        <w:rPr>
          <w:rFonts w:ascii="Times New Roman" w:hAnsi="Times New Roman" w:cs="Times New Roman"/>
        </w:rPr>
        <w:t>of intangible information. He</w:t>
      </w:r>
      <w:r w:rsidRPr="003410DE">
        <w:rPr>
          <w:rFonts w:ascii="Times New Roman" w:hAnsi="Times New Roman" w:cs="Times New Roman"/>
        </w:rPr>
        <w:t xml:space="preserve"> finds that the </w:t>
      </w:r>
      <w:r w:rsidRPr="00D5561B">
        <w:rPr>
          <w:rFonts w:ascii="Times New Roman" w:hAnsi="Times New Roman" w:cs="Times New Roman"/>
          <w:i/>
          <w:color w:val="000000"/>
          <w:kern w:val="0"/>
        </w:rPr>
        <w:t>BE/ME</w:t>
      </w:r>
      <w:r w:rsidRPr="003410DE">
        <w:rPr>
          <w:rFonts w:ascii="Times New Roman" w:hAnsi="Times New Roman" w:cs="Times New Roman"/>
          <w:color w:val="000000"/>
          <w:kern w:val="0"/>
        </w:rPr>
        <w:t xml:space="preserve"> effect is large and significant in stocks </w:t>
      </w:r>
      <w:r>
        <w:rPr>
          <w:rFonts w:ascii="Times New Roman" w:hAnsi="Times New Roman" w:cs="Times New Roman"/>
          <w:color w:val="000000"/>
          <w:kern w:val="0"/>
        </w:rPr>
        <w:t>with</w:t>
      </w:r>
      <w:r w:rsidRPr="003410DE">
        <w:rPr>
          <w:rFonts w:ascii="Times New Roman" w:hAnsi="Times New Roman" w:cs="Times New Roman"/>
          <w:color w:val="000000"/>
          <w:kern w:val="0"/>
        </w:rPr>
        <w:t xml:space="preserve"> intense past institutional trading but</w:t>
      </w:r>
      <w:r>
        <w:rPr>
          <w:rFonts w:ascii="Times New Roman" w:hAnsi="Times New Roman" w:cs="Times New Roman"/>
          <w:color w:val="000000"/>
          <w:kern w:val="0"/>
        </w:rPr>
        <w:t xml:space="preserve"> is</w:t>
      </w:r>
      <w:r w:rsidRPr="003410DE">
        <w:rPr>
          <w:rFonts w:ascii="Times New Roman" w:hAnsi="Times New Roman" w:cs="Times New Roman"/>
          <w:color w:val="000000"/>
          <w:kern w:val="0"/>
        </w:rPr>
        <w:t xml:space="preserve"> </w:t>
      </w:r>
      <w:r>
        <w:rPr>
          <w:rFonts w:ascii="Times New Roman" w:hAnsi="Times New Roman" w:cs="Times New Roman"/>
          <w:color w:val="000000"/>
          <w:kern w:val="0"/>
        </w:rPr>
        <w:t xml:space="preserve">almost </w:t>
      </w:r>
      <w:r w:rsidRPr="003410DE">
        <w:rPr>
          <w:rFonts w:ascii="Times New Roman" w:hAnsi="Times New Roman" w:cs="Times New Roman"/>
          <w:color w:val="000000"/>
          <w:kern w:val="0"/>
        </w:rPr>
        <w:t xml:space="preserve">nonexistent in stocks </w:t>
      </w:r>
      <w:r>
        <w:rPr>
          <w:rFonts w:ascii="Times New Roman" w:hAnsi="Times New Roman" w:cs="Times New Roman"/>
          <w:color w:val="000000"/>
          <w:kern w:val="0"/>
        </w:rPr>
        <w:t>with</w:t>
      </w:r>
      <w:r w:rsidRPr="003410DE">
        <w:rPr>
          <w:rFonts w:ascii="Times New Roman" w:hAnsi="Times New Roman" w:cs="Times New Roman"/>
          <w:color w:val="000000"/>
          <w:kern w:val="0"/>
        </w:rPr>
        <w:t xml:space="preserve"> moderate institutional trading. </w:t>
      </w:r>
      <w:r>
        <w:rPr>
          <w:rFonts w:ascii="Times New Roman" w:hAnsi="Times New Roman" w:cs="Times New Roman"/>
          <w:color w:val="000000"/>
          <w:kern w:val="0"/>
        </w:rPr>
        <w:t>T</w:t>
      </w:r>
      <w:r w:rsidRPr="003410DE">
        <w:rPr>
          <w:rFonts w:ascii="Times New Roman" w:hAnsi="Times New Roman" w:cs="Times New Roman"/>
          <w:color w:val="000000"/>
          <w:kern w:val="0"/>
        </w:rPr>
        <w:t>he tendency of institutions to trade in the direction of intangible information exacerbates price overreaction, thereby contributing to the value premium.</w:t>
      </w:r>
      <w:r>
        <w:rPr>
          <w:rFonts w:ascii="Times New Roman" w:hAnsi="Times New Roman" w:cs="Times New Roman"/>
          <w:color w:val="000000"/>
          <w:kern w:val="0"/>
        </w:rPr>
        <w:t xml:space="preserve"> </w:t>
      </w:r>
    </w:p>
    <w:p w:rsidR="00523FB7" w:rsidRDefault="00523FB7" w:rsidP="00CC31B9">
      <w:pPr>
        <w:snapToGrid w:val="0"/>
        <w:spacing w:line="480" w:lineRule="auto"/>
        <w:ind w:firstLine="480"/>
        <w:jc w:val="both"/>
        <w:rPr>
          <w:rFonts w:ascii="Times New Roman" w:hAnsi="Times New Roman" w:cs="Times New Roman"/>
        </w:rPr>
      </w:pPr>
      <w:r>
        <w:rPr>
          <w:rFonts w:ascii="Times New Roman" w:hAnsi="Times New Roman" w:cs="Times New Roman"/>
          <w:color w:val="000000"/>
          <w:kern w:val="0"/>
        </w:rPr>
        <w:t xml:space="preserve">Even if the investigation of </w:t>
      </w:r>
      <w:r w:rsidRPr="00F1544A">
        <w:rPr>
          <w:rFonts w:ascii="Times New Roman" w:hAnsi="Times New Roman" w:cs="Times New Roman"/>
        </w:rPr>
        <w:t xml:space="preserve">Jiang (2010) </w:t>
      </w:r>
      <w:r w:rsidRPr="00F1544A">
        <w:rPr>
          <w:rFonts w:ascii="Times New Roman" w:hAnsi="Times New Roman" w:cs="Times New Roman"/>
          <w:color w:val="000000"/>
          <w:kern w:val="0"/>
        </w:rPr>
        <w:t>i</w:t>
      </w:r>
      <w:r>
        <w:rPr>
          <w:rFonts w:ascii="Times New Roman" w:hAnsi="Times New Roman" w:cs="Times New Roman"/>
          <w:color w:val="000000"/>
          <w:kern w:val="0"/>
        </w:rPr>
        <w:t xml:space="preserve">s qualitatively </w:t>
      </w:r>
      <w:r>
        <w:rPr>
          <w:rFonts w:ascii="Times New Roman" w:hAnsi="Times New Roman" w:cs="Times New Roman"/>
        </w:rPr>
        <w:t xml:space="preserve">close to ours, several </w:t>
      </w:r>
      <w:r w:rsidRPr="00F02727">
        <w:rPr>
          <w:rFonts w:ascii="Times New Roman" w:hAnsi="Times New Roman" w:cs="Times New Roman"/>
          <w:color w:val="000000"/>
          <w:kern w:val="0"/>
        </w:rPr>
        <w:t xml:space="preserve">differences </w:t>
      </w:r>
      <w:r>
        <w:rPr>
          <w:rFonts w:ascii="Times New Roman" w:hAnsi="Times New Roman" w:cs="Times New Roman"/>
          <w:color w:val="000000"/>
          <w:kern w:val="0"/>
        </w:rPr>
        <w:t xml:space="preserve">exist </w:t>
      </w:r>
      <w:r w:rsidRPr="00F02727">
        <w:rPr>
          <w:rFonts w:ascii="Times New Roman" w:hAnsi="Times New Roman" w:cs="Times New Roman"/>
          <w:color w:val="000000"/>
          <w:kern w:val="0"/>
        </w:rPr>
        <w:t xml:space="preserve">between </w:t>
      </w:r>
      <w:r w:rsidRPr="003410DE">
        <w:rPr>
          <w:rFonts w:ascii="Times New Roman" w:hAnsi="Times New Roman" w:cs="Times New Roman"/>
        </w:rPr>
        <w:t>Jiang</w:t>
      </w:r>
      <w:r w:rsidRPr="00F02727">
        <w:rPr>
          <w:rFonts w:ascii="Times New Roman" w:hAnsi="Times New Roman" w:cs="Times New Roman"/>
          <w:color w:val="000066"/>
          <w:kern w:val="0"/>
        </w:rPr>
        <w:t xml:space="preserve"> </w:t>
      </w:r>
      <w:r w:rsidRPr="00F02727">
        <w:rPr>
          <w:rFonts w:ascii="Times New Roman" w:hAnsi="Times New Roman" w:cs="Times New Roman"/>
          <w:color w:val="000000"/>
          <w:kern w:val="0"/>
        </w:rPr>
        <w:t xml:space="preserve">and </w:t>
      </w:r>
      <w:r>
        <w:rPr>
          <w:rFonts w:ascii="Times New Roman" w:hAnsi="Times New Roman" w:cs="Times New Roman"/>
          <w:color w:val="000000"/>
          <w:kern w:val="0"/>
        </w:rPr>
        <w:t>this paper</w:t>
      </w:r>
      <w:r w:rsidRPr="00F02727">
        <w:rPr>
          <w:rFonts w:ascii="Times New Roman" w:hAnsi="Times New Roman" w:cs="Times New Roman"/>
          <w:color w:val="000000"/>
          <w:kern w:val="0"/>
        </w:rPr>
        <w:t>.</w:t>
      </w:r>
      <w:r>
        <w:rPr>
          <w:rFonts w:ascii="Times New Roman" w:hAnsi="Times New Roman" w:cs="Times New Roman"/>
          <w:color w:val="000000"/>
          <w:kern w:val="0"/>
        </w:rPr>
        <w:t xml:space="preserve"> First, </w:t>
      </w:r>
      <w:r w:rsidRPr="003410DE">
        <w:rPr>
          <w:rFonts w:ascii="Times New Roman" w:hAnsi="Times New Roman" w:cs="Times New Roman"/>
        </w:rPr>
        <w:t xml:space="preserve">Jiang </w:t>
      </w:r>
      <w:r w:rsidRPr="00F02727">
        <w:rPr>
          <w:rFonts w:ascii="Times New Roman" w:hAnsi="Times New Roman" w:cs="Times New Roman"/>
          <w:color w:val="000000"/>
          <w:kern w:val="0"/>
        </w:rPr>
        <w:t>focus</w:t>
      </w:r>
      <w:r>
        <w:rPr>
          <w:rFonts w:ascii="Times New Roman" w:hAnsi="Times New Roman" w:cs="Times New Roman"/>
          <w:color w:val="000000"/>
          <w:kern w:val="0"/>
        </w:rPr>
        <w:t>es</w:t>
      </w:r>
      <w:r w:rsidRPr="00F02727">
        <w:rPr>
          <w:rFonts w:ascii="Times New Roman" w:hAnsi="Times New Roman" w:cs="Times New Roman"/>
          <w:color w:val="000000"/>
          <w:kern w:val="0"/>
        </w:rPr>
        <w:t xml:space="preserve"> on</w:t>
      </w:r>
      <w:r>
        <w:rPr>
          <w:rFonts w:ascii="Times New Roman" w:hAnsi="Times New Roman" w:cs="Times New Roman"/>
          <w:color w:val="000000"/>
          <w:kern w:val="0"/>
        </w:rPr>
        <w:t xml:space="preserve"> the effect of institutional trading behavior on the </w:t>
      </w:r>
      <w:r w:rsidRPr="00D5561B">
        <w:rPr>
          <w:rFonts w:ascii="Times New Roman" w:hAnsi="Times New Roman" w:cs="Times New Roman"/>
          <w:i/>
        </w:rPr>
        <w:t>BE/ME</w:t>
      </w:r>
      <w:r w:rsidRPr="003410DE">
        <w:rPr>
          <w:rFonts w:ascii="Times New Roman" w:hAnsi="Times New Roman" w:cs="Times New Roman"/>
          <w:color w:val="000000"/>
          <w:kern w:val="0"/>
        </w:rPr>
        <w:t xml:space="preserve"> effect</w:t>
      </w:r>
      <w:r>
        <w:rPr>
          <w:rFonts w:ascii="Times New Roman" w:hAnsi="Times New Roman" w:cs="Times New Roman"/>
          <w:color w:val="000000"/>
          <w:kern w:val="0"/>
        </w:rPr>
        <w:t xml:space="preserve">, </w:t>
      </w:r>
      <w:r w:rsidRPr="00F02727">
        <w:rPr>
          <w:rFonts w:ascii="Times New Roman" w:hAnsi="Times New Roman" w:cs="Times New Roman"/>
          <w:color w:val="000000"/>
          <w:kern w:val="0"/>
        </w:rPr>
        <w:t>w</w:t>
      </w:r>
      <w:r>
        <w:rPr>
          <w:rFonts w:ascii="Times New Roman" w:hAnsi="Times New Roman" w:cs="Times New Roman"/>
          <w:color w:val="000000"/>
          <w:kern w:val="0"/>
        </w:rPr>
        <w:t xml:space="preserve">hereas this study sheds light on the effect of both institutional and individual trading behaviors on the </w:t>
      </w:r>
      <w:r w:rsidRPr="00D5561B">
        <w:rPr>
          <w:rFonts w:ascii="Times New Roman" w:hAnsi="Times New Roman" w:cs="Times New Roman"/>
          <w:i/>
        </w:rPr>
        <w:t>BE/ME</w:t>
      </w:r>
      <w:r>
        <w:rPr>
          <w:rFonts w:ascii="Times New Roman" w:hAnsi="Times New Roman" w:cs="Times New Roman"/>
          <w:color w:val="000000"/>
          <w:kern w:val="0"/>
        </w:rPr>
        <w:t xml:space="preserve"> and size premiums. Second, </w:t>
      </w:r>
      <w:r w:rsidRPr="003410DE">
        <w:rPr>
          <w:rFonts w:ascii="Times New Roman" w:hAnsi="Times New Roman" w:cs="Times New Roman"/>
        </w:rPr>
        <w:t>Jiang</w:t>
      </w:r>
      <w:r>
        <w:rPr>
          <w:rFonts w:ascii="Times New Roman" w:hAnsi="Times New Roman" w:cs="Times New Roman"/>
        </w:rPr>
        <w:t xml:space="preserve">’s results are based on a </w:t>
      </w:r>
      <w:smartTag w:uri="urn:schemas-microsoft-com:office:smarttags" w:element="country-region">
        <w:smartTag w:uri="urn:schemas-microsoft-com:office:smarttags" w:element="place">
          <w:r>
            <w:rPr>
              <w:rFonts w:ascii="Times New Roman" w:hAnsi="Times New Roman" w:cs="Times New Roman"/>
            </w:rPr>
            <w:t>US</w:t>
          </w:r>
        </w:smartTag>
      </w:smartTag>
      <w:r>
        <w:rPr>
          <w:rFonts w:ascii="Times New Roman" w:hAnsi="Times New Roman" w:cs="Times New Roman"/>
        </w:rPr>
        <w:t xml:space="preserve"> dataset, a widely used dataset. Conversely, we provide </w:t>
      </w:r>
      <w:r w:rsidRPr="00F02727">
        <w:rPr>
          <w:rFonts w:ascii="Times New Roman" w:hAnsi="Times New Roman" w:cs="Times New Roman"/>
          <w:kern w:val="0"/>
        </w:rPr>
        <w:t>out-of-sample evidence</w:t>
      </w:r>
      <w:r>
        <w:rPr>
          <w:rFonts w:ascii="Times New Roman" w:hAnsi="Times New Roman" w:cs="Times New Roman"/>
        </w:rPr>
        <w:t xml:space="preserve"> from the </w:t>
      </w:r>
      <w:smartTag w:uri="urn:schemas-microsoft-com:office:smarttags" w:element="country-region">
        <w:smartTag w:uri="urn:schemas-microsoft-com:office:smarttags" w:element="place">
          <w:r>
            <w:rPr>
              <w:rFonts w:ascii="Times New Roman" w:hAnsi="Times New Roman" w:cs="Times New Roman"/>
            </w:rPr>
            <w:t>Japan</w:t>
          </w:r>
        </w:smartTag>
      </w:smartTag>
      <w:r>
        <w:rPr>
          <w:rFonts w:ascii="Times New Roman" w:hAnsi="Times New Roman" w:cs="Times New Roman"/>
        </w:rPr>
        <w:t xml:space="preserve"> stock market, which</w:t>
      </w:r>
      <w:r w:rsidRPr="00847722">
        <w:rPr>
          <w:rFonts w:ascii="Times New Roman" w:hAnsi="Times New Roman" w:cs="Times New Roman"/>
          <w:kern w:val="0"/>
        </w:rPr>
        <w:t xml:space="preserve"> </w:t>
      </w:r>
      <w:r w:rsidRPr="00F02727">
        <w:rPr>
          <w:rFonts w:ascii="Times New Roman" w:hAnsi="Times New Roman" w:cs="Times New Roman"/>
          <w:kern w:val="0"/>
        </w:rPr>
        <w:t xml:space="preserve">is </w:t>
      </w:r>
      <w:r>
        <w:rPr>
          <w:rFonts w:ascii="Times New Roman" w:hAnsi="Times New Roman" w:cs="Times New Roman"/>
          <w:kern w:val="0"/>
        </w:rPr>
        <w:t>independent</w:t>
      </w:r>
      <w:r w:rsidRPr="00F02727">
        <w:rPr>
          <w:rFonts w:ascii="Times New Roman" w:hAnsi="Times New Roman" w:cs="Times New Roman"/>
          <w:kern w:val="0"/>
        </w:rPr>
        <w:t xml:space="preserve"> </w:t>
      </w:r>
      <w:r>
        <w:rPr>
          <w:rFonts w:ascii="Times New Roman" w:hAnsi="Times New Roman" w:cs="Times New Roman"/>
          <w:kern w:val="0"/>
        </w:rPr>
        <w:t>from</w:t>
      </w:r>
      <w:r w:rsidRPr="00F02727">
        <w:rPr>
          <w:rFonts w:ascii="Times New Roman" w:hAnsi="Times New Roman" w:cs="Times New Roman"/>
          <w:kern w:val="0"/>
        </w:rPr>
        <w:t xml:space="preserve"> data used in previous research</w:t>
      </w:r>
      <w:r>
        <w:rPr>
          <w:rFonts w:ascii="Times New Roman" w:hAnsi="Times New Roman" w:cs="Times New Roman"/>
          <w:kern w:val="0"/>
        </w:rPr>
        <w:t>.</w:t>
      </w:r>
      <w:r w:rsidRPr="00F02727">
        <w:rPr>
          <w:rFonts w:ascii="Times New Roman" w:hAnsi="Times New Roman" w:cs="Times New Roman"/>
          <w:kern w:val="0"/>
        </w:rPr>
        <w:t xml:space="preserve"> </w:t>
      </w:r>
      <w:r>
        <w:rPr>
          <w:rFonts w:ascii="Times New Roman" w:hAnsi="Times New Roman" w:cs="Times New Roman"/>
          <w:kern w:val="0"/>
        </w:rPr>
        <w:t>T</w:t>
      </w:r>
      <w:r w:rsidRPr="00F02727">
        <w:rPr>
          <w:rFonts w:ascii="Times New Roman" w:hAnsi="Times New Roman" w:cs="Times New Roman"/>
          <w:kern w:val="0"/>
        </w:rPr>
        <w:t>hus</w:t>
      </w:r>
      <w:r>
        <w:rPr>
          <w:rFonts w:ascii="Times New Roman" w:hAnsi="Times New Roman" w:cs="Times New Roman"/>
          <w:kern w:val="0"/>
        </w:rPr>
        <w:t>,</w:t>
      </w:r>
      <w:r w:rsidRPr="00F02727">
        <w:rPr>
          <w:rFonts w:ascii="Times New Roman" w:hAnsi="Times New Roman" w:cs="Times New Roman"/>
          <w:kern w:val="0"/>
        </w:rPr>
        <w:t xml:space="preserve"> </w:t>
      </w:r>
      <w:r>
        <w:rPr>
          <w:rFonts w:ascii="Times New Roman" w:hAnsi="Times New Roman" w:cs="Times New Roman"/>
          <w:kern w:val="0"/>
        </w:rPr>
        <w:t>we</w:t>
      </w:r>
      <w:r w:rsidRPr="00F02727">
        <w:rPr>
          <w:rFonts w:ascii="Times New Roman" w:hAnsi="Times New Roman" w:cs="Times New Roman"/>
          <w:kern w:val="0"/>
        </w:rPr>
        <w:t xml:space="preserve"> will </w:t>
      </w:r>
      <w:r>
        <w:rPr>
          <w:rFonts w:ascii="Times New Roman" w:hAnsi="Times New Roman" w:cs="Times New Roman"/>
          <w:kern w:val="0"/>
        </w:rPr>
        <w:t xml:space="preserve">avoid the possibility </w:t>
      </w:r>
      <w:r>
        <w:rPr>
          <w:rFonts w:ascii="Times-Roman" w:hAnsi="Times-Roman" w:cs="Times-Roman"/>
          <w:kern w:val="0"/>
        </w:rPr>
        <w:t xml:space="preserve">that some of them are significant in the </w:t>
      </w:r>
      <w:smartTag w:uri="urn:schemas-microsoft-com:office:smarttags" w:element="country-region">
        <w:smartTag w:uri="urn:schemas-microsoft-com:office:smarttags" w:element="place">
          <w:r>
            <w:rPr>
              <w:rFonts w:ascii="Times-Roman" w:hAnsi="Times-Roman" w:cs="Times-Roman"/>
              <w:kern w:val="0"/>
            </w:rPr>
            <w:t>US</w:t>
          </w:r>
        </w:smartTag>
      </w:smartTag>
      <w:r>
        <w:rPr>
          <w:rFonts w:ascii="Times-Roman" w:hAnsi="Times-Roman" w:cs="Times-Roman"/>
          <w:kern w:val="0"/>
        </w:rPr>
        <w:t xml:space="preserve"> market just by chance, that is, </w:t>
      </w:r>
      <w:r w:rsidRPr="00F02727">
        <w:rPr>
          <w:rFonts w:ascii="Times New Roman" w:hAnsi="Times New Roman" w:cs="Times New Roman"/>
          <w:kern w:val="0"/>
        </w:rPr>
        <w:t>data-snooping</w:t>
      </w:r>
      <w:r>
        <w:rPr>
          <w:rFonts w:ascii="Times New Roman" w:hAnsi="Times New Roman" w:cs="Times New Roman"/>
          <w:kern w:val="0"/>
        </w:rPr>
        <w:t xml:space="preserve"> bias</w:t>
      </w:r>
      <w:r w:rsidRPr="00F02727">
        <w:rPr>
          <w:rFonts w:ascii="Times New Roman" w:hAnsi="Times New Roman" w:cs="Times New Roman"/>
          <w:kern w:val="0"/>
        </w:rPr>
        <w:t>.</w:t>
      </w:r>
      <w:r>
        <w:rPr>
          <w:rFonts w:ascii="Times New Roman" w:hAnsi="Times New Roman" w:cs="Times New Roman"/>
          <w:kern w:val="0"/>
        </w:rPr>
        <w:t xml:space="preserve"> There are many significant differences between the </w:t>
      </w:r>
      <w:smartTag w:uri="urn:schemas-microsoft-com:office:smarttags" w:element="State">
        <w:smartTag w:uri="urn:schemas-microsoft-com:office:smarttags" w:element="country-region">
          <w:r>
            <w:rPr>
              <w:rFonts w:ascii="Times New Roman" w:hAnsi="Times New Roman" w:cs="Times New Roman"/>
              <w:kern w:val="0"/>
            </w:rPr>
            <w:t>US</w:t>
          </w:r>
        </w:smartTag>
      </w:smartTag>
      <w:r>
        <w:rPr>
          <w:rFonts w:ascii="Times New Roman" w:hAnsi="Times New Roman" w:cs="Times New Roman"/>
          <w:kern w:val="0"/>
        </w:rPr>
        <w:t xml:space="preserve"> market and the </w:t>
      </w:r>
      <w:smartTag w:uri="urn:schemas-microsoft-com:office:smarttags" w:element="State">
        <w:smartTag w:uri="urn:schemas-microsoft-com:office:smarttags" w:element="country-region">
          <w:smartTag w:uri="urn:schemas-microsoft-com:office:smarttags" w:element="place">
            <w:r>
              <w:rPr>
                <w:rFonts w:ascii="Times New Roman" w:hAnsi="Times New Roman" w:cs="Times New Roman"/>
                <w:kern w:val="0"/>
              </w:rPr>
              <w:t>Japan</w:t>
            </w:r>
          </w:smartTag>
        </w:smartTag>
      </w:smartTag>
      <w:r>
        <w:rPr>
          <w:rFonts w:ascii="Times New Roman" w:hAnsi="Times New Roman" w:cs="Times New Roman"/>
          <w:kern w:val="0"/>
        </w:rPr>
        <w:t xml:space="preserve"> market, </w:t>
      </w:r>
      <w:r w:rsidRPr="00D17EAA">
        <w:rPr>
          <w:rFonts w:ascii="Times New Roman" w:eastAsia="AdvTimes" w:hAnsi="Times New Roman" w:cs="Times New Roman"/>
          <w:kern w:val="0"/>
        </w:rPr>
        <w:t>such as</w:t>
      </w:r>
      <w:r>
        <w:rPr>
          <w:rFonts w:ascii="Times New Roman" w:eastAsia="AdvTimes" w:hAnsi="Times New Roman" w:cs="Times New Roman"/>
          <w:kern w:val="0"/>
        </w:rPr>
        <w:t xml:space="preserve"> </w:t>
      </w:r>
      <w:r w:rsidRPr="00D17EAA">
        <w:rPr>
          <w:rFonts w:ascii="Times New Roman" w:eastAsia="AdvTimes" w:hAnsi="Times New Roman" w:cs="Times New Roman"/>
          <w:kern w:val="0"/>
        </w:rPr>
        <w:t>cultural backgrounds and institutional structures.</w:t>
      </w:r>
      <w:r>
        <w:rPr>
          <w:rFonts w:ascii="Times New Roman" w:hAnsi="Times New Roman" w:cs="Times New Roman"/>
          <w:kern w:val="0"/>
        </w:rPr>
        <w:t xml:space="preserve"> For example, </w:t>
      </w:r>
      <w:r w:rsidRPr="00F1544A">
        <w:rPr>
          <w:rFonts w:ascii="Times New Roman" w:hAnsi="Times New Roman" w:cs="Times New Roman"/>
        </w:rPr>
        <w:t>Chui et al. (2010)</w:t>
      </w:r>
      <w:r w:rsidRPr="00D17EAA">
        <w:rPr>
          <w:rFonts w:ascii="Times New Roman" w:hAnsi="Times New Roman" w:cs="Times New Roman"/>
        </w:rPr>
        <w:t xml:space="preserve"> provide </w:t>
      </w:r>
      <w:r>
        <w:rPr>
          <w:rFonts w:ascii="Times New Roman" w:hAnsi="Times New Roman" w:cs="Times New Roman"/>
        </w:rPr>
        <w:t>evi</w:t>
      </w:r>
      <w:r w:rsidRPr="00D17EAA">
        <w:rPr>
          <w:rFonts w:ascii="Times New Roman" w:hAnsi="Times New Roman" w:cs="Times New Roman"/>
        </w:rPr>
        <w:t>dence that overconfidence and self-attr</w:t>
      </w:r>
      <w:r>
        <w:rPr>
          <w:rFonts w:ascii="Times New Roman" w:hAnsi="Times New Roman" w:cs="Times New Roman"/>
        </w:rPr>
        <w:t>ibution are lower in less indivi</w:t>
      </w:r>
      <w:r w:rsidRPr="00D17EAA">
        <w:rPr>
          <w:rFonts w:ascii="Times New Roman" w:hAnsi="Times New Roman" w:cs="Times New Roman"/>
        </w:rPr>
        <w:t xml:space="preserve">dualistic cultures like </w:t>
      </w:r>
      <w:smartTag w:uri="urn:schemas-microsoft-com:office:smarttags" w:element="country-region">
        <w:smartTag w:uri="urn:schemas-microsoft-com:office:smarttags" w:element="place">
          <w:r w:rsidRPr="00D17EAA">
            <w:rPr>
              <w:rFonts w:ascii="Times New Roman" w:hAnsi="Times New Roman" w:cs="Times New Roman"/>
            </w:rPr>
            <w:t>Japan</w:t>
          </w:r>
        </w:smartTag>
      </w:smartTag>
      <w:r>
        <w:rPr>
          <w:rFonts w:ascii="Times New Roman" w:hAnsi="Times New Roman" w:cs="Times New Roman"/>
        </w:rPr>
        <w:t>,</w:t>
      </w:r>
      <w:r w:rsidRPr="00D17EAA">
        <w:rPr>
          <w:rFonts w:ascii="Times New Roman" w:hAnsi="Times New Roman" w:cs="Times New Roman"/>
        </w:rPr>
        <w:t xml:space="preserve"> leading to lower momentum profits.</w:t>
      </w:r>
      <w:r>
        <w:rPr>
          <w:rFonts w:ascii="Times New Roman" w:hAnsi="Times New Roman" w:cs="Times New Roman"/>
        </w:rPr>
        <w:t xml:space="preserve"> Plausibly, the trading preference of institutional investors and/or individual investors in </w:t>
      </w:r>
      <w:smartTag w:uri="urn:schemas-microsoft-com:office:smarttags" w:element="country-region">
        <w:r>
          <w:rPr>
            <w:rFonts w:ascii="Times New Roman" w:hAnsi="Times New Roman" w:cs="Times New Roman"/>
          </w:rPr>
          <w:t>Japan</w:t>
        </w:r>
      </w:smartTag>
      <w:r>
        <w:rPr>
          <w:rFonts w:ascii="Times New Roman" w:hAnsi="Times New Roman" w:cs="Times New Roman"/>
        </w:rPr>
        <w:t xml:space="preserve"> is different from that of the </w:t>
      </w:r>
      <w:smartTag w:uri="urn:schemas-microsoft-com:office:smarttags" w:element="country-region">
        <w:smartTag w:uri="urn:schemas-microsoft-com:office:smarttags" w:element="place">
          <w:r>
            <w:rPr>
              <w:rFonts w:ascii="Times New Roman" w:hAnsi="Times New Roman" w:cs="Times New Roman"/>
            </w:rPr>
            <w:t>US</w:t>
          </w:r>
        </w:smartTag>
      </w:smartTag>
      <w:r>
        <w:rPr>
          <w:rFonts w:ascii="Times New Roman" w:hAnsi="Times New Roman" w:cs="Times New Roman"/>
        </w:rPr>
        <w:t xml:space="preserve">. Moreover, </w:t>
      </w:r>
      <w:r w:rsidRPr="00F1544A">
        <w:rPr>
          <w:rFonts w:ascii="Times New Roman" w:hAnsi="Times New Roman" w:cs="Times New Roman"/>
          <w:color w:val="000000"/>
        </w:rPr>
        <w:t>Daniel</w:t>
      </w:r>
      <w:r>
        <w:rPr>
          <w:rFonts w:ascii="Times New Roman" w:hAnsi="Times New Roman" w:cs="Times New Roman"/>
        </w:rPr>
        <w:t xml:space="preserve"> et al. </w:t>
      </w:r>
      <w:r w:rsidRPr="00F1544A">
        <w:rPr>
          <w:rFonts w:ascii="Times New Roman" w:hAnsi="Times New Roman" w:cs="Times New Roman"/>
          <w:color w:val="000000"/>
        </w:rPr>
        <w:t>(2001)</w:t>
      </w:r>
      <w:r>
        <w:rPr>
          <w:rFonts w:ascii="Times New Roman" w:hAnsi="Times New Roman" w:cs="Times New Roman"/>
          <w:color w:val="000000"/>
        </w:rPr>
        <w:t xml:space="preserve"> show that t</w:t>
      </w:r>
      <w:r w:rsidRPr="00D17EAA">
        <w:rPr>
          <w:rFonts w:ascii="Times New Roman" w:hAnsi="Times New Roman" w:cs="Times New Roman"/>
          <w:color w:val="000000"/>
        </w:rPr>
        <w:t xml:space="preserve">he stock returns </w:t>
      </w:r>
      <w:r>
        <w:rPr>
          <w:rFonts w:ascii="Times New Roman" w:hAnsi="Times New Roman" w:cs="Times New Roman"/>
          <w:color w:val="000000"/>
        </w:rPr>
        <w:t xml:space="preserve">in </w:t>
      </w:r>
      <w:smartTag w:uri="urn:schemas-microsoft-com:office:smarttags" w:element="country-region">
        <w:r>
          <w:rPr>
            <w:rFonts w:ascii="Times New Roman" w:hAnsi="Times New Roman" w:cs="Times New Roman"/>
            <w:color w:val="000000"/>
          </w:rPr>
          <w:t>Japan</w:t>
        </w:r>
      </w:smartTag>
      <w:r>
        <w:rPr>
          <w:rFonts w:ascii="Times New Roman" w:hAnsi="Times New Roman" w:cs="Times New Roman"/>
          <w:color w:val="000000"/>
        </w:rPr>
        <w:t xml:space="preserve"> </w:t>
      </w:r>
      <w:r w:rsidRPr="00D17EAA">
        <w:rPr>
          <w:rFonts w:ascii="Times New Roman" w:hAnsi="Times New Roman" w:cs="Times New Roman"/>
          <w:color w:val="000000"/>
        </w:rPr>
        <w:t xml:space="preserve">are more closely related to the </w:t>
      </w:r>
      <w:r w:rsidRPr="00D5561B">
        <w:rPr>
          <w:rFonts w:ascii="Times New Roman" w:hAnsi="Times New Roman" w:cs="Times New Roman"/>
          <w:i/>
        </w:rPr>
        <w:t>BE/ME</w:t>
      </w:r>
      <w:r>
        <w:rPr>
          <w:rFonts w:ascii="Times New Roman" w:hAnsi="Times New Roman" w:cs="Times New Roman"/>
          <w:color w:val="000000"/>
        </w:rPr>
        <w:t xml:space="preserve"> than to the return/</w:t>
      </w:r>
      <w:r w:rsidRPr="00D5561B">
        <w:rPr>
          <w:rFonts w:ascii="Times New Roman" w:hAnsi="Times New Roman" w:cs="Times New Roman"/>
          <w:i/>
        </w:rPr>
        <w:t>BE/ME</w:t>
      </w:r>
      <w:r>
        <w:rPr>
          <w:rFonts w:ascii="Times New Roman" w:hAnsi="Times New Roman" w:cs="Times New Roman"/>
          <w:color w:val="000000"/>
        </w:rPr>
        <w:t xml:space="preserve"> relation in the </w:t>
      </w:r>
      <w:smartTag w:uri="urn:schemas-microsoft-com:office:smarttags" w:element="country-region">
        <w:smartTag w:uri="urn:schemas-microsoft-com:office:smarttags" w:element="place">
          <w:r>
            <w:rPr>
              <w:rFonts w:ascii="Times New Roman" w:hAnsi="Times New Roman" w:cs="Times New Roman"/>
              <w:color w:val="000000"/>
            </w:rPr>
            <w:t>US</w:t>
          </w:r>
        </w:smartTag>
      </w:smartTag>
      <w:r>
        <w:rPr>
          <w:rFonts w:ascii="Times New Roman" w:hAnsi="Times New Roman" w:cs="Times New Roman"/>
          <w:color w:val="000000"/>
        </w:rPr>
        <w:t xml:space="preserve">. </w:t>
      </w:r>
      <w:r w:rsidRPr="00D17EAA">
        <w:rPr>
          <w:rFonts w:ascii="Times New Roman" w:eastAsia="AdvTimes" w:hAnsi="Times New Roman" w:cs="Times New Roman"/>
          <w:kern w:val="0"/>
        </w:rPr>
        <w:t>Thus,</w:t>
      </w:r>
      <w:r>
        <w:rPr>
          <w:rFonts w:ascii="Times New Roman" w:eastAsia="AdvTimes" w:hAnsi="Times New Roman" w:cs="Times New Roman"/>
          <w:kern w:val="0"/>
        </w:rPr>
        <w:t xml:space="preserve"> a</w:t>
      </w:r>
      <w:r w:rsidRPr="00D17EAA">
        <w:rPr>
          <w:rFonts w:ascii="Times New Roman" w:eastAsia="AdvTimes" w:hAnsi="Times New Roman" w:cs="Times New Roman"/>
          <w:kern w:val="0"/>
        </w:rPr>
        <w:t>s the world’s second largest in</w:t>
      </w:r>
      <w:r>
        <w:rPr>
          <w:rFonts w:ascii="Times New Roman" w:eastAsia="AdvTimes" w:hAnsi="Times New Roman" w:cs="Times New Roman"/>
          <w:kern w:val="0"/>
        </w:rPr>
        <w:t xml:space="preserve"> </w:t>
      </w:r>
      <w:r w:rsidRPr="00D17EAA">
        <w:rPr>
          <w:rFonts w:ascii="Times New Roman" w:eastAsia="AdvTimes" w:hAnsi="Times New Roman" w:cs="Times New Roman"/>
          <w:kern w:val="0"/>
        </w:rPr>
        <w:t>terms of market capitalization</w:t>
      </w:r>
      <w:r>
        <w:rPr>
          <w:rFonts w:ascii="Times New Roman" w:eastAsia="AdvTimes" w:hAnsi="Times New Roman" w:cs="Times New Roman"/>
          <w:kern w:val="0"/>
        </w:rPr>
        <w:t>,</w:t>
      </w:r>
      <w:r w:rsidRPr="00D17EAA">
        <w:rPr>
          <w:rFonts w:ascii="Times New Roman" w:eastAsia="AdvTimes" w:hAnsi="Times New Roman" w:cs="Times New Roman"/>
          <w:kern w:val="0"/>
        </w:rPr>
        <w:t xml:space="preserve"> the Japanese data represent a good independent sample</w:t>
      </w:r>
      <w:r>
        <w:rPr>
          <w:rFonts w:ascii="Times New Roman" w:eastAsia="AdvTimes" w:hAnsi="Times New Roman" w:cs="Times New Roman"/>
          <w:kern w:val="0"/>
        </w:rPr>
        <w:t xml:space="preserve"> </w:t>
      </w:r>
      <w:r w:rsidRPr="00D17EAA">
        <w:rPr>
          <w:rFonts w:ascii="Times New Roman" w:eastAsia="AdvTimes" w:hAnsi="Times New Roman" w:cs="Times New Roman"/>
          <w:kern w:val="0"/>
        </w:rPr>
        <w:t xml:space="preserve">that </w:t>
      </w:r>
      <w:r>
        <w:rPr>
          <w:rFonts w:ascii="Times New Roman" w:eastAsia="AdvTimes" w:hAnsi="Times New Roman" w:cs="Times New Roman"/>
          <w:kern w:val="0"/>
        </w:rPr>
        <w:t>enables</w:t>
      </w:r>
      <w:r w:rsidRPr="00D17EAA">
        <w:rPr>
          <w:rFonts w:ascii="Times New Roman" w:eastAsia="AdvTimes" w:hAnsi="Times New Roman" w:cs="Times New Roman"/>
          <w:kern w:val="0"/>
        </w:rPr>
        <w:t xml:space="preserve"> </w:t>
      </w:r>
      <w:r>
        <w:rPr>
          <w:rFonts w:ascii="Times New Roman" w:eastAsia="AdvTimes" w:hAnsi="Times New Roman" w:cs="Times New Roman"/>
          <w:kern w:val="0"/>
        </w:rPr>
        <w:t xml:space="preserve">the </w:t>
      </w:r>
      <w:r w:rsidRPr="00D17EAA">
        <w:rPr>
          <w:rFonts w:ascii="Times New Roman" w:eastAsia="AdvTimes" w:hAnsi="Times New Roman" w:cs="Times New Roman"/>
          <w:kern w:val="0"/>
        </w:rPr>
        <w:t>testing</w:t>
      </w:r>
      <w:r>
        <w:rPr>
          <w:rFonts w:ascii="Times New Roman" w:eastAsia="AdvTimes" w:hAnsi="Times New Roman" w:cs="Times New Roman"/>
          <w:kern w:val="0"/>
        </w:rPr>
        <w:t xml:space="preserve"> for</w:t>
      </w:r>
      <w:r w:rsidRPr="00D17EAA">
        <w:rPr>
          <w:rFonts w:ascii="Times New Roman" w:eastAsia="AdvTimes" w:hAnsi="Times New Roman" w:cs="Times New Roman"/>
          <w:kern w:val="0"/>
        </w:rPr>
        <w:t xml:space="preserve"> the</w:t>
      </w:r>
      <w:r>
        <w:rPr>
          <w:rFonts w:ascii="Times New Roman" w:eastAsia="AdvTimes" w:hAnsi="Times New Roman" w:cs="Times New Roman"/>
          <w:kern w:val="0"/>
        </w:rPr>
        <w:t xml:space="preserve"> relation between institutional/individual trading and </w:t>
      </w:r>
      <w:r w:rsidRPr="00D5561B">
        <w:rPr>
          <w:rFonts w:ascii="Times New Roman" w:hAnsi="Times New Roman" w:cs="Times New Roman"/>
          <w:i/>
        </w:rPr>
        <w:t>BE/ME</w:t>
      </w:r>
      <w:r>
        <w:rPr>
          <w:rFonts w:ascii="Times New Roman" w:hAnsi="Times New Roman" w:cs="Times New Roman"/>
        </w:rPr>
        <w:t xml:space="preserve">/size premiums. Overall, the current study complements </w:t>
      </w:r>
      <w:r w:rsidRPr="00F1544A">
        <w:rPr>
          <w:rFonts w:ascii="Times New Roman" w:hAnsi="Times New Roman" w:cs="Times New Roman"/>
        </w:rPr>
        <w:t>Jiang’s (2010)</w:t>
      </w:r>
      <w:r>
        <w:rPr>
          <w:rFonts w:ascii="Times New Roman" w:eastAsia="AdvTimes" w:hAnsi="Times New Roman" w:cs="Times New Roman"/>
          <w:kern w:val="0"/>
        </w:rPr>
        <w:t xml:space="preserve"> empirical findings by simultaneously examining the relations between institutional/individual investors and value/size premiums in the </w:t>
      </w:r>
      <w:smartTag w:uri="urn:schemas-microsoft-com:office:smarttags" w:element="country-region">
        <w:smartTag w:uri="urn:schemas-microsoft-com:office:smarttags" w:element="place">
          <w:r>
            <w:rPr>
              <w:rFonts w:ascii="Times New Roman" w:eastAsia="AdvTimes" w:hAnsi="Times New Roman" w:cs="Times New Roman"/>
              <w:kern w:val="0"/>
            </w:rPr>
            <w:t>Japan</w:t>
          </w:r>
        </w:smartTag>
      </w:smartTag>
      <w:r>
        <w:rPr>
          <w:rFonts w:ascii="Times New Roman" w:eastAsia="AdvTimes" w:hAnsi="Times New Roman" w:cs="Times New Roman"/>
          <w:kern w:val="0"/>
        </w:rPr>
        <w:t xml:space="preserve"> stock market. </w:t>
      </w:r>
    </w:p>
    <w:p w:rsidR="00523FB7" w:rsidRDefault="00523FB7" w:rsidP="00CC31B9">
      <w:pPr>
        <w:snapToGrid w:val="0"/>
        <w:spacing w:line="480" w:lineRule="auto"/>
        <w:ind w:firstLine="480"/>
        <w:jc w:val="both"/>
        <w:rPr>
          <w:rFonts w:ascii="Times New Roman" w:hAnsi="Times New Roman" w:cs="Times New Roman"/>
        </w:rPr>
      </w:pPr>
      <w:r>
        <w:rPr>
          <w:rFonts w:ascii="Times New Roman" w:hAnsi="Times New Roman" w:cs="Times New Roman"/>
          <w:kern w:val="0"/>
        </w:rPr>
        <w:t xml:space="preserve">Further, many studies have supported the immediacy of providing the hypothesis that </w:t>
      </w:r>
      <w:r w:rsidRPr="000A3600">
        <w:rPr>
          <w:rFonts w:ascii="Times New Roman" w:hAnsi="Times New Roman" w:cs="Times New Roman"/>
          <w:kern w:val="0"/>
        </w:rPr>
        <w:t>individuals tend to supply liquidity to institutions</w:t>
      </w:r>
      <w:r>
        <w:rPr>
          <w:rFonts w:ascii="Times New Roman" w:hAnsi="Times New Roman" w:cs="Times New Roman"/>
          <w:kern w:val="0"/>
        </w:rPr>
        <w:t xml:space="preserve">, and thus </w:t>
      </w:r>
      <w:r w:rsidRPr="000A3600">
        <w:rPr>
          <w:rFonts w:ascii="Times New Roman" w:hAnsi="Times New Roman" w:cs="Times New Roman"/>
          <w:kern w:val="0"/>
        </w:rPr>
        <w:t>individual</w:t>
      </w:r>
      <w:r>
        <w:rPr>
          <w:rFonts w:ascii="Times New Roman" w:hAnsi="Times New Roman" w:cs="Times New Roman"/>
          <w:kern w:val="0"/>
        </w:rPr>
        <w:t xml:space="preserve"> investors</w:t>
      </w:r>
      <w:r w:rsidRPr="000A3600">
        <w:rPr>
          <w:rFonts w:ascii="Times New Roman" w:hAnsi="Times New Roman" w:cs="Times New Roman"/>
          <w:kern w:val="0"/>
        </w:rPr>
        <w:t xml:space="preserve"> tend to be contrarian in the short term</w:t>
      </w:r>
      <w:r>
        <w:rPr>
          <w:rFonts w:ascii="Times New Roman" w:hAnsi="Times New Roman" w:cs="Times New Roman"/>
          <w:kern w:val="0"/>
        </w:rPr>
        <w:t xml:space="preserve">. For example, </w:t>
      </w:r>
      <w:r w:rsidRPr="00F1544A">
        <w:rPr>
          <w:rFonts w:ascii="Times New Roman" w:hAnsi="Times New Roman" w:cs="Times New Roman"/>
          <w:color w:val="000000"/>
          <w:kern w:val="0"/>
        </w:rPr>
        <w:t>Kaniel</w:t>
      </w:r>
      <w:r>
        <w:rPr>
          <w:rFonts w:ascii="Times New Roman" w:hAnsi="Times New Roman" w:cs="Times New Roman"/>
        </w:rPr>
        <w:t xml:space="preserve"> et al. </w:t>
      </w:r>
      <w:r w:rsidRPr="00F1544A">
        <w:rPr>
          <w:rFonts w:ascii="Times New Roman" w:hAnsi="Times New Roman" w:cs="Times New Roman"/>
          <w:color w:val="000000"/>
          <w:kern w:val="0"/>
        </w:rPr>
        <w:t>(2008)</w:t>
      </w:r>
      <w:r w:rsidRPr="00554114">
        <w:rPr>
          <w:rFonts w:ascii="Times New Roman" w:hAnsi="Times New Roman" w:cs="Times New Roman"/>
          <w:color w:val="000000"/>
          <w:kern w:val="0"/>
        </w:rPr>
        <w:t xml:space="preserve"> examine NYSE trading data and find that individual investor</w:t>
      </w:r>
      <w:r>
        <w:rPr>
          <w:rFonts w:ascii="Times New Roman" w:hAnsi="Times New Roman" w:cs="Times New Roman"/>
          <w:color w:val="000000"/>
          <w:kern w:val="0"/>
        </w:rPr>
        <w:t>s</w:t>
      </w:r>
      <w:r w:rsidRPr="00554114">
        <w:rPr>
          <w:rFonts w:ascii="Times New Roman" w:hAnsi="Times New Roman" w:cs="Times New Roman"/>
          <w:color w:val="000000"/>
          <w:kern w:val="0"/>
        </w:rPr>
        <w:t xml:space="preserve"> tend to be contrarian traders</w:t>
      </w:r>
      <w:r>
        <w:rPr>
          <w:rFonts w:ascii="Times New Roman" w:hAnsi="Times New Roman" w:cs="Times New Roman"/>
          <w:color w:val="000000"/>
          <w:kern w:val="0"/>
        </w:rPr>
        <w:t xml:space="preserve"> in the short run. That is,</w:t>
      </w:r>
      <w:r w:rsidRPr="00554114">
        <w:rPr>
          <w:rFonts w:ascii="Times New Roman" w:hAnsi="Times New Roman" w:cs="Times New Roman"/>
          <w:color w:val="000000"/>
          <w:kern w:val="0"/>
        </w:rPr>
        <w:t xml:space="preserve"> they buy stocks after prices decrease and sell stocks after prices increase.</w:t>
      </w:r>
      <w:r>
        <w:rPr>
          <w:rStyle w:val="FootnoteReference"/>
          <w:rFonts w:ascii="Times New Roman" w:hAnsi="Times New Roman"/>
          <w:color w:val="000000"/>
          <w:kern w:val="0"/>
        </w:rPr>
        <w:footnoteReference w:id="3"/>
      </w:r>
      <w:r w:rsidRPr="00554114">
        <w:rPr>
          <w:rFonts w:ascii="Times New Roman" w:hAnsi="Times New Roman" w:cs="Times New Roman"/>
          <w:color w:val="000000"/>
          <w:kern w:val="0"/>
        </w:rPr>
        <w:t xml:space="preserve"> The results of </w:t>
      </w:r>
      <w:r w:rsidRPr="00F1544A">
        <w:rPr>
          <w:rFonts w:ascii="Times New Roman" w:hAnsi="Times New Roman" w:cs="Times New Roman"/>
          <w:color w:val="000000"/>
          <w:kern w:val="0"/>
        </w:rPr>
        <w:t>Sharma</w:t>
      </w:r>
      <w:r>
        <w:rPr>
          <w:rFonts w:ascii="Times New Roman" w:hAnsi="Times New Roman" w:cs="Times New Roman"/>
        </w:rPr>
        <w:t xml:space="preserve"> et al. </w:t>
      </w:r>
      <w:r w:rsidRPr="00F1544A">
        <w:rPr>
          <w:rFonts w:ascii="Times New Roman" w:hAnsi="Times New Roman" w:cs="Times New Roman"/>
          <w:color w:val="000000"/>
          <w:kern w:val="0"/>
        </w:rPr>
        <w:t>(200</w:t>
      </w:r>
      <w:r>
        <w:rPr>
          <w:rFonts w:ascii="Times New Roman" w:hAnsi="Times New Roman" w:cs="Times New Roman"/>
          <w:color w:val="000000"/>
          <w:kern w:val="0"/>
        </w:rPr>
        <w:t>8</w:t>
      </w:r>
      <w:r w:rsidRPr="00F1544A">
        <w:rPr>
          <w:rFonts w:ascii="Times New Roman" w:hAnsi="Times New Roman" w:cs="Times New Roman"/>
          <w:color w:val="000000"/>
          <w:kern w:val="0"/>
        </w:rPr>
        <w:t>)</w:t>
      </w:r>
      <w:r w:rsidRPr="00554114">
        <w:rPr>
          <w:rFonts w:ascii="Times New Roman" w:hAnsi="Times New Roman" w:cs="Times New Roman"/>
          <w:color w:val="000000"/>
          <w:kern w:val="0"/>
        </w:rPr>
        <w:t xml:space="preserve"> </w:t>
      </w:r>
      <w:r>
        <w:rPr>
          <w:rFonts w:ascii="Times New Roman" w:hAnsi="Times New Roman" w:cs="Times New Roman"/>
          <w:color w:val="000000"/>
          <w:kern w:val="0"/>
        </w:rPr>
        <w:t xml:space="preserve">implicitly </w:t>
      </w:r>
      <w:r w:rsidRPr="00554114">
        <w:rPr>
          <w:rFonts w:ascii="Times New Roman" w:hAnsi="Times New Roman" w:cs="Times New Roman"/>
          <w:color w:val="000000"/>
          <w:kern w:val="0"/>
        </w:rPr>
        <w:t>imply that individuals tend to sell growth stocks and buy value stocks.</w:t>
      </w:r>
      <w:r>
        <w:rPr>
          <w:rStyle w:val="FootnoteReference"/>
          <w:rFonts w:ascii="Times New Roman" w:hAnsi="Times New Roman"/>
          <w:color w:val="000000"/>
          <w:kern w:val="0"/>
        </w:rPr>
        <w:footnoteReference w:id="4"/>
      </w:r>
      <w:r w:rsidRPr="00554114">
        <w:rPr>
          <w:rFonts w:ascii="Times New Roman" w:hAnsi="Times New Roman" w:cs="Times New Roman"/>
          <w:color w:val="000000"/>
          <w:kern w:val="0"/>
        </w:rPr>
        <w:t xml:space="preserve"> </w:t>
      </w:r>
      <w:r w:rsidRPr="00F1544A">
        <w:rPr>
          <w:rFonts w:ascii="Times New Roman" w:hAnsi="Times New Roman" w:cs="Times New Roman"/>
          <w:color w:val="000000"/>
          <w:kern w:val="0"/>
        </w:rPr>
        <w:t xml:space="preserve">Goetzmann and </w:t>
      </w:r>
      <w:smartTag w:uri="urn:schemas-microsoft-com:office:smarttags" w:element="State">
        <w:smartTag w:uri="urn:schemas-microsoft-com:office:smarttags" w:element="City">
          <w:smartTag w:uri="urn:schemas-microsoft-com:office:smarttags" w:element="place">
            <w:r w:rsidRPr="00F1544A">
              <w:rPr>
                <w:rFonts w:ascii="Times New Roman" w:hAnsi="Times New Roman" w:cs="Times New Roman"/>
                <w:color w:val="000000"/>
                <w:kern w:val="0"/>
              </w:rPr>
              <w:t>Massa</w:t>
            </w:r>
          </w:smartTag>
        </w:smartTag>
      </w:smartTag>
      <w:r w:rsidRPr="00F1544A">
        <w:rPr>
          <w:rFonts w:ascii="Times New Roman" w:hAnsi="Times New Roman" w:cs="Times New Roman"/>
          <w:color w:val="000000"/>
          <w:kern w:val="0"/>
        </w:rPr>
        <w:t xml:space="preserve"> (</w:t>
      </w:r>
      <w:r w:rsidRPr="00554114">
        <w:rPr>
          <w:rFonts w:ascii="Times New Roman" w:hAnsi="Times New Roman" w:cs="Times New Roman"/>
          <w:color w:val="000000"/>
          <w:kern w:val="0"/>
        </w:rPr>
        <w:t>200</w:t>
      </w:r>
      <w:r>
        <w:rPr>
          <w:rFonts w:ascii="Times New Roman" w:hAnsi="Times New Roman" w:cs="Times New Roman"/>
          <w:color w:val="000000"/>
          <w:kern w:val="0"/>
        </w:rPr>
        <w:t>3</w:t>
      </w:r>
      <w:r w:rsidRPr="00554114">
        <w:rPr>
          <w:rFonts w:ascii="Times New Roman" w:hAnsi="Times New Roman" w:cs="Times New Roman"/>
          <w:color w:val="000000"/>
          <w:kern w:val="0"/>
        </w:rPr>
        <w:t>) find that individuals who invest in an index fund are more likely to be contrarians.</w:t>
      </w:r>
      <w:r>
        <w:rPr>
          <w:rFonts w:ascii="Times New Roman" w:hAnsi="Times New Roman" w:cs="Times New Roman"/>
          <w:color w:val="000000"/>
          <w:kern w:val="0"/>
        </w:rPr>
        <w:t xml:space="preserve"> However, there is less agreement about the long-run trading preference by individual investors. Particularly, the long-run relation between individual trading and future stock returns has received little attention.</w:t>
      </w:r>
      <w:r>
        <w:rPr>
          <w:rStyle w:val="FootnoteReference"/>
          <w:rFonts w:ascii="Times New Roman" w:hAnsi="Times New Roman"/>
          <w:color w:val="000000"/>
          <w:kern w:val="0"/>
        </w:rPr>
        <w:footnoteReference w:id="5"/>
      </w:r>
      <w:r>
        <w:rPr>
          <w:rFonts w:ascii="Times New Roman" w:hAnsi="Times New Roman" w:cs="Times New Roman"/>
          <w:color w:val="000000"/>
          <w:kern w:val="0"/>
        </w:rPr>
        <w:t xml:space="preserve"> The current paper attempts to fill this gap.</w:t>
      </w:r>
    </w:p>
    <w:p w:rsidR="00523FB7" w:rsidRDefault="00523FB7" w:rsidP="00CC31B9">
      <w:pPr>
        <w:snapToGrid w:val="0"/>
        <w:spacing w:line="480" w:lineRule="auto"/>
        <w:ind w:firstLine="480"/>
        <w:jc w:val="both"/>
        <w:rPr>
          <w:rFonts w:ascii="Times New Roman" w:hAnsi="Times New Roman" w:cs="Times New Roman"/>
        </w:rPr>
      </w:pPr>
      <w:r w:rsidRPr="003410DE">
        <w:rPr>
          <w:rFonts w:ascii="Times New Roman" w:hAnsi="Times New Roman" w:cs="Times New Roman"/>
        </w:rPr>
        <w:t xml:space="preserve">Our findings </w:t>
      </w:r>
      <w:r>
        <w:rPr>
          <w:rFonts w:ascii="Times New Roman" w:hAnsi="Times New Roman" w:cs="Times New Roman"/>
        </w:rPr>
        <w:t xml:space="preserve">are </w:t>
      </w:r>
      <w:r w:rsidRPr="003410DE">
        <w:rPr>
          <w:rFonts w:ascii="Times New Roman" w:hAnsi="Times New Roman" w:cs="Times New Roman"/>
        </w:rPr>
        <w:t xml:space="preserve">summarized as follows. First, we document a significantly and economically negative relation between </w:t>
      </w:r>
      <w:r>
        <w:rPr>
          <w:rFonts w:ascii="Times New Roman" w:hAnsi="Times New Roman" w:cs="Times New Roman"/>
        </w:rPr>
        <w:t xml:space="preserve">annual </w:t>
      </w:r>
      <w:r w:rsidRPr="003410DE">
        <w:rPr>
          <w:rFonts w:ascii="Times New Roman" w:hAnsi="Times New Roman" w:cs="Times New Roman"/>
        </w:rPr>
        <w:t xml:space="preserve">changes in institutional ownership and </w:t>
      </w:r>
      <w:r>
        <w:rPr>
          <w:rFonts w:ascii="Times New Roman" w:hAnsi="Times New Roman" w:cs="Times New Roman"/>
        </w:rPr>
        <w:t xml:space="preserve">future </w:t>
      </w:r>
      <w:r w:rsidRPr="003410DE">
        <w:rPr>
          <w:rFonts w:ascii="Times New Roman" w:hAnsi="Times New Roman" w:cs="Times New Roman"/>
        </w:rPr>
        <w:t xml:space="preserve">stocks returns. </w:t>
      </w:r>
      <w:r>
        <w:rPr>
          <w:rFonts w:ascii="Times New Roman" w:hAnsi="Times New Roman" w:cs="Times New Roman"/>
        </w:rPr>
        <w:t>That is, institutional trading is associated with reversals in stock returns. This finding is consistent with</w:t>
      </w:r>
      <w:r w:rsidRPr="006D2808">
        <w:rPr>
          <w:rFonts w:ascii="Times New Roman" w:hAnsi="Times New Roman" w:cs="Times New Roman"/>
        </w:rPr>
        <w:t xml:space="preserve"> Jiang (2010) and Dasgupta</w:t>
      </w:r>
      <w:r>
        <w:rPr>
          <w:rFonts w:ascii="Times New Roman" w:hAnsi="Times New Roman" w:cs="Times New Roman"/>
        </w:rPr>
        <w:t xml:space="preserve"> et al. </w:t>
      </w:r>
      <w:r w:rsidRPr="006D2808">
        <w:rPr>
          <w:rFonts w:ascii="Times New Roman" w:hAnsi="Times New Roman" w:cs="Times New Roman"/>
        </w:rPr>
        <w:t xml:space="preserve">(2011). </w:t>
      </w:r>
      <w:r>
        <w:rPr>
          <w:rFonts w:ascii="Times New Roman" w:hAnsi="Times New Roman" w:cs="Times New Roman"/>
        </w:rPr>
        <w:t>More importantly, the i</w:t>
      </w:r>
      <w:r w:rsidRPr="003410DE">
        <w:rPr>
          <w:rFonts w:ascii="Times New Roman" w:hAnsi="Times New Roman" w:cs="Times New Roman"/>
        </w:rPr>
        <w:t>nstitutional trading</w:t>
      </w:r>
      <w:r w:rsidRPr="003410DE">
        <w:rPr>
          <w:rFonts w:ascii="Times New Roman" w:hAnsi="Times New Roman" w:cs="Times New Roman"/>
          <w:kern w:val="0"/>
        </w:rPr>
        <w:t xml:space="preserve"> </w:t>
      </w:r>
      <w:r>
        <w:rPr>
          <w:rFonts w:ascii="Times New Roman" w:hAnsi="Times New Roman" w:cs="Times New Roman"/>
          <w:kern w:val="0"/>
        </w:rPr>
        <w:t xml:space="preserve">effect </w:t>
      </w:r>
      <w:r w:rsidRPr="003410DE">
        <w:rPr>
          <w:rFonts w:ascii="Times New Roman" w:hAnsi="Times New Roman" w:cs="Times New Roman"/>
          <w:kern w:val="0"/>
        </w:rPr>
        <w:t xml:space="preserve">is </w:t>
      </w:r>
      <w:r>
        <w:rPr>
          <w:rFonts w:ascii="Times New Roman" w:hAnsi="Times New Roman" w:cs="Times New Roman"/>
          <w:kern w:val="0"/>
        </w:rPr>
        <w:t>not a manifestation</w:t>
      </w:r>
      <w:r w:rsidRPr="003410DE">
        <w:rPr>
          <w:rFonts w:ascii="Times New Roman" w:hAnsi="Times New Roman" w:cs="Times New Roman"/>
          <w:kern w:val="0"/>
        </w:rPr>
        <w:t xml:space="preserve"> of </w:t>
      </w:r>
      <w:r w:rsidRPr="00D5561B">
        <w:rPr>
          <w:rFonts w:ascii="Times New Roman" w:hAnsi="Times New Roman" w:cs="Times New Roman"/>
          <w:i/>
          <w:kern w:val="0"/>
        </w:rPr>
        <w:t>BE/ME</w:t>
      </w:r>
      <w:r w:rsidRPr="003410DE">
        <w:rPr>
          <w:rFonts w:ascii="Times New Roman" w:hAnsi="Times New Roman" w:cs="Times New Roman"/>
          <w:kern w:val="0"/>
        </w:rPr>
        <w:t xml:space="preserve"> </w:t>
      </w:r>
      <w:r>
        <w:rPr>
          <w:rFonts w:ascii="Times New Roman" w:hAnsi="Times New Roman" w:cs="Times New Roman"/>
          <w:kern w:val="0"/>
        </w:rPr>
        <w:t>and</w:t>
      </w:r>
      <w:r w:rsidRPr="003410DE">
        <w:rPr>
          <w:rFonts w:ascii="Times New Roman" w:hAnsi="Times New Roman" w:cs="Times New Roman"/>
          <w:kern w:val="0"/>
        </w:rPr>
        <w:t xml:space="preserve"> </w:t>
      </w:r>
      <w:r w:rsidRPr="00A6387E">
        <w:rPr>
          <w:rFonts w:ascii="Times New Roman" w:hAnsi="Times New Roman" w:cs="Times New Roman"/>
          <w:kern w:val="0"/>
        </w:rPr>
        <w:t>size effect.</w:t>
      </w:r>
      <w:r>
        <w:rPr>
          <w:rFonts w:ascii="Times New Roman" w:hAnsi="Times New Roman" w:cs="Times New Roman"/>
          <w:kern w:val="0"/>
        </w:rPr>
        <w:t xml:space="preserve"> </w:t>
      </w:r>
      <w:r>
        <w:rPr>
          <w:rFonts w:ascii="Times New Roman" w:hAnsi="Times New Roman" w:cs="Times New Roman"/>
        </w:rPr>
        <w:t xml:space="preserve">However, the relation between annual </w:t>
      </w:r>
      <w:r w:rsidRPr="003410DE">
        <w:rPr>
          <w:rFonts w:ascii="Times New Roman" w:hAnsi="Times New Roman" w:cs="Times New Roman"/>
        </w:rPr>
        <w:t xml:space="preserve">changes in </w:t>
      </w:r>
      <w:r>
        <w:rPr>
          <w:rFonts w:ascii="Times New Roman" w:hAnsi="Times New Roman" w:cs="Times New Roman"/>
        </w:rPr>
        <w:t xml:space="preserve">individual </w:t>
      </w:r>
      <w:r w:rsidRPr="003410DE">
        <w:rPr>
          <w:rFonts w:ascii="Times New Roman" w:hAnsi="Times New Roman" w:cs="Times New Roman"/>
        </w:rPr>
        <w:t>ownership</w:t>
      </w:r>
      <w:r>
        <w:rPr>
          <w:rFonts w:ascii="Times New Roman" w:hAnsi="Times New Roman" w:cs="Times New Roman"/>
        </w:rPr>
        <w:t xml:space="preserve"> and future stock returns does not exist. </w:t>
      </w:r>
    </w:p>
    <w:p w:rsidR="00523FB7" w:rsidRDefault="00523FB7" w:rsidP="00CC31B9">
      <w:pPr>
        <w:snapToGrid w:val="0"/>
        <w:spacing w:line="480" w:lineRule="auto"/>
        <w:ind w:firstLine="480"/>
        <w:jc w:val="both"/>
        <w:rPr>
          <w:rFonts w:ascii="Times New Roman" w:hAnsi="Times New Roman" w:cs="Times New Roman"/>
        </w:rPr>
      </w:pPr>
      <w:r w:rsidRPr="00A6387E">
        <w:rPr>
          <w:rFonts w:ascii="Times New Roman" w:hAnsi="Times New Roman" w:cs="Times New Roman"/>
        </w:rPr>
        <w:t>Second, consistent with Frazzini and Lamont (2008) and Sharma et al.</w:t>
      </w:r>
      <w:r>
        <w:rPr>
          <w:rFonts w:ascii="Times New Roman" w:hAnsi="Times New Roman" w:cs="Times New Roman"/>
        </w:rPr>
        <w:t xml:space="preserve"> </w:t>
      </w:r>
      <w:r w:rsidRPr="006D2808">
        <w:rPr>
          <w:rFonts w:ascii="Times New Roman" w:hAnsi="Times New Roman" w:cs="Times New Roman"/>
        </w:rPr>
        <w:t xml:space="preserve">(2006), </w:t>
      </w:r>
      <w:r w:rsidRPr="003410DE">
        <w:rPr>
          <w:rFonts w:ascii="Times New Roman" w:hAnsi="Times New Roman" w:cs="Times New Roman"/>
        </w:rPr>
        <w:t>a negative association</w:t>
      </w:r>
      <w:r>
        <w:rPr>
          <w:rFonts w:ascii="Times New Roman" w:hAnsi="Times New Roman" w:cs="Times New Roman"/>
        </w:rPr>
        <w:t xml:space="preserve"> exists</w:t>
      </w:r>
      <w:r w:rsidRPr="003410DE">
        <w:rPr>
          <w:rFonts w:ascii="Times New Roman" w:hAnsi="Times New Roman" w:cs="Times New Roman"/>
        </w:rPr>
        <w:t xml:space="preserve"> between institutional trading and </w:t>
      </w:r>
      <w:r w:rsidRPr="00D5561B">
        <w:rPr>
          <w:rFonts w:ascii="Times New Roman" w:hAnsi="Times New Roman" w:cs="Times New Roman"/>
          <w:i/>
        </w:rPr>
        <w:t>BE/ME</w:t>
      </w:r>
      <w:r>
        <w:rPr>
          <w:rFonts w:ascii="Times New Roman" w:hAnsi="Times New Roman" w:cs="Times New Roman"/>
        </w:rPr>
        <w:t xml:space="preserve"> ratio</w:t>
      </w:r>
      <w:r w:rsidRPr="003410DE">
        <w:rPr>
          <w:rFonts w:ascii="Times New Roman" w:hAnsi="Times New Roman" w:cs="Times New Roman"/>
        </w:rPr>
        <w:t>.</w:t>
      </w:r>
      <w:r>
        <w:rPr>
          <w:rFonts w:ascii="Times New Roman" w:hAnsi="Times New Roman" w:cs="Times New Roman"/>
        </w:rPr>
        <w:t xml:space="preserve"> That is, institutional investors tend to net-buy growth stocks and net-sell value stocks</w:t>
      </w:r>
      <w:r w:rsidRPr="003410DE">
        <w:rPr>
          <w:rFonts w:ascii="Times New Roman" w:hAnsi="Times New Roman" w:cs="Times New Roman"/>
        </w:rPr>
        <w:t>.</w:t>
      </w:r>
      <w:r>
        <w:rPr>
          <w:rFonts w:ascii="Times New Roman" w:hAnsi="Times New Roman" w:cs="Times New Roman"/>
        </w:rPr>
        <w:t xml:space="preserve"> However, inconsistent with </w:t>
      </w:r>
      <w:r w:rsidRPr="006D2808">
        <w:rPr>
          <w:rFonts w:ascii="Times New Roman" w:hAnsi="Times New Roman" w:cs="Times New Roman"/>
          <w:color w:val="000000"/>
        </w:rPr>
        <w:t>Gompers and Metrick (2001)</w:t>
      </w:r>
      <w:r>
        <w:rPr>
          <w:rFonts w:ascii="Times New Roman" w:hAnsi="Times New Roman" w:cs="Times New Roman"/>
          <w:color w:val="000000"/>
        </w:rPr>
        <w:t xml:space="preserve"> who attribute the disappearance of size premium to </w:t>
      </w:r>
      <w:r w:rsidRPr="00CE0C0F">
        <w:rPr>
          <w:rFonts w:ascii="Times New Roman" w:hAnsi="Times New Roman" w:cs="Times New Roman"/>
          <w:color w:val="000000"/>
        </w:rPr>
        <w:t xml:space="preserve">the substantial increase in institutional ownership </w:t>
      </w:r>
      <w:r>
        <w:rPr>
          <w:rFonts w:ascii="Times New Roman" w:hAnsi="Times New Roman" w:cs="Times New Roman"/>
          <w:color w:val="000000"/>
        </w:rPr>
        <w:t>of</w:t>
      </w:r>
      <w:r w:rsidRPr="00CE0C0F">
        <w:rPr>
          <w:rFonts w:ascii="Times New Roman" w:hAnsi="Times New Roman" w:cs="Times New Roman"/>
          <w:color w:val="000000"/>
        </w:rPr>
        <w:t xml:space="preserve"> large stocks and decrease in small stocks</w:t>
      </w:r>
      <w:r>
        <w:rPr>
          <w:rFonts w:ascii="Times New Roman" w:hAnsi="Times New Roman" w:cs="Times New Roman"/>
          <w:color w:val="000000"/>
        </w:rPr>
        <w:t xml:space="preserve">, we document an </w:t>
      </w:r>
      <w:r>
        <w:rPr>
          <w:rFonts w:ascii="Times New Roman" w:hAnsi="Times New Roman" w:cs="Times New Roman"/>
        </w:rPr>
        <w:t>insignificant</w:t>
      </w:r>
      <w:r w:rsidRPr="003410DE">
        <w:rPr>
          <w:rFonts w:ascii="Times New Roman" w:hAnsi="Times New Roman" w:cs="Times New Roman"/>
        </w:rPr>
        <w:t xml:space="preserve"> relation between </w:t>
      </w:r>
      <w:r>
        <w:rPr>
          <w:rFonts w:ascii="Times New Roman" w:hAnsi="Times New Roman" w:cs="Times New Roman"/>
        </w:rPr>
        <w:t xml:space="preserve">annual </w:t>
      </w:r>
      <w:r w:rsidRPr="003410DE">
        <w:rPr>
          <w:rFonts w:ascii="Times New Roman" w:hAnsi="Times New Roman" w:cs="Times New Roman"/>
        </w:rPr>
        <w:t xml:space="preserve">changes in institutional ownership and size. </w:t>
      </w:r>
      <w:r>
        <w:rPr>
          <w:rFonts w:ascii="Times New Roman" w:hAnsi="Times New Roman" w:cs="Times New Roman"/>
        </w:rPr>
        <w:t>Alternatively, individual investors tend to net-buy small and value stocks, and net-sell large and growth stocks, that is, exhibit contrarian trading behavior.</w:t>
      </w:r>
    </w:p>
    <w:p w:rsidR="00523FB7" w:rsidRPr="003410DE" w:rsidRDefault="00523FB7" w:rsidP="00CC31B9">
      <w:pPr>
        <w:snapToGrid w:val="0"/>
        <w:spacing w:line="480" w:lineRule="auto"/>
        <w:ind w:firstLine="480"/>
        <w:jc w:val="both"/>
        <w:rPr>
          <w:rFonts w:ascii="Times New Roman" w:hAnsi="Times New Roman" w:cs="Times New Roman"/>
        </w:rPr>
      </w:pPr>
      <w:r>
        <w:rPr>
          <w:rFonts w:ascii="Times New Roman" w:hAnsi="Times New Roman" w:cs="Times New Roman"/>
        </w:rPr>
        <w:t>Finally and more importantly, a</w:t>
      </w:r>
      <w:r w:rsidRPr="003410DE">
        <w:rPr>
          <w:rFonts w:ascii="Times New Roman" w:hAnsi="Times New Roman" w:cs="Times New Roman"/>
        </w:rPr>
        <w:t>lthough institutional</w:t>
      </w:r>
      <w:r w:rsidRPr="00F82B29">
        <w:rPr>
          <w:rFonts w:ascii="Times New Roman" w:hAnsi="Times New Roman" w:cs="Times New Roman"/>
        </w:rPr>
        <w:t xml:space="preserve"> </w:t>
      </w:r>
      <w:r w:rsidRPr="003410DE">
        <w:rPr>
          <w:rFonts w:ascii="Times New Roman" w:hAnsi="Times New Roman" w:cs="Times New Roman"/>
        </w:rPr>
        <w:t xml:space="preserve">trading and individual trading </w:t>
      </w:r>
      <w:r>
        <w:rPr>
          <w:rFonts w:ascii="Times New Roman" w:hAnsi="Times New Roman" w:cs="Times New Roman"/>
        </w:rPr>
        <w:t xml:space="preserve">are </w:t>
      </w:r>
      <w:r w:rsidRPr="003410DE">
        <w:rPr>
          <w:rFonts w:ascii="Times New Roman" w:hAnsi="Times New Roman" w:cs="Times New Roman"/>
        </w:rPr>
        <w:t xml:space="preserve">associated </w:t>
      </w:r>
      <w:r>
        <w:rPr>
          <w:rFonts w:ascii="Times New Roman" w:hAnsi="Times New Roman" w:cs="Times New Roman"/>
        </w:rPr>
        <w:t>with</w:t>
      </w:r>
      <w:r w:rsidRPr="003410DE">
        <w:rPr>
          <w:rFonts w:ascii="Times New Roman" w:hAnsi="Times New Roman" w:cs="Times New Roman"/>
        </w:rPr>
        <w:t xml:space="preserve"> </w:t>
      </w:r>
      <w:r w:rsidRPr="00D5561B">
        <w:rPr>
          <w:rFonts w:ascii="Times New Roman" w:hAnsi="Times New Roman" w:cs="Times New Roman"/>
          <w:i/>
        </w:rPr>
        <w:t>BE/ME</w:t>
      </w:r>
      <w:r w:rsidRPr="003410DE">
        <w:rPr>
          <w:rFonts w:ascii="Times New Roman" w:hAnsi="Times New Roman" w:cs="Times New Roman"/>
        </w:rPr>
        <w:t xml:space="preserve"> and</w:t>
      </w:r>
      <w:r>
        <w:rPr>
          <w:rFonts w:ascii="Times New Roman" w:hAnsi="Times New Roman" w:cs="Times New Roman"/>
        </w:rPr>
        <w:t>/or</w:t>
      </w:r>
      <w:r w:rsidRPr="003410DE">
        <w:rPr>
          <w:rFonts w:ascii="Times New Roman" w:hAnsi="Times New Roman" w:cs="Times New Roman"/>
        </w:rPr>
        <w:t xml:space="preserve"> size, their </w:t>
      </w:r>
      <w:r>
        <w:rPr>
          <w:rFonts w:ascii="Times New Roman" w:hAnsi="Times New Roman" w:cs="Times New Roman"/>
        </w:rPr>
        <w:t xml:space="preserve">effects </w:t>
      </w:r>
      <w:r w:rsidRPr="003410DE">
        <w:rPr>
          <w:rFonts w:ascii="Times New Roman" w:hAnsi="Times New Roman" w:cs="Times New Roman"/>
        </w:rPr>
        <w:t xml:space="preserve">appear to be limited on </w:t>
      </w:r>
      <w:r w:rsidRPr="003E1954">
        <w:rPr>
          <w:rFonts w:ascii="Times New Roman" w:hAnsi="Times New Roman" w:cs="Times New Roman"/>
        </w:rPr>
        <w:t>value and size</w:t>
      </w:r>
      <w:r w:rsidRPr="003410DE">
        <w:rPr>
          <w:rFonts w:ascii="Times New Roman" w:hAnsi="Times New Roman" w:cs="Times New Roman"/>
        </w:rPr>
        <w:t xml:space="preserve"> premiums. </w:t>
      </w:r>
      <w:r>
        <w:rPr>
          <w:rFonts w:ascii="Times New Roman" w:hAnsi="Times New Roman" w:cs="Times New Roman"/>
        </w:rPr>
        <w:t xml:space="preserve">This finding is inconsistent with the behavioral explanation that value premium is mainly driven by investors’ trading behavior </w:t>
      </w:r>
      <w:r w:rsidRPr="006D2808">
        <w:rPr>
          <w:rFonts w:ascii="Times New Roman" w:hAnsi="Times New Roman" w:cs="Times New Roman"/>
        </w:rPr>
        <w:t>(Lakonishok,</w:t>
      </w:r>
      <w:r>
        <w:rPr>
          <w:rFonts w:ascii="Times New Roman" w:hAnsi="Times New Roman" w:cs="Times New Roman"/>
        </w:rPr>
        <w:t xml:space="preserve"> et al.</w:t>
      </w:r>
      <w:r w:rsidRPr="006D2808">
        <w:rPr>
          <w:rFonts w:ascii="Times New Roman" w:hAnsi="Times New Roman" w:cs="Times New Roman"/>
        </w:rPr>
        <w:t xml:space="preserve"> 1994; Jiang,</w:t>
      </w:r>
      <w:r>
        <w:rPr>
          <w:rFonts w:ascii="Times New Roman" w:hAnsi="Times New Roman" w:cs="Times New Roman"/>
        </w:rPr>
        <w:t xml:space="preserve"> </w:t>
      </w:r>
      <w:r w:rsidRPr="003410DE">
        <w:rPr>
          <w:rFonts w:ascii="Times New Roman" w:hAnsi="Times New Roman" w:cs="Times New Roman"/>
        </w:rPr>
        <w:t>2010</w:t>
      </w:r>
      <w:r>
        <w:rPr>
          <w:rFonts w:ascii="Times New Roman" w:hAnsi="Times New Roman" w:cs="Times New Roman"/>
        </w:rPr>
        <w:t xml:space="preserve">). </w:t>
      </w:r>
      <w:r w:rsidRPr="003410DE">
        <w:rPr>
          <w:rFonts w:ascii="Times New Roman" w:hAnsi="Times New Roman" w:cs="Times New Roman"/>
        </w:rPr>
        <w:t xml:space="preserve">We also find that incorporating information about the institutional trading </w:t>
      </w:r>
      <w:r>
        <w:rPr>
          <w:rFonts w:ascii="Times New Roman" w:hAnsi="Times New Roman" w:cs="Times New Roman"/>
        </w:rPr>
        <w:t>behavior</w:t>
      </w:r>
      <w:r w:rsidRPr="003410DE">
        <w:rPr>
          <w:rFonts w:ascii="Times New Roman" w:hAnsi="Times New Roman" w:cs="Times New Roman"/>
        </w:rPr>
        <w:t xml:space="preserve"> can </w:t>
      </w:r>
      <w:r>
        <w:rPr>
          <w:rFonts w:ascii="Times New Roman" w:hAnsi="Times New Roman" w:cs="Times New Roman"/>
        </w:rPr>
        <w:t>significantly enhance</w:t>
      </w:r>
      <w:r w:rsidRPr="003410DE">
        <w:rPr>
          <w:rFonts w:ascii="Times New Roman" w:hAnsi="Times New Roman" w:cs="Times New Roman"/>
        </w:rPr>
        <w:t xml:space="preserve"> the value strategy.</w:t>
      </w:r>
      <w:r>
        <w:rPr>
          <w:rFonts w:ascii="Times New Roman" w:hAnsi="Times New Roman" w:cs="Times New Roman"/>
        </w:rPr>
        <w:t xml:space="preserve"> </w:t>
      </w:r>
      <w:r w:rsidRPr="003410DE">
        <w:rPr>
          <w:rFonts w:ascii="Times New Roman" w:hAnsi="Times New Roman" w:cs="Times New Roman"/>
        </w:rPr>
        <w:t xml:space="preserve">However, information </w:t>
      </w:r>
      <w:r>
        <w:rPr>
          <w:rFonts w:ascii="Times New Roman" w:hAnsi="Times New Roman" w:cs="Times New Roman"/>
        </w:rPr>
        <w:t>about</w:t>
      </w:r>
      <w:r w:rsidRPr="003410DE">
        <w:rPr>
          <w:rFonts w:ascii="Times New Roman" w:hAnsi="Times New Roman" w:cs="Times New Roman"/>
        </w:rPr>
        <w:t xml:space="preserve"> </w:t>
      </w:r>
      <w:r>
        <w:rPr>
          <w:rFonts w:ascii="Times New Roman" w:hAnsi="Times New Roman" w:cs="Times New Roman"/>
        </w:rPr>
        <w:t xml:space="preserve">annual </w:t>
      </w:r>
      <w:r w:rsidRPr="003410DE">
        <w:rPr>
          <w:rFonts w:ascii="Times New Roman" w:hAnsi="Times New Roman" w:cs="Times New Roman"/>
        </w:rPr>
        <w:t xml:space="preserve">changes in institutional ownership has limited ability in improving size strategy. </w:t>
      </w:r>
      <w:r>
        <w:rPr>
          <w:rFonts w:ascii="Times New Roman" w:hAnsi="Times New Roman" w:cs="Times New Roman"/>
        </w:rPr>
        <w:t>I</w:t>
      </w:r>
      <w:r w:rsidRPr="003410DE">
        <w:rPr>
          <w:rFonts w:ascii="Times New Roman" w:hAnsi="Times New Roman" w:cs="Times New Roman"/>
        </w:rPr>
        <w:t xml:space="preserve">nformation about individual trading </w:t>
      </w:r>
      <w:r>
        <w:rPr>
          <w:rFonts w:ascii="Times New Roman" w:hAnsi="Times New Roman" w:cs="Times New Roman"/>
        </w:rPr>
        <w:t>behavior</w:t>
      </w:r>
      <w:r w:rsidRPr="003410DE">
        <w:rPr>
          <w:rFonts w:ascii="Times New Roman" w:hAnsi="Times New Roman" w:cs="Times New Roman"/>
        </w:rPr>
        <w:t xml:space="preserve"> is </w:t>
      </w:r>
      <w:r>
        <w:rPr>
          <w:rFonts w:ascii="Times New Roman" w:hAnsi="Times New Roman" w:cs="Times New Roman"/>
        </w:rPr>
        <w:t>un</w:t>
      </w:r>
      <w:r w:rsidRPr="003410DE">
        <w:rPr>
          <w:rFonts w:ascii="Times New Roman" w:hAnsi="Times New Roman" w:cs="Times New Roman"/>
        </w:rPr>
        <w:t xml:space="preserve">able to enhance </w:t>
      </w:r>
      <w:r w:rsidRPr="0075341D">
        <w:rPr>
          <w:rFonts w:ascii="Times New Roman" w:hAnsi="Times New Roman" w:cs="Times New Roman"/>
        </w:rPr>
        <w:t>either</w:t>
      </w:r>
      <w:r w:rsidRPr="003410DE">
        <w:rPr>
          <w:rFonts w:ascii="Times New Roman" w:hAnsi="Times New Roman" w:cs="Times New Roman"/>
        </w:rPr>
        <w:t xml:space="preserve"> value strategy or size strategy.</w:t>
      </w:r>
    </w:p>
    <w:p w:rsidR="00523FB7" w:rsidRPr="003410DE" w:rsidRDefault="00523FB7" w:rsidP="00CC31B9">
      <w:pPr>
        <w:snapToGrid w:val="0"/>
        <w:spacing w:line="480" w:lineRule="auto"/>
        <w:ind w:firstLine="480"/>
        <w:jc w:val="both"/>
        <w:rPr>
          <w:rFonts w:ascii="Times New Roman" w:hAnsi="Times New Roman" w:cs="Times New Roman"/>
        </w:rPr>
      </w:pPr>
      <w:r w:rsidRPr="003410DE">
        <w:rPr>
          <w:rFonts w:ascii="Times New Roman" w:hAnsi="Times New Roman" w:cs="Times New Roman"/>
        </w:rPr>
        <w:t xml:space="preserve">Our paper proceeds as follows. Section 2 discusses the data and variables. In Section 3, we present </w:t>
      </w:r>
      <w:r>
        <w:rPr>
          <w:rFonts w:ascii="Times New Roman" w:hAnsi="Times New Roman" w:cs="Times New Roman"/>
        </w:rPr>
        <w:t xml:space="preserve">the </w:t>
      </w:r>
      <w:r w:rsidRPr="003410DE">
        <w:rPr>
          <w:rFonts w:ascii="Times New Roman" w:hAnsi="Times New Roman" w:cs="Times New Roman"/>
        </w:rPr>
        <w:t xml:space="preserve">empirical relationship </w:t>
      </w:r>
      <w:r>
        <w:rPr>
          <w:rFonts w:ascii="Times New Roman" w:hAnsi="Times New Roman" w:cs="Times New Roman"/>
        </w:rPr>
        <w:t>between</w:t>
      </w:r>
      <w:r w:rsidRPr="003410DE">
        <w:rPr>
          <w:rFonts w:ascii="Times New Roman" w:hAnsi="Times New Roman" w:cs="Times New Roman"/>
        </w:rPr>
        <w:t xml:space="preserve"> </w:t>
      </w:r>
      <w:r w:rsidRPr="00D5561B">
        <w:rPr>
          <w:rFonts w:ascii="Times New Roman" w:hAnsi="Times New Roman" w:cs="Times New Roman"/>
          <w:i/>
        </w:rPr>
        <w:t>BE/ME</w:t>
      </w:r>
      <w:r>
        <w:rPr>
          <w:rFonts w:ascii="Times New Roman" w:hAnsi="Times New Roman" w:cs="Times New Roman"/>
        </w:rPr>
        <w:t xml:space="preserve"> ratio, size, institutional </w:t>
      </w:r>
      <w:r w:rsidRPr="003410DE">
        <w:rPr>
          <w:rFonts w:ascii="Times New Roman" w:hAnsi="Times New Roman" w:cs="Times New Roman"/>
        </w:rPr>
        <w:t>trading</w:t>
      </w:r>
      <w:r>
        <w:rPr>
          <w:rFonts w:ascii="Times New Roman" w:hAnsi="Times New Roman" w:cs="Times New Roman"/>
        </w:rPr>
        <w:t xml:space="preserve">, </w:t>
      </w:r>
      <w:r w:rsidRPr="003410DE">
        <w:rPr>
          <w:rFonts w:ascii="Times New Roman" w:hAnsi="Times New Roman" w:cs="Times New Roman"/>
        </w:rPr>
        <w:t>and individual trading. In Section 4, we examine the relation between institutional trading, individual trading</w:t>
      </w:r>
      <w:r>
        <w:rPr>
          <w:rFonts w:ascii="Times New Roman" w:hAnsi="Times New Roman" w:cs="Times New Roman"/>
        </w:rPr>
        <w:t>,</w:t>
      </w:r>
      <w:r w:rsidRPr="003410DE">
        <w:rPr>
          <w:rFonts w:ascii="Times New Roman" w:hAnsi="Times New Roman" w:cs="Times New Roman"/>
        </w:rPr>
        <w:t xml:space="preserve"> and stock returns. In Section 5, we analyze the influence </w:t>
      </w:r>
      <w:r>
        <w:rPr>
          <w:rFonts w:ascii="Times New Roman" w:hAnsi="Times New Roman" w:cs="Times New Roman"/>
        </w:rPr>
        <w:t>of</w:t>
      </w:r>
      <w:r w:rsidRPr="003410DE">
        <w:rPr>
          <w:rFonts w:ascii="Times New Roman" w:hAnsi="Times New Roman" w:cs="Times New Roman"/>
        </w:rPr>
        <w:t xml:space="preserve"> institutional and individual trading on value and size premium</w:t>
      </w:r>
      <w:r>
        <w:rPr>
          <w:rFonts w:ascii="Times New Roman" w:hAnsi="Times New Roman" w:cs="Times New Roman"/>
        </w:rPr>
        <w:t>s</w:t>
      </w:r>
      <w:r w:rsidRPr="003410DE">
        <w:rPr>
          <w:rFonts w:ascii="Times New Roman" w:hAnsi="Times New Roman" w:cs="Times New Roman"/>
        </w:rPr>
        <w:t xml:space="preserve">. Section 6 examines whether institutional or individual trading </w:t>
      </w:r>
      <w:r>
        <w:rPr>
          <w:rFonts w:ascii="Times New Roman" w:hAnsi="Times New Roman" w:cs="Times New Roman"/>
        </w:rPr>
        <w:t>behavior</w:t>
      </w:r>
      <w:r w:rsidRPr="003410DE">
        <w:rPr>
          <w:rFonts w:ascii="Times New Roman" w:hAnsi="Times New Roman" w:cs="Times New Roman"/>
        </w:rPr>
        <w:t xml:space="preserve"> can enhance value or size strategy. Section 7 concludes the paper.</w:t>
      </w:r>
    </w:p>
    <w:p w:rsidR="00523FB7" w:rsidRPr="00373500" w:rsidRDefault="00523FB7" w:rsidP="00CC31B9">
      <w:pPr>
        <w:snapToGrid w:val="0"/>
        <w:spacing w:line="480" w:lineRule="auto"/>
        <w:rPr>
          <w:rFonts w:ascii="Times New Roman" w:hAnsi="Times New Roman" w:cs="Times New Roman"/>
        </w:rPr>
      </w:pPr>
    </w:p>
    <w:p w:rsidR="00523FB7" w:rsidRPr="003410DE" w:rsidRDefault="00523FB7" w:rsidP="00CC31B9">
      <w:pPr>
        <w:numPr>
          <w:ilvl w:val="0"/>
          <w:numId w:val="2"/>
        </w:numPr>
        <w:snapToGrid w:val="0"/>
        <w:spacing w:line="480" w:lineRule="auto"/>
        <w:rPr>
          <w:rFonts w:ascii="Times New Roman" w:hAnsi="Times New Roman" w:cs="Times New Roman"/>
          <w:b/>
          <w:bCs/>
          <w:sz w:val="28"/>
          <w:szCs w:val="28"/>
        </w:rPr>
      </w:pPr>
      <w:r w:rsidRPr="003410DE">
        <w:rPr>
          <w:rFonts w:ascii="Times New Roman" w:hAnsi="Times New Roman" w:cs="Times New Roman"/>
          <w:b/>
          <w:bCs/>
          <w:sz w:val="28"/>
          <w:szCs w:val="28"/>
        </w:rPr>
        <w:t>Data descriptions and variable definitions</w:t>
      </w:r>
    </w:p>
    <w:p w:rsidR="00523FB7" w:rsidRPr="003410DE" w:rsidRDefault="00523FB7" w:rsidP="00CC31B9">
      <w:pPr>
        <w:numPr>
          <w:ilvl w:val="1"/>
          <w:numId w:val="2"/>
        </w:numPr>
        <w:autoSpaceDE w:val="0"/>
        <w:autoSpaceDN w:val="0"/>
        <w:adjustRightInd w:val="0"/>
        <w:snapToGrid w:val="0"/>
        <w:spacing w:line="480" w:lineRule="auto"/>
        <w:rPr>
          <w:rFonts w:ascii="Times New Roman" w:hAnsi="Times New Roman" w:cs="Times New Roman"/>
          <w:b/>
          <w:bCs/>
          <w:kern w:val="0"/>
        </w:rPr>
      </w:pPr>
      <w:r w:rsidRPr="003410DE">
        <w:rPr>
          <w:rFonts w:ascii="Times New Roman" w:hAnsi="Times New Roman" w:cs="Times New Roman"/>
          <w:b/>
          <w:bCs/>
          <w:kern w:val="0"/>
        </w:rPr>
        <w:t xml:space="preserve"> Data source</w:t>
      </w:r>
    </w:p>
    <w:p w:rsidR="00523FB7" w:rsidRPr="003410DE" w:rsidRDefault="00523FB7" w:rsidP="00B7471E">
      <w:pPr>
        <w:autoSpaceDE w:val="0"/>
        <w:autoSpaceDN w:val="0"/>
        <w:adjustRightInd w:val="0"/>
        <w:snapToGrid w:val="0"/>
        <w:spacing w:line="480" w:lineRule="auto"/>
        <w:jc w:val="both"/>
        <w:rPr>
          <w:rFonts w:ascii="Times New Roman" w:hAnsi="Times New Roman" w:cs="Times New Roman"/>
          <w:kern w:val="0"/>
        </w:rPr>
      </w:pPr>
      <w:r w:rsidRPr="003410DE">
        <w:rPr>
          <w:rFonts w:ascii="Times New Roman" w:hAnsi="Times New Roman" w:cs="Times New Roman"/>
          <w:kern w:val="0"/>
        </w:rPr>
        <w:t xml:space="preserve">Our data come from the Pacific Basin Capital Market Research Center (PACAP) database maintained by the University of Rhode Island. We collect monthly returns, annual aggregate ownership data, and annual accounting data from PACAP for all Japanese securities listed </w:t>
      </w:r>
      <w:r>
        <w:rPr>
          <w:rFonts w:ascii="Times New Roman" w:hAnsi="Times New Roman" w:cs="Times New Roman"/>
          <w:kern w:val="0"/>
        </w:rPr>
        <w:t>i</w:t>
      </w:r>
      <w:r w:rsidRPr="003410DE">
        <w:rPr>
          <w:rFonts w:ascii="Times New Roman" w:hAnsi="Times New Roman" w:cs="Times New Roman"/>
          <w:kern w:val="0"/>
        </w:rPr>
        <w:t xml:space="preserve">n the Tokyo Stock Exchange (TSE) over the sample period </w:t>
      </w:r>
      <w:r>
        <w:rPr>
          <w:rFonts w:ascii="Times New Roman" w:hAnsi="Times New Roman" w:cs="Times New Roman"/>
          <w:kern w:val="0"/>
        </w:rPr>
        <w:t xml:space="preserve">of </w:t>
      </w:r>
      <w:r w:rsidRPr="003410DE">
        <w:rPr>
          <w:rFonts w:ascii="Times New Roman" w:hAnsi="Times New Roman" w:cs="Times New Roman"/>
          <w:kern w:val="0"/>
        </w:rPr>
        <w:t>1975 to 2005. For each firm, annual aggregate ownership data of individual investor and institutional investor are shown at the end of each fiscal year (</w:t>
      </w:r>
      <w:r>
        <w:rPr>
          <w:rFonts w:ascii="Times New Roman" w:hAnsi="Times New Roman" w:cs="Times New Roman"/>
          <w:kern w:val="0"/>
        </w:rPr>
        <w:t>usually</w:t>
      </w:r>
      <w:r w:rsidRPr="003410DE">
        <w:rPr>
          <w:rFonts w:ascii="Times New Roman" w:hAnsi="Times New Roman" w:cs="Times New Roman"/>
          <w:kern w:val="0"/>
        </w:rPr>
        <w:t xml:space="preserve"> occur</w:t>
      </w:r>
      <w:r>
        <w:rPr>
          <w:rFonts w:ascii="Times New Roman" w:hAnsi="Times New Roman" w:cs="Times New Roman"/>
          <w:kern w:val="0"/>
        </w:rPr>
        <w:t>ring</w:t>
      </w:r>
      <w:r w:rsidRPr="003410DE">
        <w:rPr>
          <w:rFonts w:ascii="Times New Roman" w:hAnsi="Times New Roman" w:cs="Times New Roman"/>
          <w:kern w:val="0"/>
        </w:rPr>
        <w:t xml:space="preserve"> on March 31). There are four types of institutions: </w:t>
      </w:r>
      <w:r>
        <w:rPr>
          <w:rFonts w:ascii="Times New Roman" w:hAnsi="Times New Roman" w:cs="Times New Roman"/>
          <w:kern w:val="0"/>
        </w:rPr>
        <w:t>g</w:t>
      </w:r>
      <w:r w:rsidRPr="003410DE">
        <w:rPr>
          <w:rFonts w:ascii="Times New Roman" w:hAnsi="Times New Roman" w:cs="Times New Roman"/>
          <w:kern w:val="0"/>
        </w:rPr>
        <w:t xml:space="preserve">overnment, financial institutions, </w:t>
      </w:r>
      <w:r w:rsidRPr="000D0605">
        <w:rPr>
          <w:rFonts w:ascii="Times New Roman" w:hAnsi="Times New Roman" w:cs="Times New Roman"/>
          <w:kern w:val="0"/>
        </w:rPr>
        <w:t xml:space="preserve">securities companies, </w:t>
      </w:r>
      <w:r>
        <w:rPr>
          <w:rFonts w:ascii="Times New Roman" w:hAnsi="Times New Roman" w:cs="Times New Roman"/>
          <w:kern w:val="0"/>
        </w:rPr>
        <w:t xml:space="preserve">and </w:t>
      </w:r>
      <w:r w:rsidRPr="000D0605">
        <w:rPr>
          <w:rFonts w:ascii="Times New Roman" w:hAnsi="Times New Roman" w:cs="Times New Roman"/>
          <w:kern w:val="0"/>
        </w:rPr>
        <w:t xml:space="preserve">other business corporations. Following </w:t>
      </w:r>
      <w:r w:rsidRPr="00C333E6">
        <w:rPr>
          <w:rFonts w:ascii="Times New Roman" w:hAnsi="Times New Roman" w:cs="Times New Roman"/>
          <w:kern w:val="0"/>
        </w:rPr>
        <w:t>Kim and Nofsinger (2005),</w:t>
      </w:r>
      <w:r w:rsidRPr="000D0605">
        <w:rPr>
          <w:rFonts w:ascii="Times New Roman" w:hAnsi="Times New Roman" w:cs="Times New Roman"/>
          <w:kern w:val="0"/>
        </w:rPr>
        <w:t xml:space="preserve"> w</w:t>
      </w:r>
      <w:r>
        <w:rPr>
          <w:rFonts w:ascii="Times New Roman" w:hAnsi="Times New Roman" w:cs="Times New Roman"/>
          <w:kern w:val="0"/>
        </w:rPr>
        <w:t>e define institutions as</w:t>
      </w:r>
      <w:r w:rsidRPr="000D0605">
        <w:rPr>
          <w:rFonts w:ascii="Times New Roman" w:hAnsi="Times New Roman" w:cs="Times New Roman"/>
          <w:kern w:val="0"/>
        </w:rPr>
        <w:t xml:space="preserve"> domestic financial institutions, securities companies, and business companies.</w:t>
      </w:r>
      <w:r>
        <w:rPr>
          <w:rFonts w:ascii="Times New Roman" w:hAnsi="Times New Roman" w:cs="Times New Roman"/>
          <w:kern w:val="0"/>
        </w:rPr>
        <w:t xml:space="preserve"> </w:t>
      </w:r>
      <w:r w:rsidRPr="003410DE">
        <w:rPr>
          <w:rFonts w:ascii="Times New Roman" w:hAnsi="Times New Roman" w:cs="Times New Roman"/>
        </w:rPr>
        <w:t xml:space="preserve">Following </w:t>
      </w:r>
      <w:r w:rsidRPr="00C333E6">
        <w:rPr>
          <w:rFonts w:ascii="Times New Roman" w:hAnsi="Times New Roman" w:cs="Times New Roman"/>
        </w:rPr>
        <w:t>Chan et al. (1991) and Chang et al. (1995),</w:t>
      </w:r>
      <w:r w:rsidRPr="003410DE">
        <w:rPr>
          <w:rFonts w:ascii="Times New Roman" w:hAnsi="Times New Roman" w:cs="Times New Roman"/>
        </w:rPr>
        <w:t xml:space="preserve"> we use the 30-day Gensaki rate as the risk-free interest rate. The Gensaki rate </w:t>
      </w:r>
      <w:r>
        <w:rPr>
          <w:rFonts w:ascii="Times New Roman" w:hAnsi="Times New Roman" w:cs="Times New Roman"/>
        </w:rPr>
        <w:t>is</w:t>
      </w:r>
      <w:r w:rsidRPr="003410DE">
        <w:rPr>
          <w:rFonts w:ascii="Times New Roman" w:hAnsi="Times New Roman" w:cs="Times New Roman"/>
        </w:rPr>
        <w:t xml:space="preserve"> accepted by the Japanese Ministry of Finance as an official measure of the short-term interest rate. </w:t>
      </w:r>
      <w:r>
        <w:rPr>
          <w:rFonts w:ascii="Times New Roman" w:hAnsi="Times New Roman" w:cs="Times New Roman"/>
        </w:rPr>
        <w:t xml:space="preserve">It </w:t>
      </w:r>
      <w:r w:rsidRPr="003410DE">
        <w:rPr>
          <w:rFonts w:ascii="Times New Roman" w:hAnsi="Times New Roman" w:cs="Times New Roman"/>
        </w:rPr>
        <w:t>is also extracted from PACAP.</w:t>
      </w:r>
    </w:p>
    <w:p w:rsidR="00523FB7" w:rsidRPr="003410DE" w:rsidRDefault="00523FB7" w:rsidP="00CC31B9">
      <w:pPr>
        <w:snapToGrid w:val="0"/>
        <w:spacing w:line="480" w:lineRule="auto"/>
        <w:ind w:firstLine="480"/>
        <w:jc w:val="both"/>
        <w:rPr>
          <w:rFonts w:ascii="Times New Roman" w:hAnsi="Times New Roman" w:cs="Times New Roman"/>
          <w:kern w:val="0"/>
        </w:rPr>
      </w:pPr>
      <w:r w:rsidRPr="003410DE">
        <w:rPr>
          <w:rFonts w:ascii="Times New Roman" w:hAnsi="Times New Roman" w:cs="Times New Roman"/>
        </w:rPr>
        <w:t xml:space="preserve">The stocks must jointly satisfy the following criteria. First, </w:t>
      </w:r>
      <w:r>
        <w:rPr>
          <w:rFonts w:ascii="Times New Roman" w:hAnsi="Times New Roman" w:cs="Times New Roman"/>
        </w:rPr>
        <w:t>they</w:t>
      </w:r>
      <w:r w:rsidRPr="003410DE">
        <w:rPr>
          <w:rFonts w:ascii="Times New Roman" w:hAnsi="Times New Roman" w:cs="Times New Roman"/>
        </w:rPr>
        <w:t xml:space="preserve"> should not have negative book equity. Second, </w:t>
      </w:r>
      <w:r>
        <w:rPr>
          <w:rFonts w:ascii="Times New Roman" w:hAnsi="Times New Roman" w:cs="Times New Roman"/>
        </w:rPr>
        <w:t>they</w:t>
      </w:r>
      <w:r w:rsidRPr="003410DE">
        <w:rPr>
          <w:rFonts w:ascii="Times New Roman" w:hAnsi="Times New Roman" w:cs="Times New Roman"/>
        </w:rPr>
        <w:t xml:space="preserve"> should have stock prices at the end of March and September of year </w:t>
      </w:r>
      <w:r w:rsidRPr="00524741">
        <w:rPr>
          <w:rFonts w:ascii="Times New Roman" w:hAnsi="Times New Roman" w:cs="Times New Roman"/>
          <w:i/>
          <w:iCs/>
        </w:rPr>
        <w:t>t</w:t>
      </w:r>
      <w:r w:rsidRPr="003410DE">
        <w:rPr>
          <w:rFonts w:ascii="Times New Roman" w:hAnsi="Times New Roman" w:cs="Times New Roman"/>
        </w:rPr>
        <w:t xml:space="preserve">. Third, </w:t>
      </w:r>
      <w:r>
        <w:rPr>
          <w:rFonts w:ascii="Times New Roman" w:hAnsi="Times New Roman" w:cs="Times New Roman"/>
        </w:rPr>
        <w:t>they</w:t>
      </w:r>
      <w:r w:rsidRPr="003410DE">
        <w:rPr>
          <w:rFonts w:ascii="Times New Roman" w:hAnsi="Times New Roman" w:cs="Times New Roman"/>
        </w:rPr>
        <w:t xml:space="preserve"> must have data o</w:t>
      </w:r>
      <w:r>
        <w:rPr>
          <w:rFonts w:ascii="Times New Roman" w:hAnsi="Times New Roman" w:cs="Times New Roman"/>
        </w:rPr>
        <w:t>n</w:t>
      </w:r>
      <w:r w:rsidRPr="003410DE">
        <w:rPr>
          <w:rFonts w:ascii="Times New Roman" w:hAnsi="Times New Roman" w:cs="Times New Roman"/>
        </w:rPr>
        <w:t xml:space="preserve"> institutional and individual holdings. </w:t>
      </w:r>
      <w:r w:rsidRPr="003410DE">
        <w:rPr>
          <w:rFonts w:ascii="Times New Roman" w:hAnsi="Times New Roman" w:cs="Times New Roman"/>
          <w:kern w:val="0"/>
        </w:rPr>
        <w:t xml:space="preserve">In addition, we only include industrial firms. </w:t>
      </w:r>
      <w:r w:rsidRPr="003410DE">
        <w:rPr>
          <w:rFonts w:ascii="Times New Roman" w:hAnsi="Times New Roman" w:cs="Times New Roman"/>
        </w:rPr>
        <w:t xml:space="preserve">The number of firms in the final sample </w:t>
      </w:r>
      <w:r>
        <w:rPr>
          <w:rFonts w:ascii="Times New Roman" w:hAnsi="Times New Roman" w:cs="Times New Roman"/>
        </w:rPr>
        <w:t xml:space="preserve">for years </w:t>
      </w:r>
      <w:r w:rsidRPr="003410DE">
        <w:rPr>
          <w:rFonts w:ascii="Times New Roman" w:hAnsi="Times New Roman" w:cs="Times New Roman"/>
        </w:rPr>
        <w:t>1975</w:t>
      </w:r>
      <w:r>
        <w:rPr>
          <w:rFonts w:ascii="Times New Roman" w:hAnsi="Times New Roman" w:cs="Times New Roman"/>
        </w:rPr>
        <w:t>, 1985, 1995, and 2005 is 709, 1225, 1385, and 842, respectively, with</w:t>
      </w:r>
      <w:r w:rsidRPr="003410DE">
        <w:rPr>
          <w:rFonts w:ascii="Times New Roman" w:hAnsi="Times New Roman" w:cs="Times New Roman"/>
        </w:rPr>
        <w:t xml:space="preserve"> an average of 1,166 firms per year. </w:t>
      </w:r>
      <w:r w:rsidRPr="003410DE">
        <w:rPr>
          <w:rFonts w:ascii="Times New Roman" w:hAnsi="Times New Roman" w:cs="Times New Roman"/>
          <w:kern w:val="0"/>
        </w:rPr>
        <w:t>Firm-year observations are 36,233.</w:t>
      </w:r>
    </w:p>
    <w:p w:rsidR="00523FB7" w:rsidRPr="00D337DA" w:rsidRDefault="00523FB7" w:rsidP="00CC31B9">
      <w:pPr>
        <w:snapToGrid w:val="0"/>
        <w:spacing w:line="480" w:lineRule="auto"/>
        <w:rPr>
          <w:rFonts w:ascii="Times New Roman" w:hAnsi="Times New Roman" w:cs="Times New Roman"/>
          <w:kern w:val="0"/>
        </w:rPr>
      </w:pPr>
    </w:p>
    <w:p w:rsidR="00523FB7" w:rsidRPr="003410DE" w:rsidRDefault="00523FB7" w:rsidP="00CC31B9">
      <w:pPr>
        <w:numPr>
          <w:ilvl w:val="1"/>
          <w:numId w:val="2"/>
        </w:numPr>
        <w:autoSpaceDE w:val="0"/>
        <w:autoSpaceDN w:val="0"/>
        <w:adjustRightInd w:val="0"/>
        <w:snapToGrid w:val="0"/>
        <w:spacing w:line="480" w:lineRule="auto"/>
        <w:rPr>
          <w:rFonts w:ascii="Times New Roman" w:hAnsi="Times New Roman" w:cs="Times New Roman"/>
          <w:b/>
          <w:bCs/>
          <w:kern w:val="0"/>
        </w:rPr>
      </w:pPr>
      <w:r w:rsidRPr="003410DE">
        <w:rPr>
          <w:rFonts w:ascii="Times New Roman" w:hAnsi="Times New Roman" w:cs="Times New Roman"/>
          <w:b/>
          <w:bCs/>
          <w:kern w:val="0"/>
        </w:rPr>
        <w:t xml:space="preserve"> Summary statistics</w:t>
      </w:r>
    </w:p>
    <w:p w:rsidR="00523FB7" w:rsidRPr="003410DE" w:rsidRDefault="00523FB7" w:rsidP="00CC31B9">
      <w:pPr>
        <w:autoSpaceDE w:val="0"/>
        <w:autoSpaceDN w:val="0"/>
        <w:adjustRightInd w:val="0"/>
        <w:snapToGrid w:val="0"/>
        <w:spacing w:line="480" w:lineRule="auto"/>
        <w:jc w:val="both"/>
        <w:rPr>
          <w:rFonts w:ascii="Times New Roman" w:hAnsi="Times New Roman" w:cs="Times New Roman"/>
          <w:kern w:val="0"/>
        </w:rPr>
      </w:pPr>
      <w:r w:rsidRPr="003410DE">
        <w:rPr>
          <w:rFonts w:ascii="Times New Roman" w:hAnsi="Times New Roman" w:cs="Times New Roman"/>
          <w:kern w:val="0"/>
        </w:rPr>
        <w:t xml:space="preserve">For each year </w:t>
      </w:r>
      <w:r w:rsidRPr="003410DE">
        <w:rPr>
          <w:rFonts w:ascii="Times New Roman" w:hAnsi="Times New Roman" w:cs="Times New Roman"/>
          <w:i/>
          <w:iCs/>
          <w:kern w:val="0"/>
        </w:rPr>
        <w:t>t</w:t>
      </w:r>
      <w:r w:rsidRPr="003410DE">
        <w:rPr>
          <w:rFonts w:ascii="Times New Roman" w:hAnsi="Times New Roman" w:cs="Times New Roman"/>
          <w:kern w:val="0"/>
        </w:rPr>
        <w:t xml:space="preserve">, we compute </w:t>
      </w:r>
      <w:r w:rsidRPr="00D5561B">
        <w:rPr>
          <w:rFonts w:ascii="Times New Roman" w:hAnsi="Times New Roman" w:cs="Times New Roman"/>
          <w:i/>
          <w:kern w:val="0"/>
        </w:rPr>
        <w:t>BE/ME</w:t>
      </w:r>
      <w:r w:rsidRPr="003410DE">
        <w:rPr>
          <w:rFonts w:ascii="Times New Roman" w:hAnsi="Times New Roman" w:cs="Times New Roman"/>
          <w:kern w:val="0"/>
        </w:rPr>
        <w:t xml:space="preserve"> as the ratio of book value of equity (computed as i</w:t>
      </w:r>
      <w:r w:rsidRPr="00D37400">
        <w:rPr>
          <w:rFonts w:ascii="Times New Roman" w:hAnsi="Times New Roman" w:cs="Times New Roman"/>
          <w:kern w:val="0"/>
        </w:rPr>
        <w:t>n Fama and French, 1992) at t</w:t>
      </w:r>
      <w:r w:rsidRPr="003410DE">
        <w:rPr>
          <w:rFonts w:ascii="Times New Roman" w:hAnsi="Times New Roman" w:cs="Times New Roman"/>
          <w:kern w:val="0"/>
        </w:rPr>
        <w:t xml:space="preserve">he end of March (the </w:t>
      </w:r>
      <w:r>
        <w:rPr>
          <w:rFonts w:ascii="Times New Roman" w:hAnsi="Times New Roman" w:cs="Times New Roman"/>
          <w:kern w:val="0"/>
        </w:rPr>
        <w:t xml:space="preserve">end of the </w:t>
      </w:r>
      <w:r w:rsidRPr="003410DE">
        <w:rPr>
          <w:rFonts w:ascii="Times New Roman" w:hAnsi="Times New Roman" w:cs="Times New Roman"/>
          <w:kern w:val="0"/>
        </w:rPr>
        <w:t>fiscal year) divided by the market value of equity at the end of March from 1975 to 2005. We compute market capitalization (</w:t>
      </w:r>
      <w:r w:rsidRPr="00D37400">
        <w:rPr>
          <w:rFonts w:ascii="Times New Roman" w:hAnsi="Times New Roman" w:cs="Times New Roman"/>
          <w:i/>
          <w:kern w:val="0"/>
        </w:rPr>
        <w:t>ME</w:t>
      </w:r>
      <w:r w:rsidRPr="003410DE">
        <w:rPr>
          <w:rFonts w:ascii="Times New Roman" w:hAnsi="Times New Roman" w:cs="Times New Roman"/>
          <w:kern w:val="0"/>
        </w:rPr>
        <w:t xml:space="preserve">) using market equity at the end of June in the calendar year </w:t>
      </w:r>
      <w:r w:rsidRPr="003410DE">
        <w:rPr>
          <w:rFonts w:ascii="Times New Roman" w:hAnsi="Times New Roman" w:cs="Times New Roman"/>
          <w:i/>
          <w:iCs/>
          <w:kern w:val="0"/>
        </w:rPr>
        <w:t>t</w:t>
      </w:r>
      <w:r w:rsidRPr="003410DE">
        <w:rPr>
          <w:rFonts w:ascii="Times New Roman" w:hAnsi="Times New Roman" w:cs="Times New Roman"/>
          <w:kern w:val="0"/>
        </w:rPr>
        <w:t>. To avoid look-ahead-bias, stock returns are over the period</w:t>
      </w:r>
      <w:r>
        <w:rPr>
          <w:rFonts w:ascii="Times New Roman" w:hAnsi="Times New Roman" w:cs="Times New Roman"/>
          <w:kern w:val="0"/>
        </w:rPr>
        <w:t xml:space="preserve"> of</w:t>
      </w:r>
      <w:r w:rsidRPr="003410DE">
        <w:rPr>
          <w:rFonts w:ascii="Times New Roman" w:hAnsi="Times New Roman" w:cs="Times New Roman"/>
          <w:kern w:val="0"/>
        </w:rPr>
        <w:t xml:space="preserve"> July 1976 to December 2006. </w:t>
      </w:r>
    </w:p>
    <w:p w:rsidR="00523FB7" w:rsidRDefault="00523FB7" w:rsidP="00CC31B9">
      <w:pPr>
        <w:autoSpaceDE w:val="0"/>
        <w:autoSpaceDN w:val="0"/>
        <w:adjustRightInd w:val="0"/>
        <w:snapToGrid w:val="0"/>
        <w:spacing w:line="480" w:lineRule="auto"/>
        <w:ind w:firstLine="480"/>
        <w:jc w:val="both"/>
        <w:rPr>
          <w:rFonts w:ascii="TimesNewRomanPSMT" w:hAnsi="TimesNewRomanPSMT" w:cs="TimesNewRomanPSMT"/>
          <w:kern w:val="0"/>
        </w:rPr>
      </w:pPr>
      <w:r w:rsidRPr="003410DE">
        <w:rPr>
          <w:rFonts w:ascii="Times New Roman" w:hAnsi="Times New Roman" w:cs="Times New Roman"/>
        </w:rPr>
        <w:t xml:space="preserve">For each year and stock, institutional ownership (individual ownership) is defined as institutional holdings (individual holdings) scaled by shares outstanding. </w:t>
      </w:r>
      <w:r w:rsidRPr="003410DE">
        <w:rPr>
          <w:rFonts w:ascii="Times New Roman" w:hAnsi="Times New Roman" w:cs="Times New Roman"/>
          <w:kern w:val="0"/>
        </w:rPr>
        <w:t>We calculate institutional trading</w:t>
      </w:r>
      <w:r>
        <w:rPr>
          <w:rFonts w:ascii="Times New Roman" w:hAnsi="Times New Roman" w:cs="Times New Roman"/>
          <w:kern w:val="0"/>
        </w:rPr>
        <w:t xml:space="preserve"> </w:t>
      </w:r>
      <w:r w:rsidRPr="003410DE">
        <w:rPr>
          <w:rFonts w:ascii="Times New Roman" w:hAnsi="Times New Roman" w:cs="Times New Roman"/>
        </w:rPr>
        <w:t>(</w:t>
      </w:r>
      <w:r w:rsidRPr="00D37400">
        <w:rPr>
          <w:rFonts w:ascii="Times New Roman" w:hAnsi="Times New Roman" w:cs="Times New Roman"/>
          <w:i/>
        </w:rPr>
        <w:t>D</w:t>
      </w:r>
      <w:r w:rsidRPr="0017025B">
        <w:rPr>
          <w:rFonts w:ascii="Times New Roman" w:hAnsi="Times New Roman" w:cs="Times New Roman"/>
          <w:i/>
        </w:rPr>
        <w:t>ITH</w:t>
      </w:r>
      <w:r w:rsidRPr="003410DE">
        <w:rPr>
          <w:rFonts w:ascii="Times New Roman" w:hAnsi="Times New Roman" w:cs="Times New Roman"/>
        </w:rPr>
        <w:t>)</w:t>
      </w:r>
      <w:r w:rsidRPr="003410DE">
        <w:rPr>
          <w:rFonts w:ascii="Times New Roman" w:hAnsi="Times New Roman" w:cs="Times New Roman"/>
          <w:kern w:val="0"/>
        </w:rPr>
        <w:t xml:space="preserve"> as </w:t>
      </w:r>
      <w:r w:rsidRPr="003410DE">
        <w:rPr>
          <w:rFonts w:ascii="Times New Roman" w:hAnsi="Times New Roman" w:cs="Times New Roman"/>
        </w:rPr>
        <w:t xml:space="preserve">changes in institutional ownership between </w:t>
      </w:r>
      <w:r>
        <w:rPr>
          <w:rFonts w:ascii="Times New Roman" w:hAnsi="Times New Roman" w:cs="Times New Roman"/>
        </w:rPr>
        <w:t xml:space="preserve">fiscal </w:t>
      </w:r>
      <w:r w:rsidRPr="003410DE">
        <w:rPr>
          <w:rFonts w:ascii="Times New Roman" w:hAnsi="Times New Roman" w:cs="Times New Roman"/>
        </w:rPr>
        <w:t>year</w:t>
      </w:r>
      <w:r>
        <w:rPr>
          <w:rFonts w:ascii="Times New Roman" w:hAnsi="Times New Roman" w:cs="Times New Roman"/>
        </w:rPr>
        <w:t xml:space="preserve"> end</w:t>
      </w:r>
      <w:r w:rsidRPr="003410DE">
        <w:rPr>
          <w:rFonts w:ascii="Times New Roman" w:hAnsi="Times New Roman" w:cs="Times New Roman"/>
        </w:rPr>
        <w:t xml:space="preserve"> </w:t>
      </w:r>
      <w:r w:rsidRPr="00954E29">
        <w:rPr>
          <w:rFonts w:ascii="Times New Roman" w:hAnsi="Times New Roman" w:cs="Times New Roman"/>
          <w:i/>
          <w:iCs/>
        </w:rPr>
        <w:t>t</w:t>
      </w:r>
      <w:r w:rsidRPr="003410DE">
        <w:rPr>
          <w:rFonts w:ascii="Times New Roman" w:hAnsi="Times New Roman" w:cs="Times New Roman"/>
        </w:rPr>
        <w:t>-</w:t>
      </w:r>
      <w:r>
        <w:rPr>
          <w:rFonts w:ascii="Times New Roman" w:hAnsi="Times New Roman" w:cs="Times New Roman"/>
        </w:rPr>
        <w:t>2</w:t>
      </w:r>
      <w:r w:rsidRPr="003410DE">
        <w:rPr>
          <w:rFonts w:ascii="Times New Roman" w:hAnsi="Times New Roman" w:cs="Times New Roman"/>
        </w:rPr>
        <w:t xml:space="preserve"> and</w:t>
      </w:r>
      <w:r>
        <w:rPr>
          <w:rFonts w:ascii="Times New Roman" w:hAnsi="Times New Roman" w:cs="Times New Roman"/>
        </w:rPr>
        <w:t xml:space="preserve"> fiscal </w:t>
      </w:r>
      <w:r w:rsidRPr="003410DE">
        <w:rPr>
          <w:rFonts w:ascii="Times New Roman" w:hAnsi="Times New Roman" w:cs="Times New Roman"/>
        </w:rPr>
        <w:t>year</w:t>
      </w:r>
      <w:r>
        <w:rPr>
          <w:rFonts w:ascii="Times New Roman" w:hAnsi="Times New Roman" w:cs="Times New Roman"/>
        </w:rPr>
        <w:t xml:space="preserve"> end</w:t>
      </w:r>
      <w:r w:rsidRPr="003410DE">
        <w:rPr>
          <w:rFonts w:ascii="Times New Roman" w:hAnsi="Times New Roman" w:cs="Times New Roman"/>
        </w:rPr>
        <w:t xml:space="preserve"> </w:t>
      </w:r>
      <w:r w:rsidRPr="00954E29">
        <w:rPr>
          <w:rFonts w:ascii="Times New Roman" w:hAnsi="Times New Roman" w:cs="Times New Roman"/>
          <w:i/>
          <w:iCs/>
        </w:rPr>
        <w:t>t</w:t>
      </w:r>
      <w:r w:rsidRPr="0053784B">
        <w:rPr>
          <w:rFonts w:ascii="Times New Roman" w:hAnsi="Times New Roman" w:cs="Times New Roman"/>
        </w:rPr>
        <w:t>-</w:t>
      </w:r>
      <w:r>
        <w:rPr>
          <w:rFonts w:ascii="Times New Roman" w:hAnsi="Times New Roman" w:cs="Times New Roman"/>
        </w:rPr>
        <w:t>1</w:t>
      </w:r>
      <w:r w:rsidRPr="003410DE">
        <w:rPr>
          <w:rFonts w:ascii="Times New Roman" w:hAnsi="Times New Roman" w:cs="Times New Roman"/>
        </w:rPr>
        <w:t>, and individual trading (</w:t>
      </w:r>
      <w:r w:rsidRPr="00091462">
        <w:rPr>
          <w:rFonts w:ascii="Times New Roman" w:hAnsi="Times New Roman" w:cs="Times New Roman"/>
          <w:i/>
        </w:rPr>
        <w:t>DIND</w:t>
      </w:r>
      <w:r w:rsidRPr="003410DE">
        <w:rPr>
          <w:rFonts w:ascii="Times New Roman" w:hAnsi="Times New Roman" w:cs="Times New Roman"/>
        </w:rPr>
        <w:t>)</w:t>
      </w:r>
      <w:r>
        <w:rPr>
          <w:rFonts w:ascii="Times New Roman" w:hAnsi="Times New Roman" w:cs="Times New Roman"/>
        </w:rPr>
        <w:t xml:space="preserve"> </w:t>
      </w:r>
      <w:r w:rsidRPr="003410DE">
        <w:rPr>
          <w:rFonts w:ascii="Times New Roman" w:hAnsi="Times New Roman" w:cs="Times New Roman"/>
        </w:rPr>
        <w:t xml:space="preserve">as changes in individual ownership between </w:t>
      </w:r>
      <w:r>
        <w:rPr>
          <w:rFonts w:ascii="Times New Roman" w:hAnsi="Times New Roman" w:cs="Times New Roman"/>
        </w:rPr>
        <w:t xml:space="preserve">fiscal </w:t>
      </w:r>
      <w:r w:rsidRPr="003410DE">
        <w:rPr>
          <w:rFonts w:ascii="Times New Roman" w:hAnsi="Times New Roman" w:cs="Times New Roman"/>
        </w:rPr>
        <w:t>year</w:t>
      </w:r>
      <w:r>
        <w:rPr>
          <w:rFonts w:ascii="Times New Roman" w:hAnsi="Times New Roman" w:cs="Times New Roman"/>
        </w:rPr>
        <w:t xml:space="preserve"> end</w:t>
      </w:r>
      <w:r w:rsidRPr="003410DE">
        <w:rPr>
          <w:rFonts w:ascii="Times New Roman" w:hAnsi="Times New Roman" w:cs="Times New Roman"/>
        </w:rPr>
        <w:t xml:space="preserve"> </w:t>
      </w:r>
      <w:r w:rsidRPr="00954E29">
        <w:rPr>
          <w:rFonts w:ascii="Times New Roman" w:hAnsi="Times New Roman" w:cs="Times New Roman"/>
          <w:i/>
          <w:iCs/>
        </w:rPr>
        <w:t>t</w:t>
      </w:r>
      <w:r w:rsidRPr="003410DE">
        <w:rPr>
          <w:rFonts w:ascii="Times New Roman" w:hAnsi="Times New Roman" w:cs="Times New Roman"/>
        </w:rPr>
        <w:t>-</w:t>
      </w:r>
      <w:r>
        <w:rPr>
          <w:rFonts w:ascii="Times New Roman" w:hAnsi="Times New Roman" w:cs="Times New Roman"/>
        </w:rPr>
        <w:t>2</w:t>
      </w:r>
      <w:r w:rsidRPr="003410DE">
        <w:rPr>
          <w:rFonts w:ascii="Times New Roman" w:hAnsi="Times New Roman" w:cs="Times New Roman"/>
        </w:rPr>
        <w:t xml:space="preserve"> and</w:t>
      </w:r>
      <w:r>
        <w:rPr>
          <w:rFonts w:ascii="Times New Roman" w:hAnsi="Times New Roman" w:cs="Times New Roman"/>
        </w:rPr>
        <w:t xml:space="preserve"> fiscal </w:t>
      </w:r>
      <w:r w:rsidRPr="003410DE">
        <w:rPr>
          <w:rFonts w:ascii="Times New Roman" w:hAnsi="Times New Roman" w:cs="Times New Roman"/>
        </w:rPr>
        <w:t>year</w:t>
      </w:r>
      <w:r>
        <w:rPr>
          <w:rFonts w:ascii="Times New Roman" w:hAnsi="Times New Roman" w:cs="Times New Roman"/>
        </w:rPr>
        <w:t xml:space="preserve"> end</w:t>
      </w:r>
      <w:r w:rsidRPr="003410DE">
        <w:rPr>
          <w:rFonts w:ascii="Times New Roman" w:hAnsi="Times New Roman" w:cs="Times New Roman"/>
        </w:rPr>
        <w:t xml:space="preserve"> </w:t>
      </w:r>
      <w:r w:rsidRPr="00954E29">
        <w:rPr>
          <w:rFonts w:ascii="Times New Roman" w:hAnsi="Times New Roman" w:cs="Times New Roman"/>
          <w:i/>
          <w:iCs/>
        </w:rPr>
        <w:t>t</w:t>
      </w:r>
      <w:r w:rsidRPr="0053784B">
        <w:rPr>
          <w:rFonts w:ascii="Times New Roman" w:hAnsi="Times New Roman" w:cs="Times New Roman"/>
        </w:rPr>
        <w:t>-</w:t>
      </w:r>
      <w:r>
        <w:rPr>
          <w:rFonts w:ascii="Times New Roman" w:hAnsi="Times New Roman" w:cs="Times New Roman"/>
        </w:rPr>
        <w:t>1.</w:t>
      </w:r>
      <w:r w:rsidRPr="003410DE">
        <w:rPr>
          <w:rFonts w:ascii="Times New Roman" w:hAnsi="Times New Roman" w:cs="Times New Roman"/>
        </w:rPr>
        <w:t xml:space="preserve"> </w:t>
      </w:r>
      <w:r>
        <w:rPr>
          <w:rFonts w:ascii="Times New Roman" w:hAnsi="Times New Roman" w:cs="Times New Roman"/>
        </w:rPr>
        <w:t>To control for the systematic component, w</w:t>
      </w:r>
      <w:r w:rsidRPr="003410DE">
        <w:rPr>
          <w:rFonts w:ascii="Times New Roman" w:hAnsi="Times New Roman" w:cs="Times New Roman"/>
          <w:kern w:val="0"/>
        </w:rPr>
        <w:t xml:space="preserve">e </w:t>
      </w:r>
      <w:r w:rsidRPr="003410DE">
        <w:rPr>
          <w:rFonts w:ascii="Times New Roman" w:hAnsi="Times New Roman" w:cs="Times New Roman"/>
        </w:rPr>
        <w:t xml:space="preserve">compute </w:t>
      </w:r>
      <w:r>
        <w:rPr>
          <w:rFonts w:ascii="Times New Roman" w:hAnsi="Times New Roman" w:cs="Times New Roman"/>
        </w:rPr>
        <w:t>industry-</w:t>
      </w:r>
      <w:r w:rsidRPr="003410DE">
        <w:rPr>
          <w:rFonts w:ascii="Times New Roman" w:hAnsi="Times New Roman" w:cs="Times New Roman"/>
        </w:rPr>
        <w:t>adjusted</w:t>
      </w:r>
      <w:r>
        <w:rPr>
          <w:rFonts w:ascii="Times New Roman" w:hAnsi="Times New Roman" w:cs="Times New Roman"/>
        </w:rPr>
        <w:t xml:space="preserve"> change in institutional ownership</w:t>
      </w:r>
      <w:r w:rsidRPr="003410DE">
        <w:rPr>
          <w:rFonts w:ascii="Times New Roman" w:hAnsi="Times New Roman" w:cs="Times New Roman"/>
        </w:rPr>
        <w:t xml:space="preserve"> (</w:t>
      </w:r>
      <w:r w:rsidRPr="00D5561B">
        <w:rPr>
          <w:rFonts w:ascii="Times New Roman" w:hAnsi="Times New Roman" w:cs="Times New Roman"/>
          <w:i/>
        </w:rPr>
        <w:t>AdjD</w:t>
      </w:r>
      <w:r w:rsidRPr="0017025B">
        <w:rPr>
          <w:rFonts w:ascii="Times New Roman" w:hAnsi="Times New Roman" w:cs="Times New Roman"/>
          <w:i/>
        </w:rPr>
        <w:t>ITH</w:t>
      </w:r>
      <w:r w:rsidRPr="003410DE">
        <w:rPr>
          <w:rFonts w:ascii="Times New Roman" w:hAnsi="Times New Roman" w:cs="Times New Roman"/>
        </w:rPr>
        <w:t xml:space="preserve">) as </w:t>
      </w:r>
      <w:r w:rsidRPr="00091462">
        <w:rPr>
          <w:rFonts w:ascii="Times New Roman" w:hAnsi="Times New Roman" w:cs="Times New Roman"/>
          <w:i/>
        </w:rPr>
        <w:t>D</w:t>
      </w:r>
      <w:r w:rsidRPr="0017025B">
        <w:rPr>
          <w:rFonts w:ascii="Times New Roman" w:hAnsi="Times New Roman" w:cs="Times New Roman"/>
          <w:i/>
        </w:rPr>
        <w:t>ITH</w:t>
      </w:r>
      <w:r w:rsidRPr="003410DE">
        <w:rPr>
          <w:rFonts w:ascii="Times New Roman" w:hAnsi="Times New Roman" w:cs="Times New Roman"/>
        </w:rPr>
        <w:t xml:space="preserve"> subtract</w:t>
      </w:r>
      <w:r>
        <w:rPr>
          <w:rFonts w:ascii="Times New Roman" w:hAnsi="Times New Roman" w:cs="Times New Roman"/>
        </w:rPr>
        <w:t>ed from the</w:t>
      </w:r>
      <w:r w:rsidRPr="003410DE">
        <w:rPr>
          <w:rFonts w:ascii="Times New Roman" w:hAnsi="Times New Roman" w:cs="Times New Roman"/>
        </w:rPr>
        <w:t xml:space="preserve"> median value of industry </w:t>
      </w:r>
      <w:r w:rsidRPr="00091462">
        <w:rPr>
          <w:rFonts w:ascii="Times New Roman" w:hAnsi="Times New Roman" w:cs="Times New Roman"/>
          <w:i/>
        </w:rPr>
        <w:t>D</w:t>
      </w:r>
      <w:r w:rsidRPr="0017025B">
        <w:rPr>
          <w:rFonts w:ascii="Times New Roman" w:hAnsi="Times New Roman" w:cs="Times New Roman"/>
          <w:i/>
        </w:rPr>
        <w:t>ITH</w:t>
      </w:r>
      <w:r w:rsidRPr="003410DE">
        <w:rPr>
          <w:rFonts w:ascii="Times New Roman" w:hAnsi="Times New Roman" w:cs="Times New Roman"/>
        </w:rPr>
        <w:t xml:space="preserve">, where industry </w:t>
      </w:r>
      <w:r w:rsidRPr="00091462">
        <w:rPr>
          <w:rFonts w:ascii="Times New Roman" w:hAnsi="Times New Roman" w:cs="Times New Roman"/>
          <w:i/>
        </w:rPr>
        <w:t>D</w:t>
      </w:r>
      <w:r w:rsidRPr="0017025B">
        <w:rPr>
          <w:rFonts w:ascii="Times New Roman" w:hAnsi="Times New Roman" w:cs="Times New Roman"/>
          <w:i/>
        </w:rPr>
        <w:t>ITH</w:t>
      </w:r>
      <w:r w:rsidRPr="003410DE">
        <w:rPr>
          <w:rFonts w:ascii="Times New Roman" w:hAnsi="Times New Roman" w:cs="Times New Roman"/>
        </w:rPr>
        <w:t xml:space="preserve"> is measured by</w:t>
      </w:r>
      <w:r>
        <w:rPr>
          <w:rFonts w:ascii="Times New Roman" w:hAnsi="Times New Roman" w:cs="Times New Roman"/>
        </w:rPr>
        <w:t xml:space="preserve"> the</w:t>
      </w:r>
      <w:r w:rsidRPr="003410DE">
        <w:rPr>
          <w:rFonts w:ascii="Times New Roman" w:hAnsi="Times New Roman" w:cs="Times New Roman"/>
        </w:rPr>
        <w:t xml:space="preserve"> two-digits SIC industry. Adjus</w:t>
      </w:r>
      <w:r>
        <w:rPr>
          <w:rFonts w:ascii="Times New Roman" w:hAnsi="Times New Roman" w:cs="Times New Roman"/>
        </w:rPr>
        <w:t>ted change in individual ownership</w:t>
      </w:r>
      <w:r w:rsidRPr="003410DE">
        <w:rPr>
          <w:rFonts w:ascii="Times New Roman" w:hAnsi="Times New Roman" w:cs="Times New Roman"/>
        </w:rPr>
        <w:t xml:space="preserve"> (</w:t>
      </w:r>
      <w:r w:rsidRPr="00D5561B">
        <w:rPr>
          <w:rFonts w:ascii="Times New Roman" w:hAnsi="Times New Roman" w:cs="Times New Roman"/>
          <w:i/>
        </w:rPr>
        <w:t>AdjDIND</w:t>
      </w:r>
      <w:r w:rsidRPr="003410DE">
        <w:rPr>
          <w:rFonts w:ascii="Times New Roman" w:hAnsi="Times New Roman" w:cs="Times New Roman"/>
        </w:rPr>
        <w:t>) is defined similarly.</w:t>
      </w:r>
      <w:r>
        <w:rPr>
          <w:rFonts w:ascii="Times New Roman" w:hAnsi="Times New Roman" w:cs="Times New Roman"/>
        </w:rPr>
        <w:t xml:space="preserve"> </w:t>
      </w:r>
      <w:r>
        <w:rPr>
          <w:rFonts w:ascii="TimesNewRomanPSMT" w:hAnsi="TimesNewRomanPSMT" w:cs="TimesNewRomanPSMT"/>
          <w:kern w:val="0"/>
        </w:rPr>
        <w:t xml:space="preserve">The time line for the measures of book-to-market ratio, market </w:t>
      </w:r>
      <w:r w:rsidRPr="003410DE">
        <w:rPr>
          <w:rFonts w:ascii="Times New Roman" w:hAnsi="Times New Roman" w:cs="Times New Roman"/>
          <w:kern w:val="0"/>
        </w:rPr>
        <w:t>capitalization</w:t>
      </w:r>
      <w:r>
        <w:rPr>
          <w:rFonts w:ascii="TimesNewRomanPSMT" w:hAnsi="TimesNewRomanPSMT" w:cs="TimesNewRomanPSMT"/>
          <w:kern w:val="0"/>
        </w:rPr>
        <w:t>, institutional and individual investors’ trading, and the subsequent stock return performance is illustrated in Figure 1.</w:t>
      </w:r>
    </w:p>
    <w:p w:rsidR="00523FB7" w:rsidRPr="00741707" w:rsidRDefault="00523FB7" w:rsidP="005F29E4">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&lt;</w:t>
      </w:r>
      <w:r w:rsidRPr="00134F15">
        <w:rPr>
          <w:rFonts w:ascii="Times New Roman" w:hAnsi="Times New Roman" w:cs="Times New Roman"/>
          <w:bCs/>
          <w:kern w:val="0"/>
          <w:sz w:val="28"/>
          <w:szCs w:val="28"/>
        </w:rPr>
        <w:t xml:space="preserve"> </w:t>
      </w:r>
      <w:r w:rsidRPr="00B43980">
        <w:rPr>
          <w:rFonts w:ascii="Times New Roman" w:hAnsi="Times New Roman" w:cs="Times New Roman"/>
          <w:bCs/>
          <w:kern w:val="0"/>
          <w:sz w:val="28"/>
          <w:szCs w:val="28"/>
        </w:rPr>
        <w:t>Insert</w:t>
      </w:r>
      <w:r w:rsidRPr="00741707">
        <w:rPr>
          <w:rFonts w:ascii="Times New Roman" w:hAnsi="Times New Roman" w:cs="Times New Roman"/>
          <w:bCs/>
          <w:kern w:val="0"/>
          <w:sz w:val="28"/>
          <w:szCs w:val="28"/>
        </w:rPr>
        <w:t xml:space="preserve"> Figure 1 about here&gt;</w:t>
      </w:r>
    </w:p>
    <w:p w:rsidR="00523FB7" w:rsidRPr="003410DE" w:rsidRDefault="00523FB7" w:rsidP="00CC31B9">
      <w:pPr>
        <w:overflowPunct w:val="0"/>
        <w:autoSpaceDE w:val="0"/>
        <w:autoSpaceDN w:val="0"/>
        <w:adjustRightInd w:val="0"/>
        <w:snapToGrid w:val="0"/>
        <w:spacing w:line="480" w:lineRule="auto"/>
        <w:ind w:firstLine="480"/>
        <w:jc w:val="both"/>
        <w:rPr>
          <w:rFonts w:ascii="Times New Roman" w:hAnsi="Times New Roman" w:cs="Times New Roman"/>
          <w:kern w:val="0"/>
        </w:rPr>
      </w:pPr>
      <w:r w:rsidRPr="003410DE">
        <w:rPr>
          <w:rFonts w:ascii="Times New Roman" w:hAnsi="Times New Roman" w:cs="Times New Roman"/>
          <w:kern w:val="0"/>
        </w:rPr>
        <w:t>Following the previous literature, we do not include firms until they are in the PACAP database for two years to reduce survival biases. These requirements should reduce the influence of small, young growth stocks on the results. To prevent extreme observations from influencing our results, we follow the literature (</w:t>
      </w:r>
      <w:r w:rsidRPr="00EF5FB2">
        <w:rPr>
          <w:rFonts w:ascii="Times New Roman" w:hAnsi="Times New Roman" w:cs="Times New Roman"/>
          <w:kern w:val="0"/>
        </w:rPr>
        <w:t>Fama and French, 1992; Dichev, 1998)</w:t>
      </w:r>
      <w:r>
        <w:rPr>
          <w:rFonts w:ascii="Times New Roman" w:hAnsi="Times New Roman" w:cs="Times New Roman"/>
          <w:kern w:val="0"/>
        </w:rPr>
        <w:t xml:space="preserve"> and w</w:t>
      </w:r>
      <w:r w:rsidRPr="003410DE">
        <w:rPr>
          <w:rFonts w:ascii="Times New Roman" w:hAnsi="Times New Roman" w:cs="Times New Roman"/>
          <w:kern w:val="0"/>
        </w:rPr>
        <w:t xml:space="preserve">insorize the top 99% and bottom 1% of all relevant variables. The resulting sample data </w:t>
      </w:r>
      <w:r>
        <w:rPr>
          <w:rFonts w:ascii="Times New Roman" w:hAnsi="Times New Roman" w:cs="Times New Roman"/>
          <w:kern w:val="0"/>
        </w:rPr>
        <w:t>are</w:t>
      </w:r>
      <w:r w:rsidRPr="003410DE">
        <w:rPr>
          <w:rFonts w:ascii="Times New Roman" w:hAnsi="Times New Roman" w:cs="Times New Roman"/>
          <w:kern w:val="0"/>
        </w:rPr>
        <w:t xml:space="preserve"> summarized in Table 1. As a first step in analyzing the data, we compute the correlations between the variables. As demonstrated in Panel B of Table 1,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w:t>
      </w:r>
      <w:r>
        <w:rPr>
          <w:rFonts w:ascii="Times New Roman" w:hAnsi="Times New Roman" w:cs="Times New Roman"/>
          <w:kern w:val="0"/>
        </w:rPr>
        <w:t>is</w:t>
      </w:r>
      <w:r w:rsidRPr="003410DE">
        <w:rPr>
          <w:rFonts w:ascii="Times New Roman" w:hAnsi="Times New Roman" w:cs="Times New Roman"/>
          <w:kern w:val="0"/>
        </w:rPr>
        <w:t xml:space="preserve"> negatively correlated </w:t>
      </w:r>
      <w:r>
        <w:rPr>
          <w:rFonts w:ascii="Times New Roman" w:hAnsi="Times New Roman" w:cs="Times New Roman"/>
          <w:kern w:val="0"/>
        </w:rPr>
        <w:t>with</w:t>
      </w:r>
      <w:r w:rsidRPr="003410DE">
        <w:rPr>
          <w:rFonts w:ascii="Times New Roman" w:hAnsi="Times New Roman" w:cs="Times New Roman"/>
          <w:kern w:val="0"/>
        </w:rPr>
        <w:t xml:space="preserve"> </w:t>
      </w:r>
      <w:r w:rsidRPr="00D5561B">
        <w:rPr>
          <w:rFonts w:ascii="Times New Roman" w:hAnsi="Times New Roman" w:cs="Times New Roman"/>
          <w:i/>
          <w:kern w:val="0"/>
        </w:rPr>
        <w:t>BE/ME</w:t>
      </w:r>
      <w:r w:rsidRPr="003410DE">
        <w:rPr>
          <w:rFonts w:ascii="Times New Roman" w:hAnsi="Times New Roman" w:cs="Times New Roman"/>
          <w:kern w:val="0"/>
        </w:rPr>
        <w:t xml:space="preserve"> and size. In addition, </w:t>
      </w:r>
      <w:r w:rsidRPr="00D5561B">
        <w:rPr>
          <w:rFonts w:ascii="Times New Roman" w:hAnsi="Times New Roman" w:cs="Times New Roman"/>
          <w:i/>
          <w:kern w:val="0"/>
        </w:rPr>
        <w:t>AdjDIND</w:t>
      </w:r>
      <w:r w:rsidRPr="003410DE">
        <w:rPr>
          <w:rFonts w:ascii="Times New Roman" w:hAnsi="Times New Roman" w:cs="Times New Roman"/>
          <w:kern w:val="0"/>
        </w:rPr>
        <w:t xml:space="preserve"> is positively associated </w:t>
      </w:r>
      <w:r>
        <w:rPr>
          <w:rFonts w:ascii="Times New Roman" w:hAnsi="Times New Roman" w:cs="Times New Roman"/>
          <w:kern w:val="0"/>
        </w:rPr>
        <w:t>with</w:t>
      </w:r>
      <w:r w:rsidRPr="003410DE">
        <w:rPr>
          <w:rFonts w:ascii="Times New Roman" w:hAnsi="Times New Roman" w:cs="Times New Roman"/>
          <w:kern w:val="0"/>
        </w:rPr>
        <w:t xml:space="preserve"> </w:t>
      </w:r>
      <w:r w:rsidRPr="00D5561B">
        <w:rPr>
          <w:rFonts w:ascii="Times New Roman" w:hAnsi="Times New Roman" w:cs="Times New Roman"/>
          <w:i/>
          <w:kern w:val="0"/>
        </w:rPr>
        <w:t>BE/ME</w:t>
      </w:r>
      <w:r w:rsidRPr="003410DE">
        <w:rPr>
          <w:rFonts w:ascii="Times New Roman" w:hAnsi="Times New Roman" w:cs="Times New Roman"/>
          <w:kern w:val="0"/>
        </w:rPr>
        <w:t xml:space="preserve"> and negatively associated </w:t>
      </w:r>
      <w:r>
        <w:rPr>
          <w:rFonts w:ascii="Times New Roman" w:hAnsi="Times New Roman" w:cs="Times New Roman"/>
          <w:kern w:val="0"/>
        </w:rPr>
        <w:t>with</w:t>
      </w:r>
      <w:r w:rsidRPr="003410DE">
        <w:rPr>
          <w:rFonts w:ascii="Times New Roman" w:hAnsi="Times New Roman" w:cs="Times New Roman"/>
          <w:kern w:val="0"/>
        </w:rPr>
        <w:t xml:space="preserve"> </w:t>
      </w:r>
      <w:r w:rsidRPr="00EF5FB2">
        <w:rPr>
          <w:rFonts w:ascii="Times New Roman" w:hAnsi="Times New Roman" w:cs="Times New Roman"/>
          <w:i/>
          <w:kern w:val="0"/>
        </w:rPr>
        <w:t>ME</w:t>
      </w:r>
      <w:r w:rsidRPr="003410DE">
        <w:rPr>
          <w:rFonts w:ascii="Times New Roman" w:hAnsi="Times New Roman" w:cs="Times New Roman"/>
          <w:kern w:val="0"/>
        </w:rPr>
        <w:t xml:space="preserve">. </w:t>
      </w:r>
    </w:p>
    <w:p w:rsidR="00523FB7" w:rsidRPr="00B43980" w:rsidRDefault="00523FB7" w:rsidP="00CC31B9">
      <w:pPr>
        <w:autoSpaceDE w:val="0"/>
        <w:autoSpaceDN w:val="0"/>
        <w:adjustRightInd w:val="0"/>
        <w:snapToGrid w:val="0"/>
        <w:spacing w:line="480" w:lineRule="auto"/>
        <w:jc w:val="center"/>
        <w:rPr>
          <w:rFonts w:ascii="Times New Roman" w:hAnsi="Times New Roman" w:cs="Times New Roman"/>
          <w:bCs/>
          <w:kern w:val="0"/>
          <w:sz w:val="28"/>
          <w:szCs w:val="28"/>
        </w:rPr>
      </w:pPr>
      <w:r w:rsidRPr="00B43980">
        <w:rPr>
          <w:rFonts w:ascii="Times New Roman" w:hAnsi="Times New Roman" w:cs="Times New Roman"/>
          <w:bCs/>
          <w:kern w:val="0"/>
          <w:sz w:val="28"/>
          <w:szCs w:val="28"/>
        </w:rPr>
        <w:t>&lt;Insert Table 1 about here&gt;</w:t>
      </w:r>
    </w:p>
    <w:p w:rsidR="00523FB7" w:rsidRPr="003410DE" w:rsidRDefault="00523FB7" w:rsidP="00CC31B9">
      <w:pPr>
        <w:numPr>
          <w:ilvl w:val="0"/>
          <w:numId w:val="2"/>
        </w:numPr>
        <w:snapToGrid w:val="0"/>
        <w:spacing w:line="480" w:lineRule="auto"/>
        <w:rPr>
          <w:rFonts w:ascii="Times New Roman" w:hAnsi="Times New Roman" w:cs="Times New Roman"/>
          <w:b/>
          <w:bCs/>
          <w:sz w:val="28"/>
          <w:szCs w:val="28"/>
        </w:rPr>
      </w:pPr>
      <w:r w:rsidRPr="003410DE">
        <w:rPr>
          <w:rFonts w:ascii="Times New Roman" w:hAnsi="Times New Roman" w:cs="Times New Roman"/>
          <w:b/>
          <w:bCs/>
          <w:kern w:val="0"/>
          <w:sz w:val="28"/>
          <w:szCs w:val="28"/>
        </w:rPr>
        <w:t xml:space="preserve">Relations </w:t>
      </w:r>
      <w:r>
        <w:rPr>
          <w:rFonts w:ascii="Times New Roman" w:hAnsi="Times New Roman" w:cs="Times New Roman"/>
          <w:b/>
          <w:bCs/>
          <w:kern w:val="0"/>
          <w:sz w:val="28"/>
          <w:szCs w:val="28"/>
        </w:rPr>
        <w:t>between</w:t>
      </w:r>
      <w:r w:rsidRPr="003410DE">
        <w:rPr>
          <w:rFonts w:ascii="Times New Roman" w:hAnsi="Times New Roman" w:cs="Times New Roman"/>
          <w:b/>
          <w:bCs/>
          <w:kern w:val="0"/>
          <w:sz w:val="28"/>
          <w:szCs w:val="28"/>
        </w:rPr>
        <w:t xml:space="preserve"> </w:t>
      </w:r>
      <w:r w:rsidRPr="00D5561B">
        <w:rPr>
          <w:rFonts w:ascii="Times New Roman" w:hAnsi="Times New Roman" w:cs="Times New Roman"/>
          <w:b/>
          <w:bCs/>
          <w:i/>
          <w:kern w:val="0"/>
          <w:sz w:val="28"/>
          <w:szCs w:val="28"/>
        </w:rPr>
        <w:t>BE/ME</w:t>
      </w:r>
      <w:r w:rsidRPr="003410DE">
        <w:rPr>
          <w:rFonts w:ascii="Times New Roman" w:hAnsi="Times New Roman" w:cs="Times New Roman"/>
          <w:b/>
          <w:bCs/>
          <w:kern w:val="0"/>
          <w:sz w:val="28"/>
          <w:szCs w:val="28"/>
        </w:rPr>
        <w:t xml:space="preserve">, </w:t>
      </w:r>
      <w:r>
        <w:rPr>
          <w:rFonts w:ascii="Times New Roman" w:hAnsi="Times New Roman" w:cs="Times New Roman"/>
          <w:b/>
          <w:bCs/>
          <w:kern w:val="0"/>
          <w:sz w:val="28"/>
          <w:szCs w:val="28"/>
        </w:rPr>
        <w:t>s</w:t>
      </w:r>
      <w:r w:rsidRPr="003410DE">
        <w:rPr>
          <w:rFonts w:ascii="Times New Roman" w:hAnsi="Times New Roman" w:cs="Times New Roman"/>
          <w:b/>
          <w:bCs/>
          <w:kern w:val="0"/>
          <w:sz w:val="28"/>
          <w:szCs w:val="28"/>
        </w:rPr>
        <w:t xml:space="preserve">ize, </w:t>
      </w:r>
      <w:r w:rsidRPr="00D5561B">
        <w:rPr>
          <w:rFonts w:ascii="Times New Roman" w:hAnsi="Times New Roman" w:cs="Times New Roman"/>
          <w:b/>
          <w:bCs/>
          <w:i/>
          <w:kern w:val="0"/>
          <w:sz w:val="28"/>
          <w:szCs w:val="28"/>
        </w:rPr>
        <w:t>AdjD</w:t>
      </w:r>
      <w:r w:rsidRPr="0017025B">
        <w:rPr>
          <w:rFonts w:ascii="Times New Roman" w:hAnsi="Times New Roman" w:cs="Times New Roman"/>
          <w:b/>
          <w:bCs/>
          <w:i/>
          <w:kern w:val="0"/>
          <w:sz w:val="28"/>
          <w:szCs w:val="28"/>
        </w:rPr>
        <w:t>ITH</w:t>
      </w:r>
      <w:r w:rsidRPr="003410DE">
        <w:rPr>
          <w:rFonts w:ascii="Times New Roman" w:hAnsi="Times New Roman" w:cs="Times New Roman"/>
          <w:b/>
          <w:bCs/>
          <w:kern w:val="0"/>
          <w:sz w:val="28"/>
          <w:szCs w:val="28"/>
        </w:rPr>
        <w:t xml:space="preserve">, and </w:t>
      </w:r>
      <w:r w:rsidRPr="00D5561B">
        <w:rPr>
          <w:rFonts w:ascii="Times New Roman" w:hAnsi="Times New Roman" w:cs="Times New Roman"/>
          <w:b/>
          <w:bCs/>
          <w:i/>
          <w:kern w:val="0"/>
          <w:sz w:val="28"/>
          <w:szCs w:val="28"/>
        </w:rPr>
        <w:t>AdjDIND</w:t>
      </w:r>
    </w:p>
    <w:p w:rsidR="00523FB7" w:rsidRPr="003410DE" w:rsidRDefault="00523FB7" w:rsidP="00C862ED">
      <w:pPr>
        <w:overflowPunct w:val="0"/>
        <w:autoSpaceDE w:val="0"/>
        <w:autoSpaceDN w:val="0"/>
        <w:adjustRightInd w:val="0"/>
        <w:snapToGrid w:val="0"/>
        <w:spacing w:line="480" w:lineRule="auto"/>
        <w:ind w:right="20"/>
        <w:jc w:val="both"/>
        <w:rPr>
          <w:rFonts w:ascii="Times New Roman" w:hAnsi="Times New Roman" w:cs="Times New Roman"/>
          <w:kern w:val="0"/>
        </w:rPr>
      </w:pPr>
      <w:r w:rsidRPr="003410DE">
        <w:rPr>
          <w:rFonts w:ascii="Times New Roman" w:hAnsi="Times New Roman" w:cs="Times New Roman"/>
          <w:kern w:val="0"/>
        </w:rPr>
        <w:t xml:space="preserve">In this section, we present preliminary results on the cross-sectional associations between </w:t>
      </w:r>
      <w:r w:rsidRPr="00D5561B">
        <w:rPr>
          <w:rFonts w:ascii="Times New Roman" w:hAnsi="Times New Roman" w:cs="Times New Roman"/>
          <w:i/>
          <w:kern w:val="0"/>
        </w:rPr>
        <w:t>BE/ME</w:t>
      </w:r>
      <w:r w:rsidRPr="003410DE">
        <w:rPr>
          <w:rFonts w:ascii="Times New Roman" w:hAnsi="Times New Roman" w:cs="Times New Roman"/>
          <w:kern w:val="0"/>
        </w:rPr>
        <w:t xml:space="preserve">, size,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sidRPr="003410DE">
        <w:rPr>
          <w:rFonts w:ascii="Times New Roman" w:hAnsi="Times New Roman" w:cs="Times New Roman"/>
          <w:kern w:val="0"/>
        </w:rPr>
        <w:t>. In Table 2, we report equal- and value-weighted monthly stock returns and average lagged institutional ownership (</w:t>
      </w:r>
      <w:r w:rsidRPr="005737E3">
        <w:rPr>
          <w:rFonts w:ascii="Times New Roman" w:hAnsi="Times New Roman" w:cs="Times New Roman"/>
          <w:i/>
          <w:kern w:val="0"/>
        </w:rPr>
        <w:t>L</w:t>
      </w:r>
      <w:r w:rsidRPr="0017025B">
        <w:rPr>
          <w:rFonts w:ascii="Times New Roman" w:hAnsi="Times New Roman" w:cs="Times New Roman"/>
          <w:i/>
          <w:kern w:val="0"/>
        </w:rPr>
        <w:t>ITH</w:t>
      </w:r>
      <w:r w:rsidRPr="003410DE">
        <w:rPr>
          <w:rFonts w:ascii="Times New Roman" w:hAnsi="Times New Roman" w:cs="Times New Roman"/>
          <w:kern w:val="0"/>
        </w:rPr>
        <w:t>), lagged individual ownership (</w:t>
      </w:r>
      <w:r w:rsidRPr="005737E3">
        <w:rPr>
          <w:rFonts w:ascii="Times New Roman" w:hAnsi="Times New Roman" w:cs="Times New Roman"/>
          <w:i/>
          <w:kern w:val="0"/>
        </w:rPr>
        <w:t>LIND</w:t>
      </w:r>
      <w:r w:rsidRPr="003410DE">
        <w:rPr>
          <w:rFonts w:ascii="Times New Roman" w:hAnsi="Times New Roman" w:cs="Times New Roman"/>
          <w:kern w:val="0"/>
        </w:rPr>
        <w:t>), adjusted institutional trading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and adjusted individual trading (</w:t>
      </w:r>
      <w:r w:rsidRPr="00D5561B">
        <w:rPr>
          <w:rFonts w:ascii="Times New Roman" w:hAnsi="Times New Roman" w:cs="Times New Roman"/>
          <w:i/>
          <w:kern w:val="0"/>
        </w:rPr>
        <w:t>AdjDIND</w:t>
      </w:r>
      <w:r w:rsidRPr="003410DE">
        <w:rPr>
          <w:rFonts w:ascii="Times New Roman" w:hAnsi="Times New Roman" w:cs="Times New Roman"/>
          <w:kern w:val="0"/>
        </w:rPr>
        <w:t xml:space="preserve">) estimates for 25 portfolios based on </w:t>
      </w:r>
      <w:r w:rsidRPr="00D5561B">
        <w:rPr>
          <w:rFonts w:ascii="Times New Roman" w:hAnsi="Times New Roman" w:cs="Times New Roman"/>
          <w:i/>
        </w:rPr>
        <w:t>BE/ME</w:t>
      </w:r>
      <w:r w:rsidRPr="003410DE">
        <w:rPr>
          <w:rFonts w:ascii="Times New Roman" w:hAnsi="Times New Roman" w:cs="Times New Roman"/>
          <w:kern w:val="0"/>
        </w:rPr>
        <w:t xml:space="preserve"> and </w:t>
      </w:r>
      <w:r w:rsidRPr="005737E3">
        <w:rPr>
          <w:rFonts w:ascii="Times New Roman" w:hAnsi="Times New Roman" w:cs="Times New Roman"/>
          <w:i/>
          <w:kern w:val="0"/>
        </w:rPr>
        <w:t>ME</w:t>
      </w:r>
      <w:r w:rsidRPr="003410DE">
        <w:rPr>
          <w:rFonts w:ascii="Times New Roman" w:hAnsi="Times New Roman" w:cs="Times New Roman"/>
          <w:kern w:val="0"/>
        </w:rPr>
        <w:t>, as in Fama and French (1993).</w:t>
      </w:r>
    </w:p>
    <w:p w:rsidR="00523FB7" w:rsidRPr="003410DE" w:rsidRDefault="00523FB7" w:rsidP="00CC31B9">
      <w:pPr>
        <w:overflowPunct w:val="0"/>
        <w:autoSpaceDE w:val="0"/>
        <w:autoSpaceDN w:val="0"/>
        <w:adjustRightInd w:val="0"/>
        <w:snapToGrid w:val="0"/>
        <w:spacing w:line="480" w:lineRule="auto"/>
        <w:ind w:right="5" w:firstLine="480"/>
        <w:jc w:val="both"/>
        <w:rPr>
          <w:rFonts w:ascii="Times New Roman" w:hAnsi="Times New Roman" w:cs="Times New Roman"/>
          <w:kern w:val="0"/>
        </w:rPr>
      </w:pPr>
      <w:r w:rsidRPr="003410DE">
        <w:rPr>
          <w:rFonts w:ascii="Times New Roman" w:hAnsi="Times New Roman" w:cs="Times New Roman"/>
          <w:kern w:val="0"/>
        </w:rPr>
        <w:t xml:space="preserve">First, high </w:t>
      </w:r>
      <w:r w:rsidRPr="00D5561B">
        <w:rPr>
          <w:rFonts w:ascii="Times New Roman" w:hAnsi="Times New Roman" w:cs="Times New Roman"/>
          <w:i/>
          <w:kern w:val="0"/>
        </w:rPr>
        <w:t>BE/ME</w:t>
      </w:r>
      <w:r w:rsidRPr="003410DE">
        <w:rPr>
          <w:rFonts w:ascii="Times New Roman" w:hAnsi="Times New Roman" w:cs="Times New Roman"/>
          <w:kern w:val="0"/>
        </w:rPr>
        <w:t xml:space="preserve"> stocks outperform</w:t>
      </w:r>
      <w:r>
        <w:rPr>
          <w:rFonts w:ascii="Times New Roman" w:hAnsi="Times New Roman" w:cs="Times New Roman"/>
          <w:kern w:val="0"/>
        </w:rPr>
        <w:t xml:space="preserve"> </w:t>
      </w:r>
      <w:r w:rsidRPr="003410DE">
        <w:rPr>
          <w:rFonts w:ascii="Times New Roman" w:hAnsi="Times New Roman" w:cs="Times New Roman"/>
          <w:kern w:val="0"/>
        </w:rPr>
        <w:t xml:space="preserve">low </w:t>
      </w:r>
      <w:r w:rsidRPr="00D5561B">
        <w:rPr>
          <w:rFonts w:ascii="Times New Roman" w:hAnsi="Times New Roman" w:cs="Times New Roman"/>
          <w:i/>
          <w:kern w:val="0"/>
        </w:rPr>
        <w:t>BE/ME</w:t>
      </w:r>
      <w:r w:rsidRPr="003410DE">
        <w:rPr>
          <w:rFonts w:ascii="Times New Roman" w:hAnsi="Times New Roman" w:cs="Times New Roman"/>
          <w:kern w:val="0"/>
        </w:rPr>
        <w:t xml:space="preserve"> stocks over the sample period. For example, average equal-</w:t>
      </w:r>
      <w:r>
        <w:rPr>
          <w:rFonts w:ascii="Times New Roman" w:hAnsi="Times New Roman" w:cs="Times New Roman"/>
          <w:kern w:val="0"/>
        </w:rPr>
        <w:t xml:space="preserve"> </w:t>
      </w:r>
      <w:r w:rsidRPr="003410DE">
        <w:rPr>
          <w:rFonts w:ascii="Times New Roman" w:hAnsi="Times New Roman" w:cs="Times New Roman"/>
          <w:kern w:val="0"/>
        </w:rPr>
        <w:t>(value</w:t>
      </w:r>
      <w:r>
        <w:rPr>
          <w:rFonts w:ascii="Times New Roman" w:hAnsi="Times New Roman" w:cs="Times New Roman"/>
          <w:kern w:val="0"/>
        </w:rPr>
        <w:t>-</w:t>
      </w:r>
      <w:r w:rsidRPr="003410DE">
        <w:rPr>
          <w:rFonts w:ascii="Times New Roman" w:hAnsi="Times New Roman" w:cs="Times New Roman"/>
          <w:kern w:val="0"/>
        </w:rPr>
        <w:t>)</w:t>
      </w:r>
      <w:r>
        <w:rPr>
          <w:rFonts w:ascii="Times New Roman" w:hAnsi="Times New Roman" w:cs="Times New Roman"/>
          <w:kern w:val="0"/>
        </w:rPr>
        <w:t xml:space="preserve"> </w:t>
      </w:r>
      <w:r w:rsidRPr="003410DE">
        <w:rPr>
          <w:rFonts w:ascii="Times New Roman" w:hAnsi="Times New Roman" w:cs="Times New Roman"/>
          <w:kern w:val="0"/>
        </w:rPr>
        <w:t xml:space="preserve">weighted monthly stock returns are 1.15% (1.13%) for the highest and 0.85% (0.81%) for the lowest </w:t>
      </w:r>
      <w:r w:rsidRPr="00D5561B">
        <w:rPr>
          <w:rFonts w:ascii="Times New Roman" w:hAnsi="Times New Roman" w:cs="Times New Roman"/>
          <w:i/>
          <w:kern w:val="0"/>
        </w:rPr>
        <w:t>BE/ME</w:t>
      </w:r>
      <w:r w:rsidRPr="003410DE">
        <w:rPr>
          <w:rFonts w:ascii="Times New Roman" w:hAnsi="Times New Roman" w:cs="Times New Roman"/>
          <w:kern w:val="0"/>
        </w:rPr>
        <w:t xml:space="preserve"> quintile across all firms,</w:t>
      </w:r>
      <w:r>
        <w:rPr>
          <w:rFonts w:ascii="Times New Roman" w:hAnsi="Times New Roman" w:cs="Times New Roman"/>
          <w:kern w:val="0"/>
        </w:rPr>
        <w:t xml:space="preserve"> and</w:t>
      </w:r>
      <w:r w:rsidRPr="003410DE">
        <w:rPr>
          <w:rFonts w:ascii="Times New Roman" w:hAnsi="Times New Roman" w:cs="Times New Roman"/>
          <w:kern w:val="0"/>
        </w:rPr>
        <w:t xml:space="preserve"> 0.99% (1.04%) and 0.57% (0.51%), respectively, </w:t>
      </w:r>
      <w:r>
        <w:rPr>
          <w:rFonts w:ascii="Times New Roman" w:hAnsi="Times New Roman" w:cs="Times New Roman"/>
          <w:kern w:val="0"/>
        </w:rPr>
        <w:t>with</w:t>
      </w:r>
      <w:r w:rsidRPr="003410DE">
        <w:rPr>
          <w:rFonts w:ascii="Times New Roman" w:hAnsi="Times New Roman" w:cs="Times New Roman"/>
          <w:kern w:val="0"/>
        </w:rPr>
        <w:t>in large firms. However, there seem</w:t>
      </w:r>
      <w:r>
        <w:rPr>
          <w:rFonts w:ascii="Times New Roman" w:hAnsi="Times New Roman" w:cs="Times New Roman"/>
          <w:kern w:val="0"/>
        </w:rPr>
        <w:t>s</w:t>
      </w:r>
      <w:r w:rsidRPr="003410DE">
        <w:rPr>
          <w:rFonts w:ascii="Times New Roman" w:hAnsi="Times New Roman" w:cs="Times New Roman"/>
          <w:kern w:val="0"/>
        </w:rPr>
        <w:t xml:space="preserve"> to be </w:t>
      </w:r>
      <w:r>
        <w:rPr>
          <w:rFonts w:ascii="Times New Roman" w:hAnsi="Times New Roman" w:cs="Times New Roman"/>
          <w:kern w:val="0"/>
        </w:rPr>
        <w:t>no</w:t>
      </w:r>
      <w:r w:rsidRPr="003410DE">
        <w:rPr>
          <w:rFonts w:ascii="Times New Roman" w:hAnsi="Times New Roman" w:cs="Times New Roman"/>
          <w:kern w:val="0"/>
        </w:rPr>
        <w:t xml:space="preserve"> association between </w:t>
      </w:r>
      <w:r w:rsidRPr="00D5561B">
        <w:rPr>
          <w:rFonts w:ascii="Times New Roman" w:hAnsi="Times New Roman" w:cs="Times New Roman"/>
          <w:i/>
          <w:kern w:val="0"/>
        </w:rPr>
        <w:t>BE/ME</w:t>
      </w:r>
      <w:r w:rsidRPr="003410DE">
        <w:rPr>
          <w:rFonts w:ascii="Times New Roman" w:hAnsi="Times New Roman" w:cs="Times New Roman"/>
          <w:kern w:val="0"/>
        </w:rPr>
        <w:t xml:space="preserve"> and returns </w:t>
      </w:r>
      <w:r>
        <w:rPr>
          <w:rFonts w:ascii="Times New Roman" w:hAnsi="Times New Roman" w:cs="Times New Roman"/>
          <w:kern w:val="0"/>
        </w:rPr>
        <w:t>with</w:t>
      </w:r>
      <w:r w:rsidRPr="003410DE">
        <w:rPr>
          <w:rFonts w:ascii="Times New Roman" w:hAnsi="Times New Roman" w:cs="Times New Roman"/>
          <w:kern w:val="0"/>
        </w:rPr>
        <w:t>in small firms. For example, average equal- (value-) weighted monthly stock return</w:t>
      </w:r>
      <w:r>
        <w:rPr>
          <w:rFonts w:ascii="Times New Roman" w:hAnsi="Times New Roman" w:cs="Times New Roman"/>
          <w:kern w:val="0"/>
        </w:rPr>
        <w:t xml:space="preserve"> is </w:t>
      </w:r>
      <w:r w:rsidRPr="003410DE">
        <w:rPr>
          <w:rFonts w:ascii="Times New Roman" w:hAnsi="Times New Roman" w:cs="Times New Roman"/>
          <w:kern w:val="0"/>
        </w:rPr>
        <w:t xml:space="preserve">1.51% (1.41%) and 1.58% (1.46%) for the highest and the lowest </w:t>
      </w:r>
      <w:r w:rsidRPr="00D5561B">
        <w:rPr>
          <w:rFonts w:ascii="Times New Roman" w:hAnsi="Times New Roman" w:cs="Times New Roman"/>
          <w:i/>
          <w:kern w:val="0"/>
        </w:rPr>
        <w:t>BE/ME</w:t>
      </w:r>
      <w:r w:rsidRPr="003410DE">
        <w:rPr>
          <w:rFonts w:ascii="Times New Roman" w:hAnsi="Times New Roman" w:cs="Times New Roman"/>
          <w:kern w:val="0"/>
        </w:rPr>
        <w:t xml:space="preserve"> quintile </w:t>
      </w:r>
      <w:r>
        <w:rPr>
          <w:rFonts w:ascii="Times New Roman" w:hAnsi="Times New Roman" w:cs="Times New Roman"/>
          <w:kern w:val="0"/>
        </w:rPr>
        <w:t>with</w:t>
      </w:r>
      <w:r w:rsidRPr="003410DE">
        <w:rPr>
          <w:rFonts w:ascii="Times New Roman" w:hAnsi="Times New Roman" w:cs="Times New Roman"/>
          <w:kern w:val="0"/>
        </w:rPr>
        <w:t>in small firms</w:t>
      </w:r>
      <w:r>
        <w:rPr>
          <w:rFonts w:ascii="Times New Roman" w:hAnsi="Times New Roman" w:cs="Times New Roman"/>
          <w:kern w:val="0"/>
        </w:rPr>
        <w:t>,</w:t>
      </w:r>
      <w:r w:rsidRPr="001773F6">
        <w:rPr>
          <w:rFonts w:ascii="Times New Roman" w:hAnsi="Times New Roman" w:cs="Times New Roman"/>
          <w:kern w:val="0"/>
        </w:rPr>
        <w:t xml:space="preserve"> </w:t>
      </w:r>
      <w:r w:rsidRPr="003410DE">
        <w:rPr>
          <w:rFonts w:ascii="Times New Roman" w:hAnsi="Times New Roman" w:cs="Times New Roman"/>
          <w:kern w:val="0"/>
        </w:rPr>
        <w:t>respectively. This evidence seems to contradict the p</w:t>
      </w:r>
      <w:r>
        <w:rPr>
          <w:rFonts w:ascii="Times New Roman" w:hAnsi="Times New Roman" w:cs="Times New Roman"/>
          <w:kern w:val="0"/>
        </w:rPr>
        <w:t>revious</w:t>
      </w:r>
      <w:r w:rsidRPr="003410DE">
        <w:rPr>
          <w:rFonts w:ascii="Times New Roman" w:hAnsi="Times New Roman" w:cs="Times New Roman"/>
          <w:kern w:val="0"/>
        </w:rPr>
        <w:t xml:space="preserve"> finding that the value effect </w:t>
      </w:r>
      <w:r>
        <w:rPr>
          <w:rFonts w:ascii="Times New Roman" w:hAnsi="Times New Roman" w:cs="Times New Roman"/>
          <w:kern w:val="0"/>
        </w:rPr>
        <w:t xml:space="preserve">is </w:t>
      </w:r>
      <w:r w:rsidRPr="003410DE">
        <w:rPr>
          <w:rFonts w:ascii="Times New Roman" w:hAnsi="Times New Roman" w:cs="Times New Roman"/>
          <w:kern w:val="0"/>
        </w:rPr>
        <w:t>strongest among small firms.</w:t>
      </w:r>
      <w:r w:rsidRPr="003410DE">
        <w:rPr>
          <w:rStyle w:val="FootnoteReference"/>
          <w:rFonts w:ascii="Times New Roman" w:hAnsi="Times New Roman"/>
          <w:kern w:val="0"/>
        </w:rPr>
        <w:footnoteReference w:id="6"/>
      </w:r>
      <w:r w:rsidRPr="003410DE">
        <w:rPr>
          <w:rFonts w:ascii="Times New Roman" w:hAnsi="Times New Roman" w:cs="Times New Roman"/>
          <w:kern w:val="0"/>
        </w:rPr>
        <w:t xml:space="preserve"> </w:t>
      </w:r>
    </w:p>
    <w:p w:rsidR="00523FB7" w:rsidRPr="003410DE" w:rsidRDefault="00523FB7" w:rsidP="00CC31B9">
      <w:pPr>
        <w:overflowPunct w:val="0"/>
        <w:autoSpaceDE w:val="0"/>
        <w:autoSpaceDN w:val="0"/>
        <w:adjustRightInd w:val="0"/>
        <w:snapToGrid w:val="0"/>
        <w:spacing w:line="480" w:lineRule="auto"/>
        <w:ind w:right="33" w:firstLine="480"/>
        <w:jc w:val="both"/>
        <w:rPr>
          <w:rFonts w:ascii="Times New Roman" w:hAnsi="Times New Roman" w:cs="Times New Roman"/>
          <w:kern w:val="0"/>
        </w:rPr>
      </w:pPr>
      <w:r w:rsidRPr="003410DE">
        <w:rPr>
          <w:rFonts w:ascii="Times New Roman" w:hAnsi="Times New Roman" w:cs="Times New Roman"/>
          <w:kern w:val="0"/>
        </w:rPr>
        <w:t xml:space="preserve">Moreover, small stocks tend to consistently outperform </w:t>
      </w:r>
      <w:r>
        <w:rPr>
          <w:rFonts w:ascii="Times New Roman" w:hAnsi="Times New Roman" w:cs="Times New Roman"/>
          <w:kern w:val="0"/>
        </w:rPr>
        <w:t>large</w:t>
      </w:r>
      <w:r w:rsidRPr="003410DE">
        <w:rPr>
          <w:rFonts w:ascii="Times New Roman" w:hAnsi="Times New Roman" w:cs="Times New Roman"/>
          <w:kern w:val="0"/>
        </w:rPr>
        <w:t xml:space="preserve"> stocks in our sample. For instance, average equal- (value-) weighted monthly stock returns are 1.46% (1.36%) for the smallest and 0.82% (0.85%) for the largest quintile across all firms, 1.58% (1.46%) and 0.57% (0.51%), respectively, </w:t>
      </w:r>
      <w:r>
        <w:rPr>
          <w:rFonts w:ascii="Times New Roman" w:hAnsi="Times New Roman" w:cs="Times New Roman"/>
          <w:kern w:val="0"/>
        </w:rPr>
        <w:t>with</w:t>
      </w:r>
      <w:r w:rsidRPr="003410DE">
        <w:rPr>
          <w:rFonts w:ascii="Times New Roman" w:hAnsi="Times New Roman" w:cs="Times New Roman"/>
          <w:kern w:val="0"/>
        </w:rPr>
        <w:t>in the low-</w:t>
      </w:r>
      <w:r w:rsidRPr="00D5561B">
        <w:rPr>
          <w:rFonts w:ascii="Times New Roman" w:hAnsi="Times New Roman" w:cs="Times New Roman"/>
          <w:i/>
          <w:kern w:val="0"/>
        </w:rPr>
        <w:t>BE/ME</w:t>
      </w:r>
      <w:r w:rsidRPr="003410DE">
        <w:rPr>
          <w:rFonts w:ascii="Times New Roman" w:hAnsi="Times New Roman" w:cs="Times New Roman"/>
          <w:kern w:val="0"/>
        </w:rPr>
        <w:t xml:space="preserve"> quintile,</w:t>
      </w:r>
      <w:r>
        <w:rPr>
          <w:rFonts w:ascii="Times New Roman" w:hAnsi="Times New Roman" w:cs="Times New Roman"/>
          <w:kern w:val="0"/>
        </w:rPr>
        <w:t xml:space="preserve"> and</w:t>
      </w:r>
      <w:r w:rsidRPr="003410DE">
        <w:rPr>
          <w:rFonts w:ascii="Times New Roman" w:hAnsi="Times New Roman" w:cs="Times New Roman"/>
          <w:kern w:val="0"/>
        </w:rPr>
        <w:t xml:space="preserve"> 1.51% (1.41%) and 0.99% (1.04%), respectively, </w:t>
      </w:r>
      <w:r>
        <w:rPr>
          <w:rFonts w:ascii="Times New Roman" w:hAnsi="Times New Roman" w:cs="Times New Roman"/>
          <w:kern w:val="0"/>
        </w:rPr>
        <w:t>with</w:t>
      </w:r>
      <w:r w:rsidRPr="003410DE">
        <w:rPr>
          <w:rFonts w:ascii="Times New Roman" w:hAnsi="Times New Roman" w:cs="Times New Roman"/>
          <w:kern w:val="0"/>
        </w:rPr>
        <w:t>in the high-</w:t>
      </w:r>
      <w:r w:rsidRPr="00D5561B">
        <w:rPr>
          <w:rFonts w:ascii="Times New Roman" w:hAnsi="Times New Roman" w:cs="Times New Roman"/>
          <w:i/>
          <w:kern w:val="0"/>
        </w:rPr>
        <w:t>BE/ME</w:t>
      </w:r>
      <w:r w:rsidRPr="003410DE">
        <w:rPr>
          <w:rFonts w:ascii="Times New Roman" w:hAnsi="Times New Roman" w:cs="Times New Roman"/>
          <w:kern w:val="0"/>
        </w:rPr>
        <w:t xml:space="preserve"> quintile.</w:t>
      </w:r>
    </w:p>
    <w:p w:rsidR="00523FB7" w:rsidRPr="003410DE" w:rsidRDefault="00523FB7" w:rsidP="00CC31B9">
      <w:pPr>
        <w:overflowPunct w:val="0"/>
        <w:autoSpaceDE w:val="0"/>
        <w:autoSpaceDN w:val="0"/>
        <w:adjustRightInd w:val="0"/>
        <w:snapToGrid w:val="0"/>
        <w:spacing w:line="480" w:lineRule="auto"/>
        <w:ind w:right="19" w:firstLine="480"/>
        <w:jc w:val="both"/>
        <w:rPr>
          <w:rFonts w:ascii="Times New Roman" w:hAnsi="Times New Roman" w:cs="Times New Roman"/>
          <w:kern w:val="0"/>
        </w:rPr>
      </w:pPr>
      <w:r w:rsidRPr="003410DE">
        <w:rPr>
          <w:rFonts w:ascii="Times New Roman" w:hAnsi="Times New Roman" w:cs="Times New Roman"/>
          <w:kern w:val="0"/>
        </w:rPr>
        <w:t xml:space="preserve">In Table 2 and graphically in Figure </w:t>
      </w:r>
      <w:r>
        <w:rPr>
          <w:rFonts w:ascii="Times New Roman" w:hAnsi="Times New Roman" w:cs="Times New Roman"/>
          <w:kern w:val="0"/>
        </w:rPr>
        <w:t>2</w:t>
      </w:r>
      <w:r w:rsidRPr="003410DE">
        <w:rPr>
          <w:rFonts w:ascii="Times New Roman" w:hAnsi="Times New Roman" w:cs="Times New Roman"/>
          <w:kern w:val="0"/>
        </w:rPr>
        <w:t xml:space="preserve">, we report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estimates by </w:t>
      </w:r>
      <w:r w:rsidRPr="00D5561B">
        <w:rPr>
          <w:rFonts w:ascii="Times New Roman" w:hAnsi="Times New Roman" w:cs="Times New Roman"/>
          <w:i/>
          <w:kern w:val="0"/>
        </w:rPr>
        <w:t>BE/ME</w:t>
      </w:r>
      <w:r w:rsidRPr="003410DE">
        <w:rPr>
          <w:rFonts w:ascii="Times New Roman" w:hAnsi="Times New Roman" w:cs="Times New Roman"/>
          <w:kern w:val="0"/>
        </w:rPr>
        <w:t xml:space="preserve"> and size groups. </w:t>
      </w:r>
      <w:r>
        <w:rPr>
          <w:rFonts w:ascii="Times New Roman" w:hAnsi="Times New Roman" w:cs="Times New Roman"/>
          <w:kern w:val="0"/>
        </w:rPr>
        <w:t>A</w:t>
      </w:r>
      <w:r w:rsidRPr="003410DE">
        <w:rPr>
          <w:rFonts w:ascii="Times New Roman" w:hAnsi="Times New Roman" w:cs="Times New Roman"/>
          <w:kern w:val="0"/>
        </w:rPr>
        <w:t xml:space="preserve"> clear negative association</w:t>
      </w:r>
      <w:r>
        <w:rPr>
          <w:rFonts w:ascii="Times New Roman" w:hAnsi="Times New Roman" w:cs="Times New Roman"/>
          <w:kern w:val="0"/>
        </w:rPr>
        <w:t xml:space="preserve"> exists</w:t>
      </w:r>
      <w:r w:rsidRPr="003410DE">
        <w:rPr>
          <w:rFonts w:ascii="Times New Roman" w:hAnsi="Times New Roman" w:cs="Times New Roman"/>
          <w:kern w:val="0"/>
        </w:rPr>
        <w:t xml:space="preserve"> between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BE/ME</w:t>
      </w:r>
      <w:r w:rsidRPr="003410DE">
        <w:rPr>
          <w:rFonts w:ascii="Times New Roman" w:hAnsi="Times New Roman" w:cs="Times New Roman"/>
          <w:kern w:val="0"/>
        </w:rPr>
        <w:t xml:space="preserve">. Unconditionally,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estimates decrease monotonically from 0.38% to -0.04% as </w:t>
      </w:r>
      <w:r w:rsidRPr="00D5561B">
        <w:rPr>
          <w:rFonts w:ascii="Times New Roman" w:hAnsi="Times New Roman" w:cs="Times New Roman"/>
          <w:i/>
          <w:kern w:val="0"/>
        </w:rPr>
        <w:t>BE/ME</w:t>
      </w:r>
      <w:r w:rsidRPr="003410DE">
        <w:rPr>
          <w:rFonts w:ascii="Times New Roman" w:hAnsi="Times New Roman" w:cs="Times New Roman"/>
          <w:kern w:val="0"/>
        </w:rPr>
        <w:t xml:space="preserve"> increases from the lowest to the highest quintile. </w:t>
      </w:r>
      <w:r>
        <w:rPr>
          <w:rFonts w:ascii="Times New Roman" w:hAnsi="Times New Roman" w:cs="Times New Roman"/>
          <w:kern w:val="0"/>
        </w:rPr>
        <w:t>Depending on the</w:t>
      </w:r>
      <w:r w:rsidRPr="003410DE">
        <w:rPr>
          <w:rFonts w:ascii="Times New Roman" w:hAnsi="Times New Roman" w:cs="Times New Roman"/>
          <w:kern w:val="0"/>
        </w:rPr>
        <w:t xml:space="preserve"> market value,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estimates decrease from 0.23% to 0.03% across </w:t>
      </w:r>
      <w:r w:rsidRPr="00D5561B">
        <w:rPr>
          <w:rFonts w:ascii="Times New Roman" w:hAnsi="Times New Roman" w:cs="Times New Roman"/>
          <w:i/>
          <w:kern w:val="0"/>
        </w:rPr>
        <w:t>BE/ME</w:t>
      </w:r>
      <w:r w:rsidRPr="003410DE">
        <w:rPr>
          <w:rFonts w:ascii="Times New Roman" w:hAnsi="Times New Roman" w:cs="Times New Roman"/>
          <w:kern w:val="0"/>
        </w:rPr>
        <w:t xml:space="preserve"> quintiles </w:t>
      </w:r>
      <w:r>
        <w:rPr>
          <w:rFonts w:ascii="Times New Roman" w:hAnsi="Times New Roman" w:cs="Times New Roman"/>
          <w:kern w:val="0"/>
        </w:rPr>
        <w:t>with</w:t>
      </w:r>
      <w:r w:rsidRPr="003410DE">
        <w:rPr>
          <w:rFonts w:ascii="Times New Roman" w:hAnsi="Times New Roman" w:cs="Times New Roman"/>
          <w:kern w:val="0"/>
        </w:rPr>
        <w:t xml:space="preserve">in small stocks and from 0.24% to 0.11% across </w:t>
      </w:r>
      <w:r w:rsidRPr="00D5561B">
        <w:rPr>
          <w:rFonts w:ascii="Times New Roman" w:hAnsi="Times New Roman" w:cs="Times New Roman"/>
          <w:i/>
          <w:kern w:val="0"/>
        </w:rPr>
        <w:t>BE/ME</w:t>
      </w:r>
      <w:r w:rsidRPr="003410DE">
        <w:rPr>
          <w:rFonts w:ascii="Times New Roman" w:hAnsi="Times New Roman" w:cs="Times New Roman"/>
          <w:kern w:val="0"/>
        </w:rPr>
        <w:t xml:space="preserve"> quintiles </w:t>
      </w:r>
      <w:r>
        <w:rPr>
          <w:rFonts w:ascii="Times New Roman" w:hAnsi="Times New Roman" w:cs="Times New Roman"/>
          <w:kern w:val="0"/>
        </w:rPr>
        <w:t>with</w:t>
      </w:r>
      <w:r w:rsidRPr="003410DE">
        <w:rPr>
          <w:rFonts w:ascii="Times New Roman" w:hAnsi="Times New Roman" w:cs="Times New Roman"/>
          <w:kern w:val="0"/>
        </w:rPr>
        <w:t xml:space="preserve">in large stocks. However, there seems to be a weak positive association between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size. </w:t>
      </w:r>
    </w:p>
    <w:p w:rsidR="00523FB7" w:rsidRPr="00741707" w:rsidRDefault="00523FB7" w:rsidP="00CC31B9">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 xml:space="preserve">&lt;Insert Table 2 and Figure </w:t>
      </w:r>
      <w:r>
        <w:rPr>
          <w:rFonts w:ascii="Times New Roman" w:hAnsi="Times New Roman" w:cs="Times New Roman"/>
          <w:bCs/>
          <w:kern w:val="0"/>
          <w:sz w:val="28"/>
          <w:szCs w:val="28"/>
        </w:rPr>
        <w:t>2</w:t>
      </w:r>
      <w:r w:rsidRPr="00741707">
        <w:rPr>
          <w:rFonts w:ascii="Times New Roman" w:hAnsi="Times New Roman" w:cs="Times New Roman"/>
          <w:bCs/>
          <w:kern w:val="0"/>
          <w:sz w:val="28"/>
          <w:szCs w:val="28"/>
        </w:rPr>
        <w:t xml:space="preserve"> about here&gt;</w:t>
      </w:r>
    </w:p>
    <w:p w:rsidR="00523FB7" w:rsidRPr="003410DE" w:rsidRDefault="00523FB7" w:rsidP="00CC31B9">
      <w:pPr>
        <w:snapToGrid w:val="0"/>
        <w:spacing w:line="480" w:lineRule="auto"/>
        <w:ind w:firstLine="480"/>
        <w:jc w:val="both"/>
        <w:rPr>
          <w:rFonts w:ascii="Times New Roman" w:hAnsi="Times New Roman" w:cs="Times New Roman"/>
          <w:b/>
          <w:bCs/>
        </w:rPr>
      </w:pPr>
      <w:r w:rsidRPr="003410DE">
        <w:rPr>
          <w:rFonts w:ascii="Times New Roman" w:hAnsi="Times New Roman" w:cs="Times New Roman"/>
          <w:kern w:val="0"/>
        </w:rPr>
        <w:t>As for individual trading</w:t>
      </w:r>
      <w:r>
        <w:rPr>
          <w:rFonts w:ascii="Times New Roman" w:hAnsi="Times New Roman" w:cs="Times New Roman"/>
          <w:kern w:val="0"/>
        </w:rPr>
        <w:t xml:space="preserve"> shown in</w:t>
      </w:r>
      <w:r w:rsidRPr="003410DE">
        <w:rPr>
          <w:rFonts w:ascii="Times New Roman" w:hAnsi="Times New Roman" w:cs="Times New Roman"/>
          <w:kern w:val="0"/>
        </w:rPr>
        <w:t xml:space="preserve"> Table 2 and graphically in Figure </w:t>
      </w:r>
      <w:r>
        <w:rPr>
          <w:rFonts w:ascii="Times New Roman" w:hAnsi="Times New Roman" w:cs="Times New Roman"/>
          <w:kern w:val="0"/>
        </w:rPr>
        <w:t>3</w:t>
      </w:r>
      <w:r w:rsidRPr="003410DE">
        <w:rPr>
          <w:rFonts w:ascii="Times New Roman" w:hAnsi="Times New Roman" w:cs="Times New Roman"/>
          <w:kern w:val="0"/>
        </w:rPr>
        <w:t xml:space="preserve">, there is evidence of a positive association between </w:t>
      </w:r>
      <w:r w:rsidRPr="00D5561B">
        <w:rPr>
          <w:rFonts w:ascii="Times New Roman" w:hAnsi="Times New Roman" w:cs="Times New Roman"/>
          <w:i/>
          <w:kern w:val="0"/>
        </w:rPr>
        <w:t>AdjDIND</w:t>
      </w:r>
      <w:r w:rsidRPr="003410DE">
        <w:rPr>
          <w:rFonts w:ascii="Times New Roman" w:hAnsi="Times New Roman" w:cs="Times New Roman"/>
          <w:kern w:val="0"/>
        </w:rPr>
        <w:t xml:space="preserve"> and </w:t>
      </w:r>
      <w:r w:rsidRPr="00D5561B">
        <w:rPr>
          <w:rFonts w:ascii="Times New Roman" w:hAnsi="Times New Roman" w:cs="Times New Roman"/>
          <w:i/>
          <w:kern w:val="0"/>
        </w:rPr>
        <w:t>BE/ME</w:t>
      </w:r>
      <w:r w:rsidRPr="003410DE">
        <w:rPr>
          <w:rFonts w:ascii="Times New Roman" w:hAnsi="Times New Roman" w:cs="Times New Roman"/>
          <w:kern w:val="0"/>
        </w:rPr>
        <w:t xml:space="preserve">. Unconditionally, </w:t>
      </w:r>
      <w:r w:rsidRPr="00D5561B">
        <w:rPr>
          <w:rFonts w:ascii="Times New Roman" w:hAnsi="Times New Roman" w:cs="Times New Roman"/>
          <w:i/>
          <w:kern w:val="0"/>
        </w:rPr>
        <w:t>AdjDIND</w:t>
      </w:r>
      <w:r w:rsidRPr="003410DE">
        <w:rPr>
          <w:rFonts w:ascii="Times New Roman" w:hAnsi="Times New Roman" w:cs="Times New Roman"/>
          <w:kern w:val="0"/>
        </w:rPr>
        <w:t xml:space="preserve"> estimates increase monotonically from -0.67% to 0.73% as </w:t>
      </w:r>
      <w:r w:rsidRPr="00D5561B">
        <w:rPr>
          <w:rFonts w:ascii="Times New Roman" w:hAnsi="Times New Roman" w:cs="Times New Roman"/>
          <w:i/>
          <w:kern w:val="0"/>
        </w:rPr>
        <w:t>BE/ME</w:t>
      </w:r>
      <w:r w:rsidRPr="003410DE">
        <w:rPr>
          <w:rFonts w:ascii="Times New Roman" w:hAnsi="Times New Roman" w:cs="Times New Roman"/>
          <w:kern w:val="0"/>
        </w:rPr>
        <w:t xml:space="preserve"> increases. Conditionally, </w:t>
      </w:r>
      <w:r w:rsidRPr="00D5561B">
        <w:rPr>
          <w:rFonts w:ascii="Times New Roman" w:hAnsi="Times New Roman" w:cs="Times New Roman"/>
          <w:i/>
          <w:kern w:val="0"/>
        </w:rPr>
        <w:t>AdjDIND</w:t>
      </w:r>
      <w:r w:rsidRPr="003410DE">
        <w:rPr>
          <w:rFonts w:ascii="Times New Roman" w:hAnsi="Times New Roman" w:cs="Times New Roman"/>
          <w:kern w:val="0"/>
        </w:rPr>
        <w:t xml:space="preserve"> estimates increase from 0.21% to 1.61% </w:t>
      </w:r>
      <w:r>
        <w:rPr>
          <w:rFonts w:ascii="Times New Roman" w:hAnsi="Times New Roman" w:cs="Times New Roman"/>
          <w:kern w:val="0"/>
        </w:rPr>
        <w:t>with</w:t>
      </w:r>
      <w:r w:rsidRPr="003410DE">
        <w:rPr>
          <w:rFonts w:ascii="Times New Roman" w:hAnsi="Times New Roman" w:cs="Times New Roman"/>
          <w:kern w:val="0"/>
        </w:rPr>
        <w:t xml:space="preserve">in the small </w:t>
      </w:r>
      <w:r w:rsidRPr="00CC57E1">
        <w:rPr>
          <w:rFonts w:ascii="Times New Roman" w:hAnsi="Times New Roman" w:cs="Times New Roman"/>
          <w:i/>
          <w:kern w:val="0"/>
        </w:rPr>
        <w:t>ME</w:t>
      </w:r>
      <w:r w:rsidRPr="003410DE">
        <w:rPr>
          <w:rFonts w:ascii="Times New Roman" w:hAnsi="Times New Roman" w:cs="Times New Roman"/>
          <w:kern w:val="0"/>
        </w:rPr>
        <w:t xml:space="preserve"> quintile and from -1.23% to 0.07% </w:t>
      </w:r>
      <w:r>
        <w:rPr>
          <w:rFonts w:ascii="Times New Roman" w:hAnsi="Times New Roman" w:cs="Times New Roman"/>
          <w:kern w:val="0"/>
        </w:rPr>
        <w:t>with</w:t>
      </w:r>
      <w:r w:rsidRPr="003410DE">
        <w:rPr>
          <w:rFonts w:ascii="Times New Roman" w:hAnsi="Times New Roman" w:cs="Times New Roman"/>
          <w:kern w:val="0"/>
        </w:rPr>
        <w:t xml:space="preserve">in the high </w:t>
      </w:r>
      <w:r w:rsidRPr="008D3A4B">
        <w:rPr>
          <w:rFonts w:ascii="Times New Roman" w:hAnsi="Times New Roman" w:cs="Times New Roman"/>
          <w:i/>
          <w:kern w:val="0"/>
        </w:rPr>
        <w:t>ME</w:t>
      </w:r>
      <w:r w:rsidRPr="003410DE">
        <w:rPr>
          <w:rFonts w:ascii="Times New Roman" w:hAnsi="Times New Roman" w:cs="Times New Roman"/>
          <w:kern w:val="0"/>
        </w:rPr>
        <w:t xml:space="preserve"> quintile. There is also a pronounced negative association between </w:t>
      </w:r>
      <w:r w:rsidRPr="00D5561B">
        <w:rPr>
          <w:rFonts w:ascii="Times New Roman" w:hAnsi="Times New Roman" w:cs="Times New Roman"/>
          <w:i/>
          <w:kern w:val="0"/>
        </w:rPr>
        <w:t>AdjDIND</w:t>
      </w:r>
      <w:r w:rsidRPr="003410DE">
        <w:rPr>
          <w:rFonts w:ascii="Times New Roman" w:hAnsi="Times New Roman" w:cs="Times New Roman"/>
          <w:kern w:val="0"/>
        </w:rPr>
        <w:t xml:space="preserve"> and size. </w:t>
      </w:r>
      <w:r w:rsidRPr="00D5561B">
        <w:rPr>
          <w:rFonts w:ascii="Times New Roman" w:hAnsi="Times New Roman" w:cs="Times New Roman"/>
          <w:i/>
          <w:kern w:val="0"/>
        </w:rPr>
        <w:t>AdjDIND</w:t>
      </w:r>
      <w:r w:rsidRPr="003410DE">
        <w:rPr>
          <w:rFonts w:ascii="Times New Roman" w:hAnsi="Times New Roman" w:cs="Times New Roman"/>
          <w:kern w:val="0"/>
        </w:rPr>
        <w:t xml:space="preserve"> estimates decrease monotonically from 0.91% to -0.73% as size increases. Conditionally, </w:t>
      </w:r>
      <w:r w:rsidRPr="00D5561B">
        <w:rPr>
          <w:rFonts w:ascii="Times New Roman" w:hAnsi="Times New Roman" w:cs="Times New Roman"/>
          <w:i/>
          <w:kern w:val="0"/>
        </w:rPr>
        <w:t>AdjDIND</w:t>
      </w:r>
      <w:r w:rsidRPr="003410DE">
        <w:rPr>
          <w:rFonts w:ascii="Times New Roman" w:hAnsi="Times New Roman" w:cs="Times New Roman"/>
          <w:kern w:val="0"/>
        </w:rPr>
        <w:t xml:space="preserve"> estimates decrease from 0.21% to -1.23% </w:t>
      </w:r>
      <w:r>
        <w:rPr>
          <w:rFonts w:ascii="Times New Roman" w:hAnsi="Times New Roman" w:cs="Times New Roman"/>
          <w:kern w:val="0"/>
        </w:rPr>
        <w:t>with</w:t>
      </w:r>
      <w:r w:rsidRPr="003410DE">
        <w:rPr>
          <w:rFonts w:ascii="Times New Roman" w:hAnsi="Times New Roman" w:cs="Times New Roman"/>
          <w:kern w:val="0"/>
        </w:rPr>
        <w:t>in the low-</w:t>
      </w:r>
      <w:r w:rsidRPr="00D5561B">
        <w:rPr>
          <w:rFonts w:ascii="Times New Roman" w:hAnsi="Times New Roman" w:cs="Times New Roman"/>
          <w:i/>
          <w:kern w:val="0"/>
        </w:rPr>
        <w:t>BE/ME</w:t>
      </w:r>
      <w:r w:rsidRPr="003410DE">
        <w:rPr>
          <w:rFonts w:ascii="Times New Roman" w:hAnsi="Times New Roman" w:cs="Times New Roman"/>
          <w:kern w:val="0"/>
        </w:rPr>
        <w:t xml:space="preserve"> quintile and from 1.61% to 0.07% </w:t>
      </w:r>
      <w:r>
        <w:rPr>
          <w:rFonts w:ascii="Times New Roman" w:hAnsi="Times New Roman" w:cs="Times New Roman"/>
          <w:kern w:val="0"/>
        </w:rPr>
        <w:t>with</w:t>
      </w:r>
      <w:r w:rsidRPr="003410DE">
        <w:rPr>
          <w:rFonts w:ascii="Times New Roman" w:hAnsi="Times New Roman" w:cs="Times New Roman"/>
          <w:kern w:val="0"/>
        </w:rPr>
        <w:t>in the high-</w:t>
      </w:r>
      <w:r w:rsidRPr="00D5561B">
        <w:rPr>
          <w:rFonts w:ascii="Times New Roman" w:hAnsi="Times New Roman" w:cs="Times New Roman"/>
          <w:i/>
          <w:kern w:val="0"/>
        </w:rPr>
        <w:t>BE/ME</w:t>
      </w:r>
      <w:r w:rsidRPr="003410DE">
        <w:rPr>
          <w:rFonts w:ascii="Times New Roman" w:hAnsi="Times New Roman" w:cs="Times New Roman"/>
          <w:kern w:val="0"/>
        </w:rPr>
        <w:t xml:space="preserve"> quintile.</w:t>
      </w:r>
    </w:p>
    <w:p w:rsidR="00523FB7" w:rsidRPr="00741707" w:rsidRDefault="00523FB7" w:rsidP="00CC31B9">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 xml:space="preserve">&lt;Insert Figure </w:t>
      </w:r>
      <w:r>
        <w:rPr>
          <w:rFonts w:ascii="Times New Roman" w:hAnsi="Times New Roman" w:cs="Times New Roman"/>
          <w:bCs/>
          <w:kern w:val="0"/>
          <w:sz w:val="28"/>
          <w:szCs w:val="28"/>
        </w:rPr>
        <w:t>3</w:t>
      </w:r>
      <w:r w:rsidRPr="00741707">
        <w:rPr>
          <w:rFonts w:ascii="Times New Roman" w:hAnsi="Times New Roman" w:cs="Times New Roman"/>
          <w:bCs/>
          <w:kern w:val="0"/>
          <w:sz w:val="28"/>
          <w:szCs w:val="28"/>
        </w:rPr>
        <w:t xml:space="preserve"> about here&gt;</w:t>
      </w:r>
    </w:p>
    <w:p w:rsidR="00523FB7" w:rsidRPr="003410DE" w:rsidRDefault="00523FB7" w:rsidP="00CC31B9">
      <w:pPr>
        <w:autoSpaceDE w:val="0"/>
        <w:autoSpaceDN w:val="0"/>
        <w:adjustRightInd w:val="0"/>
        <w:snapToGrid w:val="0"/>
        <w:spacing w:line="480" w:lineRule="auto"/>
        <w:ind w:firstLine="480"/>
        <w:jc w:val="both"/>
        <w:rPr>
          <w:rFonts w:ascii="Times New Roman" w:hAnsi="Times New Roman" w:cs="Times New Roman"/>
          <w:kern w:val="0"/>
        </w:rPr>
      </w:pPr>
      <w:r>
        <w:rPr>
          <w:rFonts w:ascii="Times New Roman" w:hAnsi="Times New Roman" w:cs="Times New Roman"/>
          <w:kern w:val="0"/>
        </w:rPr>
        <w:t>Although</w:t>
      </w:r>
      <w:r w:rsidRPr="003410DE">
        <w:rPr>
          <w:rFonts w:ascii="Times New Roman" w:hAnsi="Times New Roman" w:cs="Times New Roman"/>
          <w:kern w:val="0"/>
        </w:rPr>
        <w:t xml:space="preserve"> the evidence from Table 2 is suggestive, it does not constitute formal evidence. Thus, we assess the statistical significance of the previous results in Table 3. </w:t>
      </w:r>
      <w:r>
        <w:rPr>
          <w:rFonts w:ascii="Times New Roman" w:hAnsi="Times New Roman" w:cs="Times New Roman"/>
          <w:kern w:val="0"/>
        </w:rPr>
        <w:t>W</w:t>
      </w:r>
      <w:r w:rsidRPr="003410DE">
        <w:rPr>
          <w:rFonts w:ascii="Times New Roman" w:hAnsi="Times New Roman" w:cs="Times New Roman"/>
          <w:kern w:val="0"/>
        </w:rPr>
        <w:t xml:space="preserve">e form quintiles based on </w:t>
      </w:r>
      <w:r w:rsidRPr="00DC13D2">
        <w:rPr>
          <w:rFonts w:ascii="Times New Roman" w:hAnsi="Times New Roman" w:cs="Times New Roman"/>
          <w:kern w:val="0"/>
        </w:rPr>
        <w:t>either</w:t>
      </w:r>
      <w:r w:rsidRPr="003410DE">
        <w:rPr>
          <w:rFonts w:ascii="Times New Roman" w:hAnsi="Times New Roman" w:cs="Times New Roman"/>
          <w:kern w:val="0"/>
        </w:rPr>
        <w:t xml:space="preserve"> </w:t>
      </w:r>
      <w:r w:rsidRPr="00D5561B">
        <w:rPr>
          <w:rFonts w:ascii="Times New Roman" w:hAnsi="Times New Roman" w:cs="Times New Roman"/>
          <w:i/>
          <w:kern w:val="0"/>
        </w:rPr>
        <w:t>BE/ME</w:t>
      </w:r>
      <w:r w:rsidRPr="003410DE">
        <w:rPr>
          <w:rFonts w:ascii="Times New Roman" w:hAnsi="Times New Roman" w:cs="Times New Roman"/>
          <w:kern w:val="0"/>
        </w:rPr>
        <w:t xml:space="preserve"> or size, and compare the two extreme quintiles. High </w:t>
      </w:r>
      <w:r w:rsidRPr="00D5561B">
        <w:rPr>
          <w:rFonts w:ascii="Times New Roman" w:hAnsi="Times New Roman" w:cs="Times New Roman"/>
          <w:i/>
          <w:kern w:val="0"/>
        </w:rPr>
        <w:t>BE/ME</w:t>
      </w:r>
      <w:r w:rsidRPr="003410DE">
        <w:rPr>
          <w:rFonts w:ascii="Times New Roman" w:hAnsi="Times New Roman" w:cs="Times New Roman"/>
          <w:kern w:val="0"/>
        </w:rPr>
        <w:t xml:space="preserve"> stocks have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w:t>
      </w:r>
      <w:r w:rsidRPr="00D5561B">
        <w:rPr>
          <w:rFonts w:ascii="Times New Roman" w:hAnsi="Times New Roman" w:cs="Times New Roman"/>
          <w:i/>
          <w:kern w:val="0"/>
        </w:rPr>
        <w:t>AdjDIND</w:t>
      </w:r>
      <w:r w:rsidRPr="003410DE">
        <w:rPr>
          <w:rFonts w:ascii="Times New Roman" w:hAnsi="Times New Roman" w:cs="Times New Roman"/>
          <w:kern w:val="0"/>
        </w:rPr>
        <w:t>) levels that are typically 0.45% (</w:t>
      </w:r>
      <w:r w:rsidRPr="003410DE">
        <w:rPr>
          <w:rFonts w:ascii="Times New Roman" w:hAnsi="Times New Roman" w:cs="Times New Roman"/>
          <w:color w:val="000000"/>
        </w:rPr>
        <w:t>1.74%</w:t>
      </w:r>
      <w:r w:rsidRPr="003410DE">
        <w:rPr>
          <w:rFonts w:ascii="Times New Roman" w:hAnsi="Times New Roman" w:cs="Times New Roman"/>
          <w:kern w:val="0"/>
        </w:rPr>
        <w:t xml:space="preserve">) lower (higher) than those of low </w:t>
      </w:r>
      <w:r w:rsidRPr="00D5561B">
        <w:rPr>
          <w:rFonts w:ascii="Times New Roman" w:hAnsi="Times New Roman" w:cs="Times New Roman"/>
          <w:i/>
          <w:kern w:val="0"/>
        </w:rPr>
        <w:t>BE/ME</w:t>
      </w:r>
      <w:r w:rsidRPr="003410DE">
        <w:rPr>
          <w:rFonts w:ascii="Times New Roman" w:hAnsi="Times New Roman" w:cs="Times New Roman"/>
          <w:kern w:val="0"/>
        </w:rPr>
        <w:t xml:space="preserve"> stocks. This difference is statistically significant at the 1% level. Therefore, there is strong evidence that high </w:t>
      </w:r>
      <w:r w:rsidRPr="00D5561B">
        <w:rPr>
          <w:rFonts w:ascii="Times New Roman" w:hAnsi="Times New Roman" w:cs="Times New Roman"/>
          <w:i/>
          <w:kern w:val="0"/>
        </w:rPr>
        <w:t>BE/ME</w:t>
      </w:r>
      <w:r w:rsidRPr="003410DE">
        <w:rPr>
          <w:rFonts w:ascii="Times New Roman" w:hAnsi="Times New Roman" w:cs="Times New Roman"/>
          <w:kern w:val="0"/>
        </w:rPr>
        <w:t xml:space="preserve"> stocks have smaller (greater)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w:t>
      </w:r>
      <w:r w:rsidRPr="00D5561B">
        <w:rPr>
          <w:rFonts w:ascii="Times New Roman" w:hAnsi="Times New Roman" w:cs="Times New Roman"/>
          <w:i/>
          <w:kern w:val="0"/>
        </w:rPr>
        <w:t>AdjDIND</w:t>
      </w:r>
      <w:r w:rsidRPr="003410DE">
        <w:rPr>
          <w:rFonts w:ascii="Times New Roman" w:hAnsi="Times New Roman" w:cs="Times New Roman"/>
          <w:kern w:val="0"/>
        </w:rPr>
        <w:t>) levels than</w:t>
      </w:r>
      <w:r>
        <w:rPr>
          <w:rFonts w:ascii="Times New Roman" w:hAnsi="Times New Roman" w:cs="Times New Roman"/>
          <w:kern w:val="0"/>
        </w:rPr>
        <w:t xml:space="preserve"> do</w:t>
      </w:r>
      <w:r w:rsidRPr="003410DE">
        <w:rPr>
          <w:rFonts w:ascii="Times New Roman" w:hAnsi="Times New Roman" w:cs="Times New Roman"/>
          <w:kern w:val="0"/>
        </w:rPr>
        <w:t xml:space="preserve"> low </w:t>
      </w:r>
      <w:r w:rsidRPr="00D5561B">
        <w:rPr>
          <w:rFonts w:ascii="Times New Roman" w:hAnsi="Times New Roman" w:cs="Times New Roman"/>
          <w:i/>
          <w:kern w:val="0"/>
        </w:rPr>
        <w:t>BE/ME</w:t>
      </w:r>
      <w:r w:rsidRPr="00932F00">
        <w:rPr>
          <w:rFonts w:ascii="Times New Roman" w:hAnsi="Times New Roman" w:cs="Times New Roman"/>
          <w:i/>
          <w:kern w:val="0"/>
        </w:rPr>
        <w:t xml:space="preserve"> </w:t>
      </w:r>
      <w:r w:rsidRPr="003410DE">
        <w:rPr>
          <w:rFonts w:ascii="Times New Roman" w:hAnsi="Times New Roman" w:cs="Times New Roman"/>
          <w:kern w:val="0"/>
        </w:rPr>
        <w:t>stocks.</w:t>
      </w:r>
    </w:p>
    <w:p w:rsidR="00523FB7" w:rsidRPr="003410DE" w:rsidRDefault="00523FB7" w:rsidP="00CC31B9">
      <w:pPr>
        <w:overflowPunct w:val="0"/>
        <w:autoSpaceDE w:val="0"/>
        <w:autoSpaceDN w:val="0"/>
        <w:adjustRightInd w:val="0"/>
        <w:snapToGrid w:val="0"/>
        <w:spacing w:line="480" w:lineRule="auto"/>
        <w:ind w:right="-9" w:firstLine="480"/>
        <w:jc w:val="both"/>
        <w:rPr>
          <w:rFonts w:ascii="Times New Roman" w:hAnsi="Times New Roman" w:cs="Times New Roman"/>
          <w:kern w:val="0"/>
        </w:rPr>
      </w:pPr>
      <w:r w:rsidRPr="003410DE">
        <w:rPr>
          <w:rFonts w:ascii="Times New Roman" w:hAnsi="Times New Roman" w:cs="Times New Roman"/>
          <w:kern w:val="0"/>
        </w:rPr>
        <w:t xml:space="preserve">Additionally, when we compare the two extreme size quintiles, we find that small stocks have higher </w:t>
      </w:r>
      <w:r w:rsidRPr="00D5561B">
        <w:rPr>
          <w:rFonts w:ascii="Times New Roman" w:hAnsi="Times New Roman" w:cs="Times New Roman"/>
          <w:i/>
          <w:kern w:val="0"/>
        </w:rPr>
        <w:t>AdjDIND</w:t>
      </w:r>
      <w:r w:rsidRPr="003410DE">
        <w:rPr>
          <w:rFonts w:ascii="Times New Roman" w:hAnsi="Times New Roman" w:cs="Times New Roman"/>
          <w:kern w:val="0"/>
        </w:rPr>
        <w:t xml:space="preserve"> levels than </w:t>
      </w:r>
      <w:r>
        <w:rPr>
          <w:rFonts w:ascii="Times New Roman" w:hAnsi="Times New Roman" w:cs="Times New Roman"/>
          <w:kern w:val="0"/>
        </w:rPr>
        <w:t>do large</w:t>
      </w:r>
      <w:r w:rsidRPr="003410DE">
        <w:rPr>
          <w:rFonts w:ascii="Times New Roman" w:hAnsi="Times New Roman" w:cs="Times New Roman"/>
          <w:kern w:val="0"/>
        </w:rPr>
        <w:t xml:space="preserve"> stocks. </w:t>
      </w:r>
      <w:r>
        <w:rPr>
          <w:rFonts w:ascii="Times New Roman" w:hAnsi="Times New Roman" w:cs="Times New Roman"/>
          <w:kern w:val="0"/>
        </w:rPr>
        <w:t>However, t</w:t>
      </w:r>
      <w:r w:rsidRPr="003410DE">
        <w:rPr>
          <w:rFonts w:ascii="Times New Roman" w:hAnsi="Times New Roman" w:cs="Times New Roman"/>
          <w:kern w:val="0"/>
        </w:rPr>
        <w:t xml:space="preserve">here is no evidence that small stocks have lower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levels than</w:t>
      </w:r>
      <w:r>
        <w:rPr>
          <w:rFonts w:ascii="Times New Roman" w:hAnsi="Times New Roman" w:cs="Times New Roman"/>
          <w:kern w:val="0"/>
        </w:rPr>
        <w:t xml:space="preserve"> do</w:t>
      </w:r>
      <w:r w:rsidRPr="003410DE">
        <w:rPr>
          <w:rFonts w:ascii="Times New Roman" w:hAnsi="Times New Roman" w:cs="Times New Roman"/>
          <w:kern w:val="0"/>
        </w:rPr>
        <w:t xml:space="preserve"> </w:t>
      </w:r>
      <w:r>
        <w:rPr>
          <w:rFonts w:ascii="Times New Roman" w:hAnsi="Times New Roman" w:cs="Times New Roman"/>
          <w:kern w:val="0"/>
        </w:rPr>
        <w:t>large</w:t>
      </w:r>
      <w:r w:rsidRPr="003410DE">
        <w:rPr>
          <w:rFonts w:ascii="Times New Roman" w:hAnsi="Times New Roman" w:cs="Times New Roman"/>
          <w:kern w:val="0"/>
        </w:rPr>
        <w:t xml:space="preserve"> stocks. Although the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difference is -0.07%, it is not significantly different from zero. Therefore, there is strong evidence that small stocks have greater </w:t>
      </w:r>
      <w:r w:rsidRPr="00D5561B">
        <w:rPr>
          <w:rFonts w:ascii="Times New Roman" w:hAnsi="Times New Roman" w:cs="Times New Roman"/>
          <w:i/>
          <w:kern w:val="0"/>
        </w:rPr>
        <w:t>AdjDIND</w:t>
      </w:r>
      <w:r w:rsidRPr="003410DE">
        <w:rPr>
          <w:rFonts w:ascii="Times New Roman" w:hAnsi="Times New Roman" w:cs="Times New Roman"/>
          <w:kern w:val="0"/>
        </w:rPr>
        <w:t xml:space="preserve"> levels than </w:t>
      </w:r>
      <w:r>
        <w:rPr>
          <w:rFonts w:ascii="Times New Roman" w:hAnsi="Times New Roman" w:cs="Times New Roman"/>
          <w:kern w:val="0"/>
        </w:rPr>
        <w:t>do large</w:t>
      </w:r>
      <w:r w:rsidRPr="003410DE">
        <w:rPr>
          <w:rFonts w:ascii="Times New Roman" w:hAnsi="Times New Roman" w:cs="Times New Roman"/>
          <w:kern w:val="0"/>
        </w:rPr>
        <w:t xml:space="preserve"> stocks, but there is no clear association between size and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w:t>
      </w:r>
    </w:p>
    <w:p w:rsidR="00523FB7" w:rsidRPr="00741707" w:rsidRDefault="00523FB7" w:rsidP="00CC31B9">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&lt;Insert Table 3 about here&gt;</w:t>
      </w:r>
    </w:p>
    <w:p w:rsidR="00523FB7" w:rsidRPr="003410DE" w:rsidRDefault="00523FB7" w:rsidP="00CC31B9">
      <w:pPr>
        <w:snapToGrid w:val="0"/>
        <w:spacing w:line="480" w:lineRule="auto"/>
        <w:ind w:firstLine="480"/>
        <w:jc w:val="both"/>
        <w:rPr>
          <w:rFonts w:ascii="Times New Roman" w:hAnsi="Times New Roman" w:cs="Times New Roman"/>
          <w:kern w:val="0"/>
        </w:rPr>
      </w:pPr>
      <w:r w:rsidRPr="003410DE">
        <w:rPr>
          <w:rFonts w:ascii="Times New Roman" w:hAnsi="Times New Roman" w:cs="Times New Roman"/>
          <w:kern w:val="0"/>
        </w:rPr>
        <w:t xml:space="preserve">Furthermore, we show direct evidence of links between </w:t>
      </w:r>
      <w:r w:rsidRPr="00D5561B">
        <w:rPr>
          <w:rFonts w:ascii="Times New Roman" w:hAnsi="Times New Roman" w:cs="Times New Roman"/>
          <w:i/>
          <w:kern w:val="0"/>
        </w:rPr>
        <w:t>BE/ME</w:t>
      </w:r>
      <w:r w:rsidRPr="003410DE">
        <w:rPr>
          <w:rFonts w:ascii="Times New Roman" w:hAnsi="Times New Roman" w:cs="Times New Roman"/>
          <w:kern w:val="0"/>
        </w:rPr>
        <w:t xml:space="preserve">, size,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sidRPr="003410DE">
        <w:rPr>
          <w:rFonts w:ascii="Times New Roman" w:hAnsi="Times New Roman" w:cs="Times New Roman"/>
          <w:kern w:val="0"/>
        </w:rPr>
        <w:t xml:space="preserve"> using regression analysis. </w:t>
      </w:r>
      <w:r>
        <w:rPr>
          <w:rFonts w:ascii="Times New Roman" w:hAnsi="Times New Roman" w:cs="Times New Roman"/>
          <w:kern w:val="0"/>
        </w:rPr>
        <w:t>S</w:t>
      </w:r>
      <w:r w:rsidRPr="003410DE">
        <w:rPr>
          <w:rFonts w:ascii="Times New Roman" w:hAnsi="Times New Roman" w:cs="Times New Roman"/>
          <w:kern w:val="0"/>
        </w:rPr>
        <w:t xml:space="preserve">pecifically, for </w:t>
      </w:r>
      <w:r>
        <w:rPr>
          <w:rFonts w:ascii="Times New Roman" w:hAnsi="Times New Roman" w:cs="Times New Roman"/>
          <w:kern w:val="0"/>
        </w:rPr>
        <w:t>a robustness check</w:t>
      </w:r>
      <w:r w:rsidRPr="003410DE">
        <w:rPr>
          <w:rFonts w:ascii="Times New Roman" w:hAnsi="Times New Roman" w:cs="Times New Roman"/>
          <w:kern w:val="0"/>
        </w:rPr>
        <w:t>, we use annual cross-se</w:t>
      </w:r>
      <w:r>
        <w:rPr>
          <w:rFonts w:ascii="Times New Roman" w:hAnsi="Times New Roman" w:cs="Times New Roman"/>
          <w:kern w:val="0"/>
        </w:rPr>
        <w:t xml:space="preserve">ctional regressions of </w:t>
      </w:r>
      <w:r w:rsidRPr="00D5561B">
        <w:rPr>
          <w:rFonts w:ascii="Times New Roman" w:hAnsi="Times New Roman" w:cs="Times New Roman"/>
          <w:i/>
          <w:kern w:val="0"/>
        </w:rPr>
        <w:t>BE/ME</w:t>
      </w:r>
      <w:r>
        <w:rPr>
          <w:rFonts w:ascii="Times New Roman" w:hAnsi="Times New Roman" w:cs="Times New Roman"/>
          <w:kern w:val="0"/>
        </w:rPr>
        <w:t xml:space="preserve"> or</w:t>
      </w:r>
      <w:r w:rsidRPr="003410DE">
        <w:rPr>
          <w:rFonts w:ascii="Times New Roman" w:hAnsi="Times New Roman" w:cs="Times New Roman"/>
          <w:kern w:val="0"/>
        </w:rPr>
        <w:t xml:space="preserve"> size on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sidRPr="003410DE">
        <w:rPr>
          <w:rFonts w:ascii="Times New Roman" w:hAnsi="Times New Roman" w:cs="Times New Roman"/>
          <w:kern w:val="0"/>
        </w:rPr>
        <w:t xml:space="preserve">. The time-series estimates and </w:t>
      </w:r>
      <w:r w:rsidRPr="003410DE">
        <w:rPr>
          <w:rFonts w:ascii="Times New Roman" w:hAnsi="Times New Roman" w:cs="Times New Roman"/>
          <w:i/>
          <w:iCs/>
          <w:kern w:val="0"/>
        </w:rPr>
        <w:t>t</w:t>
      </w:r>
      <w:r w:rsidRPr="003410DE">
        <w:rPr>
          <w:rFonts w:ascii="Times New Roman" w:hAnsi="Times New Roman" w:cs="Times New Roman"/>
          <w:kern w:val="0"/>
        </w:rPr>
        <w:t>-statistics based on time-series standard errors are shown in Table 4.</w:t>
      </w:r>
      <w:r>
        <w:rPr>
          <w:rFonts w:ascii="Times New Roman" w:hAnsi="Times New Roman" w:cs="Times New Roman"/>
          <w:kern w:val="0"/>
        </w:rPr>
        <w:t xml:space="preserve"> The </w:t>
      </w:r>
      <w:r w:rsidRPr="003410DE">
        <w:rPr>
          <w:rFonts w:ascii="Times New Roman" w:hAnsi="Times New Roman" w:cs="Times New Roman"/>
          <w:kern w:val="0"/>
        </w:rPr>
        <w:t>standard errors</w:t>
      </w:r>
      <w:r w:rsidRPr="000035C2">
        <w:rPr>
          <w:rFonts w:ascii="Times New Roman" w:hAnsi="Times New Roman" w:cs="Times New Roman"/>
          <w:kern w:val="0"/>
        </w:rPr>
        <w:t xml:space="preserve"> </w:t>
      </w:r>
      <w:r>
        <w:rPr>
          <w:rFonts w:ascii="Times New Roman" w:hAnsi="Times New Roman" w:cs="Times New Roman"/>
          <w:kern w:val="0"/>
        </w:rPr>
        <w:t xml:space="preserve">are </w:t>
      </w:r>
      <w:r w:rsidRPr="000035C2">
        <w:rPr>
          <w:rFonts w:ascii="Times New Roman" w:hAnsi="Times New Roman" w:cs="Times New Roman"/>
          <w:kern w:val="0"/>
        </w:rPr>
        <w:t>adjusted for serial correlation and clustered standard errors</w:t>
      </w:r>
      <w:r>
        <w:rPr>
          <w:rFonts w:ascii="Times New Roman" w:hAnsi="Times New Roman" w:cs="Times New Roman"/>
          <w:kern w:val="0"/>
        </w:rPr>
        <w:t>.</w:t>
      </w:r>
      <w:r w:rsidRPr="003410DE">
        <w:rPr>
          <w:rFonts w:ascii="Times New Roman" w:hAnsi="Times New Roman" w:cs="Times New Roman"/>
          <w:kern w:val="0"/>
        </w:rPr>
        <w:t xml:space="preserve"> The results suggest that the </w:t>
      </w:r>
      <w:r w:rsidRPr="00D5561B">
        <w:rPr>
          <w:rFonts w:ascii="Times New Roman" w:hAnsi="Times New Roman" w:cs="Times New Roman"/>
          <w:i/>
          <w:kern w:val="0"/>
        </w:rPr>
        <w:t>BE/ME</w:t>
      </w:r>
      <w:r w:rsidRPr="003410DE">
        <w:rPr>
          <w:rFonts w:ascii="Times New Roman" w:hAnsi="Times New Roman" w:cs="Times New Roman"/>
          <w:kern w:val="0"/>
        </w:rPr>
        <w:t xml:space="preserve"> is negatively associated </w:t>
      </w:r>
      <w:r>
        <w:rPr>
          <w:rFonts w:ascii="Times New Roman" w:hAnsi="Times New Roman" w:cs="Times New Roman"/>
          <w:kern w:val="0"/>
        </w:rPr>
        <w:t>with</w:t>
      </w:r>
      <w:r w:rsidRPr="003410DE">
        <w:rPr>
          <w:rFonts w:ascii="Times New Roman" w:hAnsi="Times New Roman" w:cs="Times New Roman"/>
          <w:kern w:val="0"/>
        </w:rPr>
        <w:t xml:space="preserv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positively associated </w:t>
      </w:r>
      <w:r>
        <w:rPr>
          <w:rFonts w:ascii="Times New Roman" w:hAnsi="Times New Roman" w:cs="Times New Roman"/>
          <w:kern w:val="0"/>
        </w:rPr>
        <w:t>with</w:t>
      </w:r>
      <w:r w:rsidRPr="003410DE">
        <w:rPr>
          <w:rFonts w:ascii="Times New Roman" w:hAnsi="Times New Roman" w:cs="Times New Roman"/>
          <w:kern w:val="0"/>
        </w:rPr>
        <w:t xml:space="preserve"> </w:t>
      </w:r>
      <w:r w:rsidRPr="00D5561B">
        <w:rPr>
          <w:rFonts w:ascii="Times New Roman" w:hAnsi="Times New Roman" w:cs="Times New Roman"/>
          <w:i/>
          <w:kern w:val="0"/>
        </w:rPr>
        <w:t>AdjDIND</w:t>
      </w:r>
      <w:r w:rsidRPr="003410DE">
        <w:rPr>
          <w:rFonts w:ascii="Times New Roman" w:hAnsi="Times New Roman" w:cs="Times New Roman"/>
          <w:kern w:val="0"/>
        </w:rPr>
        <w:t xml:space="preserve">. The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coefficient of -0.70 and </w:t>
      </w:r>
      <w:r w:rsidRPr="00D5561B">
        <w:rPr>
          <w:rFonts w:ascii="Times New Roman" w:hAnsi="Times New Roman" w:cs="Times New Roman"/>
          <w:i/>
          <w:kern w:val="0"/>
        </w:rPr>
        <w:t>AdjDIND</w:t>
      </w:r>
      <w:r w:rsidRPr="003410DE">
        <w:rPr>
          <w:rFonts w:ascii="Times New Roman" w:hAnsi="Times New Roman" w:cs="Times New Roman"/>
          <w:kern w:val="0"/>
        </w:rPr>
        <w:t xml:space="preserve"> coefficient of 0.74 are highly significant statistically and economically. Size is </w:t>
      </w:r>
      <w:r>
        <w:rPr>
          <w:rFonts w:ascii="Times New Roman" w:hAnsi="Times New Roman" w:cs="Times New Roman"/>
          <w:kern w:val="0"/>
        </w:rPr>
        <w:t>negative</w:t>
      </w:r>
      <w:r w:rsidRPr="003410DE">
        <w:rPr>
          <w:rFonts w:ascii="Times New Roman" w:hAnsi="Times New Roman" w:cs="Times New Roman"/>
          <w:kern w:val="0"/>
        </w:rPr>
        <w:t xml:space="preserve">ly associated </w:t>
      </w:r>
      <w:r>
        <w:rPr>
          <w:rFonts w:ascii="Times New Roman" w:hAnsi="Times New Roman" w:cs="Times New Roman"/>
          <w:kern w:val="0"/>
        </w:rPr>
        <w:t>with</w:t>
      </w:r>
      <w:r w:rsidRPr="003410DE">
        <w:rPr>
          <w:rFonts w:ascii="Times New Roman" w:hAnsi="Times New Roman" w:cs="Times New Roman"/>
          <w:kern w:val="0"/>
        </w:rPr>
        <w:t xml:space="preserve"> </w:t>
      </w:r>
      <w:r w:rsidRPr="00D5561B">
        <w:rPr>
          <w:rFonts w:ascii="Times New Roman" w:hAnsi="Times New Roman" w:cs="Times New Roman"/>
          <w:i/>
          <w:kern w:val="0"/>
        </w:rPr>
        <w:t>AdjDIND</w:t>
      </w:r>
      <w:r w:rsidRPr="003410DE">
        <w:rPr>
          <w:rFonts w:ascii="Times New Roman" w:hAnsi="Times New Roman" w:cs="Times New Roman"/>
          <w:kern w:val="0"/>
        </w:rPr>
        <w:t xml:space="preserve"> but</w:t>
      </w:r>
      <w:r>
        <w:rPr>
          <w:rFonts w:ascii="Times New Roman" w:hAnsi="Times New Roman" w:cs="Times New Roman"/>
          <w:kern w:val="0"/>
        </w:rPr>
        <w:t xml:space="preserve"> </w:t>
      </w:r>
      <w:r w:rsidRPr="003410DE">
        <w:rPr>
          <w:rFonts w:ascii="Times New Roman" w:hAnsi="Times New Roman" w:cs="Times New Roman"/>
          <w:kern w:val="0"/>
        </w:rPr>
        <w:t xml:space="preserve">unrelated </w:t>
      </w:r>
      <w:r>
        <w:rPr>
          <w:rFonts w:ascii="Times New Roman" w:hAnsi="Times New Roman" w:cs="Times New Roman"/>
          <w:kern w:val="0"/>
        </w:rPr>
        <w:t>to</w:t>
      </w:r>
      <w:r w:rsidRPr="003410DE">
        <w:rPr>
          <w:rFonts w:ascii="Times New Roman" w:hAnsi="Times New Roman" w:cs="Times New Roman"/>
          <w:kern w:val="0"/>
        </w:rPr>
        <w:t xml:space="preserv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w:t>
      </w:r>
      <w:r>
        <w:rPr>
          <w:rFonts w:ascii="Times New Roman" w:hAnsi="Times New Roman" w:cs="Times New Roman"/>
          <w:kern w:val="0"/>
        </w:rPr>
        <w:t>In sum</w:t>
      </w:r>
      <w:r w:rsidRPr="003410DE">
        <w:rPr>
          <w:rFonts w:ascii="Times New Roman" w:hAnsi="Times New Roman" w:cs="Times New Roman"/>
          <w:kern w:val="0"/>
        </w:rPr>
        <w:t>, the</w:t>
      </w:r>
      <w:r>
        <w:rPr>
          <w:rFonts w:ascii="Times New Roman" w:hAnsi="Times New Roman" w:cs="Times New Roman"/>
          <w:kern w:val="0"/>
        </w:rPr>
        <w:t>se</w:t>
      </w:r>
      <w:r w:rsidRPr="003410DE">
        <w:rPr>
          <w:rFonts w:ascii="Times New Roman" w:hAnsi="Times New Roman" w:cs="Times New Roman"/>
          <w:kern w:val="0"/>
        </w:rPr>
        <w:t xml:space="preserve"> results indicate that </w:t>
      </w:r>
      <w:r w:rsidRPr="00D5561B">
        <w:rPr>
          <w:rFonts w:ascii="Times New Roman" w:hAnsi="Times New Roman" w:cs="Times New Roman"/>
          <w:i/>
          <w:kern w:val="0"/>
        </w:rPr>
        <w:t>BE/ME</w:t>
      </w:r>
      <w:r w:rsidRPr="003410DE">
        <w:rPr>
          <w:rFonts w:ascii="Times New Roman" w:hAnsi="Times New Roman" w:cs="Times New Roman"/>
          <w:kern w:val="0"/>
        </w:rPr>
        <w:t xml:space="preserve"> is negatively associated </w:t>
      </w:r>
      <w:r>
        <w:rPr>
          <w:rFonts w:ascii="Times New Roman" w:hAnsi="Times New Roman" w:cs="Times New Roman"/>
          <w:kern w:val="0"/>
        </w:rPr>
        <w:t>with</w:t>
      </w:r>
      <w:r w:rsidRPr="003410DE">
        <w:rPr>
          <w:rFonts w:ascii="Times New Roman" w:hAnsi="Times New Roman" w:cs="Times New Roman"/>
          <w:kern w:val="0"/>
        </w:rPr>
        <w:t xml:space="preserve"> institutional trading and positively associated </w:t>
      </w:r>
      <w:r>
        <w:rPr>
          <w:rFonts w:ascii="Times New Roman" w:hAnsi="Times New Roman" w:cs="Times New Roman"/>
          <w:kern w:val="0"/>
        </w:rPr>
        <w:t>with</w:t>
      </w:r>
      <w:r w:rsidRPr="003410DE">
        <w:rPr>
          <w:rFonts w:ascii="Times New Roman" w:hAnsi="Times New Roman" w:cs="Times New Roman"/>
          <w:kern w:val="0"/>
        </w:rPr>
        <w:t xml:space="preserve"> individual trading. Size is negatively associated </w:t>
      </w:r>
      <w:r>
        <w:rPr>
          <w:rFonts w:ascii="Times New Roman" w:hAnsi="Times New Roman" w:cs="Times New Roman"/>
          <w:kern w:val="0"/>
        </w:rPr>
        <w:t>with</w:t>
      </w:r>
      <w:r w:rsidRPr="003410DE">
        <w:rPr>
          <w:rFonts w:ascii="Times New Roman" w:hAnsi="Times New Roman" w:cs="Times New Roman"/>
          <w:kern w:val="0"/>
        </w:rPr>
        <w:t xml:space="preserve"> individual trading</w:t>
      </w:r>
      <w:r>
        <w:rPr>
          <w:rFonts w:ascii="Times New Roman" w:hAnsi="Times New Roman" w:cs="Times New Roman"/>
          <w:kern w:val="0"/>
        </w:rPr>
        <w:t xml:space="preserve"> but </w:t>
      </w:r>
      <w:r w:rsidRPr="003410DE">
        <w:rPr>
          <w:rFonts w:ascii="Times New Roman" w:hAnsi="Times New Roman" w:cs="Times New Roman"/>
          <w:kern w:val="0"/>
        </w:rPr>
        <w:t xml:space="preserve">unrelated </w:t>
      </w:r>
      <w:r>
        <w:rPr>
          <w:rFonts w:ascii="Times New Roman" w:hAnsi="Times New Roman" w:cs="Times New Roman"/>
          <w:kern w:val="0"/>
        </w:rPr>
        <w:t>to</w:t>
      </w:r>
      <w:r w:rsidRPr="003410DE">
        <w:rPr>
          <w:rFonts w:ascii="Times New Roman" w:hAnsi="Times New Roman" w:cs="Times New Roman"/>
          <w:kern w:val="0"/>
        </w:rPr>
        <w:t xml:space="preserve"> institutional trading. </w:t>
      </w:r>
    </w:p>
    <w:p w:rsidR="00523FB7" w:rsidRPr="00741707" w:rsidRDefault="00523FB7" w:rsidP="00CC31B9">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&lt;Insert Table 4 about here&gt;</w:t>
      </w:r>
    </w:p>
    <w:p w:rsidR="00523FB7" w:rsidRPr="003410DE" w:rsidRDefault="00523FB7" w:rsidP="00CC31B9">
      <w:pPr>
        <w:numPr>
          <w:ilvl w:val="0"/>
          <w:numId w:val="2"/>
        </w:numPr>
        <w:snapToGrid w:val="0"/>
        <w:spacing w:line="480" w:lineRule="auto"/>
        <w:rPr>
          <w:rFonts w:ascii="Times New Roman" w:hAnsi="Times New Roman" w:cs="Times New Roman"/>
          <w:b/>
          <w:bCs/>
          <w:sz w:val="28"/>
          <w:szCs w:val="28"/>
        </w:rPr>
      </w:pPr>
      <w:r w:rsidRPr="00D5561B">
        <w:rPr>
          <w:rFonts w:ascii="Times New Roman" w:hAnsi="Times New Roman" w:cs="Times New Roman"/>
          <w:b/>
          <w:bCs/>
          <w:i/>
          <w:kern w:val="0"/>
          <w:sz w:val="28"/>
          <w:szCs w:val="28"/>
        </w:rPr>
        <w:t>AdjD</w:t>
      </w:r>
      <w:r w:rsidRPr="0017025B">
        <w:rPr>
          <w:rFonts w:ascii="Times New Roman" w:hAnsi="Times New Roman" w:cs="Times New Roman"/>
          <w:b/>
          <w:bCs/>
          <w:i/>
          <w:kern w:val="0"/>
          <w:sz w:val="28"/>
          <w:szCs w:val="28"/>
        </w:rPr>
        <w:t>ITH</w:t>
      </w:r>
      <w:r w:rsidRPr="003410DE">
        <w:rPr>
          <w:rFonts w:ascii="Times New Roman" w:hAnsi="Times New Roman" w:cs="Times New Roman"/>
          <w:b/>
          <w:bCs/>
          <w:kern w:val="0"/>
          <w:sz w:val="28"/>
          <w:szCs w:val="28"/>
        </w:rPr>
        <w:t xml:space="preserve">, </w:t>
      </w:r>
      <w:r w:rsidRPr="00D5561B">
        <w:rPr>
          <w:rFonts w:ascii="Times New Roman" w:hAnsi="Times New Roman" w:cs="Times New Roman"/>
          <w:b/>
          <w:bCs/>
          <w:i/>
          <w:kern w:val="0"/>
          <w:sz w:val="28"/>
          <w:szCs w:val="28"/>
        </w:rPr>
        <w:t>AdjDIND</w:t>
      </w:r>
      <w:r w:rsidRPr="003410DE">
        <w:rPr>
          <w:rFonts w:ascii="Times New Roman" w:hAnsi="Times New Roman" w:cs="Times New Roman"/>
          <w:b/>
          <w:bCs/>
          <w:kern w:val="0"/>
          <w:sz w:val="28"/>
          <w:szCs w:val="28"/>
        </w:rPr>
        <w:t>, and the cross-section of average stock returns</w:t>
      </w:r>
    </w:p>
    <w:p w:rsidR="00523FB7" w:rsidRPr="003410DE" w:rsidRDefault="00523FB7" w:rsidP="00CC31B9">
      <w:pPr>
        <w:overflowPunct w:val="0"/>
        <w:autoSpaceDE w:val="0"/>
        <w:autoSpaceDN w:val="0"/>
        <w:adjustRightInd w:val="0"/>
        <w:snapToGrid w:val="0"/>
        <w:spacing w:line="480" w:lineRule="auto"/>
        <w:ind w:right="5"/>
        <w:jc w:val="both"/>
        <w:rPr>
          <w:rFonts w:ascii="Times New Roman" w:hAnsi="Times New Roman" w:cs="Times New Roman"/>
          <w:kern w:val="0"/>
        </w:rPr>
      </w:pPr>
      <w:r w:rsidRPr="003410DE">
        <w:rPr>
          <w:rFonts w:ascii="Times New Roman" w:hAnsi="Times New Roman" w:cs="Times New Roman"/>
          <w:kern w:val="0"/>
        </w:rPr>
        <w:t xml:space="preserve">In this section, we investigate the association between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Pr>
          <w:rFonts w:ascii="Times New Roman" w:hAnsi="Times New Roman" w:cs="Times New Roman"/>
          <w:i/>
          <w:kern w:val="0"/>
        </w:rPr>
        <w:t>,</w:t>
      </w:r>
      <w:r w:rsidRPr="003410DE">
        <w:rPr>
          <w:rFonts w:ascii="Times New Roman" w:hAnsi="Times New Roman" w:cs="Times New Roman"/>
          <w:kern w:val="0"/>
        </w:rPr>
        <w:t xml:space="preserve"> and the cross-section of stock returns. We use two ways to explore the relations between stock returns and institutional and individual trading. The first method is the portfolio formation. Specifically, we evaluate the difference in monthly returns between portfolios of stocks </w:t>
      </w:r>
      <w:r>
        <w:rPr>
          <w:rFonts w:ascii="Times New Roman" w:hAnsi="Times New Roman" w:cs="Times New Roman"/>
          <w:kern w:val="0"/>
        </w:rPr>
        <w:t>with</w:t>
      </w:r>
      <w:r w:rsidRPr="003410DE">
        <w:rPr>
          <w:rFonts w:ascii="Times New Roman" w:hAnsi="Times New Roman" w:cs="Times New Roman"/>
          <w:kern w:val="0"/>
        </w:rPr>
        <w:t xml:space="preserve"> institutional (individual) net-buying and portfolios of stocks </w:t>
      </w:r>
      <w:r>
        <w:rPr>
          <w:rFonts w:ascii="Times New Roman" w:hAnsi="Times New Roman" w:cs="Times New Roman"/>
          <w:kern w:val="0"/>
        </w:rPr>
        <w:t>with</w:t>
      </w:r>
      <w:r w:rsidRPr="003410DE">
        <w:rPr>
          <w:rFonts w:ascii="Times New Roman" w:hAnsi="Times New Roman" w:cs="Times New Roman"/>
          <w:kern w:val="0"/>
        </w:rPr>
        <w:t xml:space="preserve"> net-selling. </w:t>
      </w:r>
    </w:p>
    <w:p w:rsidR="00523FB7" w:rsidRPr="003410DE" w:rsidRDefault="00523FB7" w:rsidP="00CC31B9">
      <w:pPr>
        <w:overflowPunct w:val="0"/>
        <w:autoSpaceDE w:val="0"/>
        <w:autoSpaceDN w:val="0"/>
        <w:adjustRightInd w:val="0"/>
        <w:snapToGrid w:val="0"/>
        <w:spacing w:line="480" w:lineRule="auto"/>
        <w:ind w:right="5" w:firstLine="480"/>
        <w:jc w:val="both"/>
        <w:rPr>
          <w:rFonts w:ascii="Times New Roman" w:hAnsi="Times New Roman" w:cs="Times New Roman"/>
        </w:rPr>
      </w:pPr>
      <w:r w:rsidRPr="003410DE">
        <w:rPr>
          <w:rFonts w:ascii="Times New Roman" w:hAnsi="Times New Roman" w:cs="Times New Roman"/>
          <w:kern w:val="0"/>
        </w:rPr>
        <w:t xml:space="preserve">First, following </w:t>
      </w:r>
      <w:r w:rsidRPr="00F41C27">
        <w:rPr>
          <w:rFonts w:ascii="Times New Roman" w:hAnsi="Times New Roman" w:cs="Times New Roman"/>
          <w:kern w:val="0"/>
        </w:rPr>
        <w:t xml:space="preserve">Nofsinger and Sias (1999), </w:t>
      </w:r>
      <w:r w:rsidRPr="00F41C27">
        <w:rPr>
          <w:rFonts w:ascii="Times New Roman" w:hAnsi="Times New Roman" w:cs="Times New Roman"/>
        </w:rPr>
        <w:t>fr</w:t>
      </w:r>
      <w:r w:rsidRPr="003410DE">
        <w:rPr>
          <w:rFonts w:ascii="Times New Roman" w:hAnsi="Times New Roman" w:cs="Times New Roman"/>
        </w:rPr>
        <w:t xml:space="preserve">om 1975 to 2005, </w:t>
      </w:r>
      <w:r w:rsidRPr="003410DE">
        <w:rPr>
          <w:rFonts w:ascii="Times New Roman" w:hAnsi="Times New Roman" w:cs="Times New Roman"/>
          <w:kern w:val="0"/>
        </w:rPr>
        <w:t>all</w:t>
      </w:r>
      <w:r w:rsidRPr="003410DE">
        <w:rPr>
          <w:rFonts w:ascii="Times New Roman" w:hAnsi="Times New Roman" w:cs="Times New Roman"/>
        </w:rPr>
        <w:t xml:space="preserve"> selected stocks in the sample are first sorted into 10 portfolios based on the fraction of shares held by institutional (or individual) investors. Second, firms </w:t>
      </w:r>
      <w:r>
        <w:rPr>
          <w:rFonts w:ascii="Times New Roman" w:hAnsi="Times New Roman" w:cs="Times New Roman"/>
        </w:rPr>
        <w:t>with</w:t>
      </w:r>
      <w:r w:rsidRPr="003410DE">
        <w:rPr>
          <w:rFonts w:ascii="Times New Roman" w:hAnsi="Times New Roman" w:cs="Times New Roman"/>
        </w:rPr>
        <w:t xml:space="preserve">in each initial institutional (or individual) ownership-sorted portfolio are then sorted into 10 portfolios based on the institutional (or individual) trade imbalance. Finally, firms </w:t>
      </w:r>
      <w:r>
        <w:rPr>
          <w:rFonts w:ascii="Times New Roman" w:hAnsi="Times New Roman" w:cs="Times New Roman"/>
        </w:rPr>
        <w:t>with</w:t>
      </w:r>
      <w:r w:rsidRPr="003410DE">
        <w:rPr>
          <w:rFonts w:ascii="Times New Roman" w:hAnsi="Times New Roman" w:cs="Times New Roman"/>
        </w:rPr>
        <w:t xml:space="preserve"> the largest institutional (or individual) trade imbalance are then re-aggregated across the 10 initial institutional (or individual) ownership</w:t>
      </w:r>
      <w:r>
        <w:rPr>
          <w:rFonts w:ascii="Times New Roman" w:hAnsi="Times New Roman" w:cs="Times New Roman"/>
        </w:rPr>
        <w:t>-</w:t>
      </w:r>
      <w:r w:rsidRPr="003410DE">
        <w:rPr>
          <w:rFonts w:ascii="Times New Roman" w:hAnsi="Times New Roman" w:cs="Times New Roman"/>
        </w:rPr>
        <w:t xml:space="preserve">sorted portfolios to form a stratified portfolio that shows </w:t>
      </w:r>
      <w:r>
        <w:rPr>
          <w:rFonts w:ascii="Times New Roman" w:hAnsi="Times New Roman" w:cs="Times New Roman"/>
        </w:rPr>
        <w:t>a</w:t>
      </w:r>
      <w:r w:rsidRPr="003410DE">
        <w:rPr>
          <w:rFonts w:ascii="Times New Roman" w:hAnsi="Times New Roman" w:cs="Times New Roman"/>
        </w:rPr>
        <w:t xml:space="preserve"> largest increase in institutional (or individual) ownership. Similarly, firms </w:t>
      </w:r>
      <w:r>
        <w:rPr>
          <w:rFonts w:ascii="Times New Roman" w:hAnsi="Times New Roman" w:cs="Times New Roman"/>
        </w:rPr>
        <w:t>with</w:t>
      </w:r>
      <w:r w:rsidRPr="003410DE">
        <w:rPr>
          <w:rFonts w:ascii="Times New Roman" w:hAnsi="Times New Roman" w:cs="Times New Roman"/>
        </w:rPr>
        <w:t xml:space="preserve">in each of the other nine portfolios are re-aggregated in the same manner. </w:t>
      </w:r>
    </w:p>
    <w:p w:rsidR="00523FB7" w:rsidRDefault="00523FB7" w:rsidP="00CC31B9">
      <w:pPr>
        <w:widowControl/>
        <w:snapToGrid w:val="0"/>
        <w:spacing w:line="480" w:lineRule="auto"/>
        <w:ind w:firstLine="480"/>
        <w:jc w:val="both"/>
        <w:rPr>
          <w:rFonts w:ascii="Times New Roman" w:hAnsi="Times New Roman" w:cs="Times New Roman"/>
          <w:kern w:val="0"/>
        </w:rPr>
      </w:pPr>
      <w:r w:rsidRPr="003410DE">
        <w:rPr>
          <w:rFonts w:ascii="Times New Roman" w:hAnsi="Times New Roman" w:cs="Times New Roman"/>
          <w:kern w:val="0"/>
        </w:rPr>
        <w:t>In Table 5, we report</w:t>
      </w:r>
      <w:r>
        <w:rPr>
          <w:rFonts w:ascii="Times New Roman" w:hAnsi="Times New Roman" w:cs="Times New Roman"/>
          <w:kern w:val="0"/>
        </w:rPr>
        <w:t xml:space="preserve"> the</w:t>
      </w:r>
      <w:r w:rsidRPr="003410DE">
        <w:rPr>
          <w:rFonts w:ascii="Times New Roman" w:hAnsi="Times New Roman" w:cs="Times New Roman"/>
          <w:kern w:val="0"/>
        </w:rPr>
        <w:t xml:space="preserve"> average monthly stock returns by deciles based on adjusted changes in institutional ownership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w:t>
      </w:r>
      <w:r w:rsidRPr="00B20349">
        <w:rPr>
          <w:rFonts w:ascii="Times New Roman" w:hAnsi="Times New Roman" w:cs="Times New Roman"/>
          <w:kern w:val="0"/>
        </w:rPr>
        <w:t>The portfolios are constructed to isolate</w:t>
      </w:r>
      <w:r>
        <w:rPr>
          <w:rFonts w:ascii="Times New Roman" w:hAnsi="Times New Roman" w:cs="Times New Roman"/>
          <w:kern w:val="0"/>
        </w:rPr>
        <w:t xml:space="preserve"> them</w:t>
      </w:r>
      <w:r w:rsidRPr="00B20349">
        <w:rPr>
          <w:rFonts w:ascii="Times New Roman" w:hAnsi="Times New Roman" w:cs="Times New Roman"/>
          <w:kern w:val="0"/>
        </w:rPr>
        <w:t xml:space="preserve"> from any possible influence of level of institutional ownership. This sorting procedure produces 10 portfolios with similar institutional</w:t>
      </w:r>
      <w:r>
        <w:rPr>
          <w:rFonts w:ascii="Times New Roman" w:hAnsi="Times New Roman" w:cs="Times New Roman"/>
          <w:kern w:val="0"/>
        </w:rPr>
        <w:t xml:space="preserve"> </w:t>
      </w:r>
      <w:r w:rsidRPr="00B20349">
        <w:rPr>
          <w:rFonts w:ascii="Times New Roman" w:hAnsi="Times New Roman" w:cs="Times New Roman"/>
          <w:kern w:val="0"/>
        </w:rPr>
        <w:t>ownership lev</w:t>
      </w:r>
      <w:r w:rsidRPr="002703CF">
        <w:rPr>
          <w:rFonts w:ascii="Times New Roman" w:hAnsi="Times New Roman" w:cs="Times New Roman"/>
          <w:kern w:val="0"/>
        </w:rPr>
        <w:t>els. Similar to Kim and Nofsinger (2005), the average level of shares held by all institutions is about 61%. The average ownership of individual investors is around 32%.</w:t>
      </w:r>
    </w:p>
    <w:p w:rsidR="00523FB7" w:rsidRPr="003410DE" w:rsidRDefault="00523FB7" w:rsidP="00CC31B9">
      <w:pPr>
        <w:widowControl/>
        <w:snapToGrid w:val="0"/>
        <w:spacing w:line="480" w:lineRule="auto"/>
        <w:ind w:firstLine="480"/>
        <w:jc w:val="both"/>
        <w:rPr>
          <w:rFonts w:ascii="Times New Roman" w:hAnsi="Times New Roman" w:cs="Times New Roman"/>
        </w:rPr>
      </w:pPr>
      <w:r>
        <w:rPr>
          <w:rFonts w:ascii="Times New Roman" w:hAnsi="Times New Roman" w:cs="Times New Roman"/>
          <w:kern w:val="0"/>
        </w:rPr>
        <w:t>The r</w:t>
      </w:r>
      <w:r w:rsidRPr="003410DE">
        <w:rPr>
          <w:rFonts w:ascii="Times New Roman" w:hAnsi="Times New Roman" w:cs="Times New Roman"/>
          <w:kern w:val="0"/>
        </w:rPr>
        <w:t>eported returns are</w:t>
      </w:r>
      <w:r>
        <w:rPr>
          <w:rFonts w:ascii="Times New Roman" w:hAnsi="Times New Roman" w:cs="Times New Roman"/>
          <w:kern w:val="0"/>
        </w:rPr>
        <w:t xml:space="preserve"> the</w:t>
      </w:r>
      <w:r w:rsidRPr="003410DE">
        <w:rPr>
          <w:rFonts w:ascii="Times New Roman" w:hAnsi="Times New Roman" w:cs="Times New Roman"/>
          <w:kern w:val="0"/>
        </w:rPr>
        <w:t xml:space="preserve"> monthly averages </w:t>
      </w:r>
      <w:r>
        <w:rPr>
          <w:rFonts w:ascii="Times New Roman" w:hAnsi="Times New Roman" w:cs="Times New Roman"/>
          <w:kern w:val="0"/>
        </w:rPr>
        <w:t>in</w:t>
      </w:r>
      <w:r w:rsidRPr="003410DE">
        <w:rPr>
          <w:rFonts w:ascii="Times New Roman" w:hAnsi="Times New Roman" w:cs="Times New Roman"/>
          <w:kern w:val="0"/>
        </w:rPr>
        <w:t xml:space="preserve"> the </w:t>
      </w:r>
      <w:r>
        <w:rPr>
          <w:rFonts w:ascii="Times New Roman" w:hAnsi="Times New Roman" w:cs="Times New Roman"/>
          <w:kern w:val="0"/>
        </w:rPr>
        <w:t>12</w:t>
      </w:r>
      <w:r w:rsidRPr="003410DE">
        <w:rPr>
          <w:rFonts w:ascii="Times New Roman" w:hAnsi="Times New Roman" w:cs="Times New Roman"/>
          <w:kern w:val="0"/>
        </w:rPr>
        <w:t xml:space="preserve"> months following each June. The portfolio returns are equal and value</w:t>
      </w:r>
      <w:r>
        <w:rPr>
          <w:rFonts w:ascii="Times New Roman" w:hAnsi="Times New Roman" w:cs="Times New Roman"/>
          <w:kern w:val="0"/>
        </w:rPr>
        <w:t xml:space="preserve"> </w:t>
      </w:r>
      <w:r w:rsidRPr="003410DE">
        <w:rPr>
          <w:rFonts w:ascii="Times New Roman" w:hAnsi="Times New Roman" w:cs="Times New Roman"/>
          <w:kern w:val="0"/>
        </w:rPr>
        <w:t xml:space="preserve">weighted. We adopt </w:t>
      </w:r>
      <w:r w:rsidRPr="003410DE">
        <w:rPr>
          <w:rFonts w:ascii="Times New Roman" w:hAnsi="Times New Roman" w:cs="Times New Roman"/>
        </w:rPr>
        <w:t xml:space="preserve">two methods to adjust the monthly stock returns. First, </w:t>
      </w:r>
      <w:r w:rsidRPr="003410DE">
        <w:rPr>
          <w:rFonts w:ascii="Times New Roman" w:hAnsi="Times New Roman" w:cs="Times New Roman"/>
          <w:kern w:val="0"/>
        </w:rPr>
        <w:t xml:space="preserve">we measure the abnormal returns for each </w:t>
      </w:r>
      <w:r w:rsidRPr="00A63856">
        <w:rPr>
          <w:rFonts w:ascii="Times New Roman" w:hAnsi="Times New Roman" w:cs="Times New Roman"/>
          <w:kern w:val="0"/>
        </w:rPr>
        <w:t>portfolio with the intercept of the Carhart (1997) four</w:t>
      </w:r>
      <w:r>
        <w:rPr>
          <w:rFonts w:ascii="Times New Roman" w:hAnsi="Times New Roman" w:cs="Times New Roman"/>
          <w:kern w:val="0"/>
        </w:rPr>
        <w:t>-</w:t>
      </w:r>
      <w:r w:rsidRPr="00A63856">
        <w:rPr>
          <w:rFonts w:ascii="Times New Roman" w:hAnsi="Times New Roman" w:cs="Times New Roman"/>
          <w:kern w:val="0"/>
        </w:rPr>
        <w:t>factor model.</w:t>
      </w:r>
      <w:r w:rsidRPr="00A63856">
        <w:rPr>
          <w:rStyle w:val="FootnoteReference"/>
          <w:rFonts w:ascii="Times New Roman" w:hAnsi="Times New Roman"/>
          <w:kern w:val="0"/>
        </w:rPr>
        <w:footnoteReference w:id="7"/>
      </w:r>
      <w:r w:rsidRPr="00A63856">
        <w:rPr>
          <w:rFonts w:ascii="Times New Roman" w:hAnsi="Times New Roman" w:cs="Times New Roman"/>
          <w:kern w:val="0"/>
        </w:rPr>
        <w:t xml:space="preserve"> </w:t>
      </w:r>
      <w:r w:rsidRPr="00A63856">
        <w:rPr>
          <w:rFonts w:ascii="Times New Roman" w:hAnsi="Times New Roman" w:cs="Times New Roman"/>
        </w:rPr>
        <w:t>The second</w:t>
      </w:r>
      <w:r w:rsidRPr="003410DE">
        <w:rPr>
          <w:rFonts w:ascii="Times New Roman" w:hAnsi="Times New Roman" w:cs="Times New Roman"/>
        </w:rPr>
        <w:t xml:space="preserve"> method is the benchmark</w:t>
      </w:r>
      <w:r>
        <w:rPr>
          <w:rFonts w:ascii="Times New Roman" w:hAnsi="Times New Roman" w:cs="Times New Roman"/>
        </w:rPr>
        <w:t>-</w:t>
      </w:r>
      <w:r w:rsidRPr="003410DE">
        <w:rPr>
          <w:rFonts w:ascii="Times New Roman" w:hAnsi="Times New Roman" w:cs="Times New Roman"/>
        </w:rPr>
        <w:t>adjusted procedure. Abnormal returns are calculated using size</w:t>
      </w:r>
      <w:r>
        <w:rPr>
          <w:rFonts w:ascii="Times New Roman" w:hAnsi="Times New Roman" w:cs="Times New Roman"/>
        </w:rPr>
        <w:t>-</w:t>
      </w:r>
      <w:r w:rsidRPr="003410DE">
        <w:rPr>
          <w:rFonts w:ascii="Times New Roman" w:hAnsi="Times New Roman" w:cs="Times New Roman"/>
        </w:rPr>
        <w:t xml:space="preserve"> and </w:t>
      </w:r>
      <w:r w:rsidRPr="00D5561B">
        <w:rPr>
          <w:rFonts w:ascii="Times New Roman" w:hAnsi="Times New Roman" w:cs="Times New Roman"/>
          <w:i/>
        </w:rPr>
        <w:t>BE/ME</w:t>
      </w:r>
      <w:r>
        <w:rPr>
          <w:rFonts w:ascii="Times New Roman" w:hAnsi="Times New Roman" w:cs="Times New Roman"/>
        </w:rPr>
        <w:t>-</w:t>
      </w:r>
      <w:r w:rsidRPr="003410DE">
        <w:rPr>
          <w:rFonts w:ascii="Times New Roman" w:hAnsi="Times New Roman" w:cs="Times New Roman"/>
        </w:rPr>
        <w:t>adjusted average portfolio returns. To construct the benchmark portfolios, we independently sort whole</w:t>
      </w:r>
      <w:r>
        <w:rPr>
          <w:rFonts w:ascii="Times New Roman" w:hAnsi="Times New Roman" w:cs="Times New Roman"/>
        </w:rPr>
        <w:t>-</w:t>
      </w:r>
      <w:r w:rsidRPr="003410DE">
        <w:rPr>
          <w:rFonts w:ascii="Times New Roman" w:hAnsi="Times New Roman" w:cs="Times New Roman"/>
        </w:rPr>
        <w:t xml:space="preserve">listed stocks into size and </w:t>
      </w:r>
      <w:r w:rsidRPr="00D5561B">
        <w:rPr>
          <w:rFonts w:ascii="Times New Roman" w:hAnsi="Times New Roman" w:cs="Times New Roman"/>
          <w:i/>
        </w:rPr>
        <w:t>BE/ME</w:t>
      </w:r>
      <w:r w:rsidRPr="003410DE">
        <w:rPr>
          <w:rFonts w:ascii="Times New Roman" w:hAnsi="Times New Roman" w:cs="Times New Roman"/>
        </w:rPr>
        <w:t xml:space="preserve"> </w:t>
      </w:r>
      <w:r>
        <w:rPr>
          <w:rFonts w:ascii="Times New Roman" w:hAnsi="Times New Roman" w:cs="Times New Roman"/>
        </w:rPr>
        <w:t>deciles</w:t>
      </w:r>
      <w:r w:rsidRPr="003410DE">
        <w:rPr>
          <w:rFonts w:ascii="Times New Roman" w:hAnsi="Times New Roman" w:cs="Times New Roman"/>
        </w:rPr>
        <w:t>. Next, we compute a monthly value-weighted average return for each of the 100 (10 x 10) portfolios. The monthly abnormal return for each stock is the difference between the stock’s monthly raw return and its monthly benchmark portfolio return.</w:t>
      </w:r>
    </w:p>
    <w:p w:rsidR="00523FB7" w:rsidRPr="003410DE" w:rsidRDefault="00523FB7" w:rsidP="00CC31B9">
      <w:pPr>
        <w:autoSpaceDE w:val="0"/>
        <w:autoSpaceDN w:val="0"/>
        <w:adjustRightInd w:val="0"/>
        <w:snapToGrid w:val="0"/>
        <w:spacing w:line="480" w:lineRule="auto"/>
        <w:ind w:firstLine="480"/>
        <w:jc w:val="both"/>
        <w:rPr>
          <w:rFonts w:ascii="Times New Roman" w:hAnsi="Times New Roman" w:cs="Times New Roman"/>
          <w:kern w:val="0"/>
        </w:rPr>
      </w:pPr>
      <w:r>
        <w:rPr>
          <w:rFonts w:ascii="Times New Roman" w:hAnsi="Times New Roman" w:cs="Times New Roman"/>
          <w:kern w:val="0"/>
        </w:rPr>
        <w:t>E</w:t>
      </w:r>
      <w:r w:rsidRPr="003410DE">
        <w:rPr>
          <w:rFonts w:ascii="Times New Roman" w:hAnsi="Times New Roman" w:cs="Times New Roman"/>
          <w:kern w:val="0"/>
        </w:rPr>
        <w:t xml:space="preserve">vidence indicates that the firms </w:t>
      </w:r>
      <w:r>
        <w:rPr>
          <w:rFonts w:ascii="Times New Roman" w:hAnsi="Times New Roman" w:cs="Times New Roman"/>
          <w:kern w:val="0"/>
        </w:rPr>
        <w:t>with</w:t>
      </w:r>
      <w:r w:rsidRPr="003410DE">
        <w:rPr>
          <w:rFonts w:ascii="Times New Roman" w:hAnsi="Times New Roman" w:cs="Times New Roman"/>
          <w:kern w:val="0"/>
        </w:rPr>
        <w:t xml:space="preserve"> higher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earn lower subsequent returns. Equal- (value-) weighted monthly raw returns decrease from an average of 1.12% (0.90%) for the lowest to 0.66% (0.45%) for the highest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decile. The equal- (value-) weighted average of the monthly raw return difference between stocks in the highest decile and stocks in the lowest decile is -0.46% (-0.45%), which is significantly different from zero at the 1% level. Moreover, the four-factor model risk</w:t>
      </w:r>
      <w:r>
        <w:rPr>
          <w:rFonts w:ascii="Times New Roman" w:hAnsi="Times New Roman" w:cs="Times New Roman"/>
          <w:kern w:val="0"/>
        </w:rPr>
        <w:t>-</w:t>
      </w:r>
      <w:r w:rsidRPr="003410DE">
        <w:rPr>
          <w:rFonts w:ascii="Times New Roman" w:hAnsi="Times New Roman" w:cs="Times New Roman"/>
          <w:kern w:val="0"/>
        </w:rPr>
        <w:t>adjusted returns and benchmark</w:t>
      </w:r>
      <w:r>
        <w:rPr>
          <w:rFonts w:ascii="Times New Roman" w:hAnsi="Times New Roman" w:cs="Times New Roman"/>
          <w:kern w:val="0"/>
        </w:rPr>
        <w:t>-</w:t>
      </w:r>
      <w:r w:rsidRPr="003410DE">
        <w:rPr>
          <w:rFonts w:ascii="Times New Roman" w:hAnsi="Times New Roman" w:cs="Times New Roman"/>
          <w:kern w:val="0"/>
        </w:rPr>
        <w:t xml:space="preserve">adjusted returns show similar results. That is, institutional trading is significantly and negatively related to future stock returns. </w:t>
      </w:r>
    </w:p>
    <w:p w:rsidR="00523FB7" w:rsidRPr="003410DE" w:rsidRDefault="00523FB7" w:rsidP="00CC31B9">
      <w:pPr>
        <w:overflowPunct w:val="0"/>
        <w:autoSpaceDE w:val="0"/>
        <w:autoSpaceDN w:val="0"/>
        <w:adjustRightInd w:val="0"/>
        <w:snapToGrid w:val="0"/>
        <w:spacing w:line="480" w:lineRule="auto"/>
        <w:ind w:right="5" w:firstLine="480"/>
        <w:jc w:val="both"/>
        <w:rPr>
          <w:rFonts w:ascii="Times New Roman" w:hAnsi="Times New Roman" w:cs="Times New Roman"/>
          <w:kern w:val="0"/>
        </w:rPr>
      </w:pPr>
      <w:r w:rsidRPr="003410DE">
        <w:rPr>
          <w:rFonts w:ascii="Times New Roman" w:hAnsi="Times New Roman" w:cs="Times New Roman"/>
          <w:kern w:val="0"/>
        </w:rPr>
        <w:t xml:space="preserve">Moreover, consistent </w:t>
      </w:r>
      <w:r>
        <w:rPr>
          <w:rFonts w:ascii="Times New Roman" w:hAnsi="Times New Roman" w:cs="Times New Roman"/>
          <w:kern w:val="0"/>
        </w:rPr>
        <w:t>with</w:t>
      </w:r>
      <w:r w:rsidRPr="003410DE">
        <w:rPr>
          <w:rFonts w:ascii="Times New Roman" w:hAnsi="Times New Roman" w:cs="Times New Roman"/>
          <w:kern w:val="0"/>
        </w:rPr>
        <w:t xml:space="preserve"> the results </w:t>
      </w:r>
      <w:r>
        <w:rPr>
          <w:rFonts w:ascii="Times New Roman" w:hAnsi="Times New Roman" w:cs="Times New Roman"/>
          <w:kern w:val="0"/>
        </w:rPr>
        <w:t>in</w:t>
      </w:r>
      <w:r w:rsidRPr="003410DE">
        <w:rPr>
          <w:rFonts w:ascii="Times New Roman" w:hAnsi="Times New Roman" w:cs="Times New Roman"/>
          <w:kern w:val="0"/>
        </w:rPr>
        <w:t xml:space="preserve"> the previous section, </w:t>
      </w:r>
      <w:r>
        <w:rPr>
          <w:rFonts w:ascii="Times New Roman" w:hAnsi="Times New Roman" w:cs="Times New Roman"/>
          <w:kern w:val="0"/>
        </w:rPr>
        <w:t xml:space="preserve">Panel B of Table 5 shows that the </w:t>
      </w:r>
      <w:r w:rsidRPr="00D5561B">
        <w:rPr>
          <w:rFonts w:ascii="Times New Roman" w:hAnsi="Times New Roman" w:cs="Times New Roman"/>
          <w:i/>
          <w:kern w:val="0"/>
        </w:rPr>
        <w:t>BE/ME</w:t>
      </w:r>
      <w:r w:rsidRPr="003410DE">
        <w:rPr>
          <w:rFonts w:ascii="Times New Roman" w:hAnsi="Times New Roman" w:cs="Times New Roman"/>
          <w:kern w:val="0"/>
        </w:rPr>
        <w:t xml:space="preserve"> </w:t>
      </w:r>
      <w:r>
        <w:rPr>
          <w:rFonts w:ascii="Times New Roman" w:hAnsi="Times New Roman" w:cs="Times New Roman"/>
          <w:kern w:val="0"/>
        </w:rPr>
        <w:t xml:space="preserve">of net-selling portfolio (P01) is higher than that of net-buying portfolio </w:t>
      </w:r>
      <w:r w:rsidRPr="002852D9">
        <w:rPr>
          <w:rFonts w:ascii="Times New Roman" w:hAnsi="Times New Roman" w:cs="Times New Roman"/>
          <w:kern w:val="0"/>
        </w:rPr>
        <w:t>(</w:t>
      </w:r>
      <w:r>
        <w:rPr>
          <w:rFonts w:ascii="Times New Roman" w:hAnsi="Times New Roman" w:cs="Times New Roman"/>
          <w:kern w:val="0"/>
        </w:rPr>
        <w:t>P10</w:t>
      </w:r>
      <w:r w:rsidRPr="002852D9">
        <w:rPr>
          <w:rFonts w:ascii="Times New Roman" w:hAnsi="Times New Roman" w:cs="Times New Roman"/>
          <w:kern w:val="0"/>
        </w:rPr>
        <w:t>)</w:t>
      </w:r>
      <w:r>
        <w:rPr>
          <w:rFonts w:ascii="Times New Roman" w:hAnsi="Times New Roman" w:cs="Times New Roman"/>
          <w:kern w:val="0"/>
        </w:rPr>
        <w:t xml:space="preserve">. </w:t>
      </w:r>
      <w:r w:rsidRPr="003410DE">
        <w:rPr>
          <w:rFonts w:ascii="Times New Roman" w:hAnsi="Times New Roman" w:cs="Times New Roman"/>
          <w:kern w:val="0"/>
        </w:rPr>
        <w:t>Moreover, there is a negative relationship between</w:t>
      </w:r>
      <w:r>
        <w:rPr>
          <w:rFonts w:ascii="Times New Roman" w:hAnsi="Times New Roman" w:cs="Times New Roman"/>
          <w:kern w:val="0"/>
        </w:rPr>
        <w:t xml:space="preserve"> </w:t>
      </w:r>
      <w:r>
        <w:rPr>
          <w:rFonts w:ascii="Times New Roman" w:hAnsi="Times New Roman" w:cs="Times New Roman"/>
          <w:i/>
          <w:kern w:val="0"/>
        </w:rPr>
        <w:t>A</w:t>
      </w:r>
      <w:r w:rsidRPr="00D5561B">
        <w:rPr>
          <w:rFonts w:ascii="Times New Roman" w:hAnsi="Times New Roman" w:cs="Times New Roman"/>
          <w:i/>
          <w:kern w:val="0"/>
        </w:rPr>
        <w:t>djDIND</w:t>
      </w:r>
      <w:r w:rsidRPr="003410DE">
        <w:rPr>
          <w:rFonts w:ascii="Times New Roman" w:hAnsi="Times New Roman" w:cs="Times New Roman"/>
          <w:kern w:val="0"/>
        </w:rPr>
        <w:t xml:space="preserve"> and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There seems </w:t>
      </w:r>
      <w:r>
        <w:rPr>
          <w:rFonts w:ascii="Times New Roman" w:hAnsi="Times New Roman" w:cs="Times New Roman"/>
          <w:kern w:val="0"/>
        </w:rPr>
        <w:t xml:space="preserve">to be </w:t>
      </w:r>
      <w:r w:rsidRPr="003410DE">
        <w:rPr>
          <w:rFonts w:ascii="Times New Roman" w:hAnsi="Times New Roman" w:cs="Times New Roman"/>
          <w:kern w:val="0"/>
        </w:rPr>
        <w:t xml:space="preserve">no clear association between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size.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is </w:t>
      </w:r>
      <w:r>
        <w:rPr>
          <w:rFonts w:ascii="Times New Roman" w:hAnsi="Times New Roman" w:cs="Times New Roman"/>
          <w:kern w:val="0"/>
        </w:rPr>
        <w:t xml:space="preserve">also </w:t>
      </w:r>
      <w:r w:rsidRPr="003410DE">
        <w:rPr>
          <w:rFonts w:ascii="Times New Roman" w:hAnsi="Times New Roman" w:cs="Times New Roman"/>
          <w:kern w:val="0"/>
        </w:rPr>
        <w:t xml:space="preserve">positively associated </w:t>
      </w:r>
      <w:r>
        <w:rPr>
          <w:rFonts w:ascii="Times New Roman" w:hAnsi="Times New Roman" w:cs="Times New Roman"/>
          <w:kern w:val="0"/>
        </w:rPr>
        <w:t>with</w:t>
      </w:r>
      <w:r w:rsidRPr="003410DE">
        <w:rPr>
          <w:rFonts w:ascii="Times New Roman" w:hAnsi="Times New Roman" w:cs="Times New Roman"/>
          <w:kern w:val="0"/>
        </w:rPr>
        <w:t xml:space="preserve"> prior returns</w:t>
      </w:r>
      <w:r>
        <w:rPr>
          <w:rFonts w:ascii="Times New Roman" w:hAnsi="Times New Roman" w:cs="Times New Roman"/>
          <w:kern w:val="0"/>
        </w:rPr>
        <w:t>, indicating that t</w:t>
      </w:r>
      <w:r w:rsidRPr="003410DE">
        <w:rPr>
          <w:rFonts w:ascii="Times New Roman" w:hAnsi="Times New Roman" w:cs="Times New Roman"/>
          <w:kern w:val="0"/>
        </w:rPr>
        <w:t xml:space="preserve">hey </w:t>
      </w:r>
      <w:r>
        <w:rPr>
          <w:rFonts w:ascii="Times New Roman" w:hAnsi="Times New Roman" w:cs="Times New Roman"/>
          <w:kern w:val="0"/>
        </w:rPr>
        <w:t>are</w:t>
      </w:r>
      <w:r w:rsidRPr="003410DE">
        <w:rPr>
          <w:rFonts w:ascii="Times New Roman" w:hAnsi="Times New Roman" w:cs="Times New Roman"/>
          <w:kern w:val="0"/>
        </w:rPr>
        <w:t xml:space="preserve"> positive feedback traders. They </w:t>
      </w:r>
      <w:r>
        <w:rPr>
          <w:rFonts w:ascii="Times New Roman" w:hAnsi="Times New Roman" w:cs="Times New Roman"/>
          <w:kern w:val="0"/>
        </w:rPr>
        <w:t xml:space="preserve">tend to </w:t>
      </w:r>
      <w:r w:rsidRPr="003410DE">
        <w:rPr>
          <w:rFonts w:ascii="Times New Roman" w:hAnsi="Times New Roman" w:cs="Times New Roman"/>
          <w:kern w:val="0"/>
        </w:rPr>
        <w:t>net</w:t>
      </w:r>
      <w:r>
        <w:rPr>
          <w:rFonts w:ascii="Times New Roman" w:hAnsi="Times New Roman" w:cs="Times New Roman"/>
          <w:kern w:val="0"/>
        </w:rPr>
        <w:t>-</w:t>
      </w:r>
      <w:r w:rsidRPr="003410DE">
        <w:rPr>
          <w:rFonts w:ascii="Times New Roman" w:hAnsi="Times New Roman" w:cs="Times New Roman"/>
          <w:kern w:val="0"/>
        </w:rPr>
        <w:t>buy past winner</w:t>
      </w:r>
      <w:r>
        <w:rPr>
          <w:rFonts w:ascii="Times New Roman" w:hAnsi="Times New Roman" w:cs="Times New Roman"/>
          <w:kern w:val="0"/>
        </w:rPr>
        <w:t>s</w:t>
      </w:r>
      <w:r w:rsidRPr="003410DE">
        <w:rPr>
          <w:rFonts w:ascii="Times New Roman" w:hAnsi="Times New Roman" w:cs="Times New Roman"/>
          <w:kern w:val="0"/>
        </w:rPr>
        <w:t xml:space="preserve"> and net</w:t>
      </w:r>
      <w:r>
        <w:rPr>
          <w:rFonts w:ascii="Times New Roman" w:hAnsi="Times New Roman" w:cs="Times New Roman"/>
          <w:kern w:val="0"/>
        </w:rPr>
        <w:t>-</w:t>
      </w:r>
      <w:r w:rsidRPr="003410DE">
        <w:rPr>
          <w:rFonts w:ascii="Times New Roman" w:hAnsi="Times New Roman" w:cs="Times New Roman"/>
          <w:kern w:val="0"/>
        </w:rPr>
        <w:t>sell past loser</w:t>
      </w:r>
      <w:r>
        <w:rPr>
          <w:rFonts w:ascii="Times New Roman" w:hAnsi="Times New Roman" w:cs="Times New Roman"/>
          <w:kern w:val="0"/>
        </w:rPr>
        <w:t>s</w:t>
      </w:r>
      <w:r w:rsidRPr="003410DE">
        <w:rPr>
          <w:rFonts w:ascii="Times New Roman" w:hAnsi="Times New Roman" w:cs="Times New Roman"/>
          <w:kern w:val="0"/>
        </w:rPr>
        <w:t xml:space="preserve">. </w:t>
      </w:r>
    </w:p>
    <w:p w:rsidR="00523FB7" w:rsidRPr="003410DE" w:rsidRDefault="00523FB7" w:rsidP="00CC31B9">
      <w:pPr>
        <w:autoSpaceDE w:val="0"/>
        <w:autoSpaceDN w:val="0"/>
        <w:adjustRightInd w:val="0"/>
        <w:snapToGrid w:val="0"/>
        <w:spacing w:line="480" w:lineRule="auto"/>
        <w:jc w:val="both"/>
        <w:rPr>
          <w:rFonts w:ascii="Times New Roman" w:hAnsi="Times New Roman" w:cs="Times New Roman"/>
          <w:kern w:val="0"/>
        </w:rPr>
      </w:pPr>
      <w:r w:rsidRPr="003410DE">
        <w:rPr>
          <w:rFonts w:ascii="Times New Roman" w:hAnsi="Times New Roman" w:cs="Times New Roman"/>
          <w:kern w:val="0"/>
        </w:rPr>
        <w:tab/>
      </w:r>
      <w:r>
        <w:rPr>
          <w:rFonts w:ascii="Times New Roman" w:hAnsi="Times New Roman" w:cs="Times New Roman"/>
          <w:kern w:val="0"/>
        </w:rPr>
        <w:t>T</w:t>
      </w:r>
      <w:r w:rsidRPr="003410DE">
        <w:rPr>
          <w:rFonts w:ascii="Times New Roman" w:hAnsi="Times New Roman" w:cs="Times New Roman"/>
          <w:kern w:val="0"/>
        </w:rPr>
        <w:t>he portfolio results based on adjusted changes in individual ownership (</w:t>
      </w:r>
      <w:r w:rsidRPr="00D5561B">
        <w:rPr>
          <w:rFonts w:ascii="Times New Roman" w:hAnsi="Times New Roman" w:cs="Times New Roman"/>
          <w:i/>
          <w:kern w:val="0"/>
        </w:rPr>
        <w:t>AdjDIND</w:t>
      </w:r>
      <w:r w:rsidRPr="003410DE">
        <w:rPr>
          <w:rFonts w:ascii="Times New Roman" w:hAnsi="Times New Roman" w:cs="Times New Roman"/>
          <w:kern w:val="0"/>
        </w:rPr>
        <w:t xml:space="preserve">) are reported in Table 6. </w:t>
      </w:r>
      <w:r>
        <w:rPr>
          <w:rFonts w:ascii="Times New Roman" w:hAnsi="Times New Roman" w:cs="Times New Roman"/>
          <w:kern w:val="0"/>
        </w:rPr>
        <w:t>E</w:t>
      </w:r>
      <w:r w:rsidRPr="003410DE">
        <w:rPr>
          <w:rFonts w:ascii="Times New Roman" w:hAnsi="Times New Roman" w:cs="Times New Roman"/>
          <w:kern w:val="0"/>
        </w:rPr>
        <w:t xml:space="preserve">vidence indicates that firms </w:t>
      </w:r>
      <w:r>
        <w:rPr>
          <w:rFonts w:ascii="Times New Roman" w:hAnsi="Times New Roman" w:cs="Times New Roman"/>
          <w:kern w:val="0"/>
        </w:rPr>
        <w:t>with</w:t>
      </w:r>
      <w:r w:rsidRPr="003410DE">
        <w:rPr>
          <w:rFonts w:ascii="Times New Roman" w:hAnsi="Times New Roman" w:cs="Times New Roman"/>
          <w:kern w:val="0"/>
        </w:rPr>
        <w:t xml:space="preserve"> higher </w:t>
      </w:r>
      <w:r w:rsidRPr="00D5561B">
        <w:rPr>
          <w:rFonts w:ascii="Times New Roman" w:hAnsi="Times New Roman" w:cs="Times New Roman"/>
          <w:i/>
          <w:kern w:val="0"/>
        </w:rPr>
        <w:t>AdjDIND</w:t>
      </w:r>
      <w:r w:rsidRPr="003410DE">
        <w:rPr>
          <w:rFonts w:ascii="Times New Roman" w:hAnsi="Times New Roman" w:cs="Times New Roman"/>
          <w:kern w:val="0"/>
        </w:rPr>
        <w:t xml:space="preserve"> earn higher subsequent </w:t>
      </w:r>
      <w:r>
        <w:rPr>
          <w:rFonts w:ascii="Times New Roman" w:hAnsi="Times New Roman" w:cs="Times New Roman"/>
          <w:kern w:val="0"/>
        </w:rPr>
        <w:t xml:space="preserve">raw </w:t>
      </w:r>
      <w:r w:rsidRPr="003410DE">
        <w:rPr>
          <w:rFonts w:ascii="Times New Roman" w:hAnsi="Times New Roman" w:cs="Times New Roman"/>
          <w:kern w:val="0"/>
        </w:rPr>
        <w:t xml:space="preserve">returns. However, the equal- (value-) weighted average of the monthly </w:t>
      </w:r>
      <w:r>
        <w:rPr>
          <w:rFonts w:ascii="Times New Roman" w:hAnsi="Times New Roman" w:cs="Times New Roman"/>
          <w:kern w:val="0"/>
        </w:rPr>
        <w:t xml:space="preserve">raw </w:t>
      </w:r>
      <w:r w:rsidRPr="003410DE">
        <w:rPr>
          <w:rFonts w:ascii="Times New Roman" w:hAnsi="Times New Roman" w:cs="Times New Roman"/>
          <w:kern w:val="0"/>
        </w:rPr>
        <w:t xml:space="preserve">return difference between stocks in the highest decile and stocks in the lowest decile is an insignificantly </w:t>
      </w:r>
      <w:r>
        <w:rPr>
          <w:rFonts w:ascii="Times New Roman" w:hAnsi="Times New Roman" w:cs="Times New Roman"/>
          <w:kern w:val="0"/>
        </w:rPr>
        <w:t>positive</w:t>
      </w:r>
      <w:r w:rsidRPr="003410DE">
        <w:rPr>
          <w:rFonts w:ascii="Times New Roman" w:hAnsi="Times New Roman" w:cs="Times New Roman"/>
          <w:kern w:val="0"/>
        </w:rPr>
        <w:t xml:space="preserve"> 0.</w:t>
      </w:r>
      <w:r>
        <w:rPr>
          <w:rFonts w:ascii="Times New Roman" w:hAnsi="Times New Roman" w:cs="Times New Roman"/>
          <w:kern w:val="0"/>
        </w:rPr>
        <w:t>28</w:t>
      </w:r>
      <w:r w:rsidRPr="003410DE">
        <w:rPr>
          <w:rFonts w:ascii="Times New Roman" w:hAnsi="Times New Roman" w:cs="Times New Roman"/>
          <w:kern w:val="0"/>
        </w:rPr>
        <w:t>% (0.</w:t>
      </w:r>
      <w:r>
        <w:rPr>
          <w:rFonts w:ascii="Times New Roman" w:hAnsi="Times New Roman" w:cs="Times New Roman"/>
          <w:kern w:val="0"/>
        </w:rPr>
        <w:t>17</w:t>
      </w:r>
      <w:r w:rsidRPr="003410DE">
        <w:rPr>
          <w:rFonts w:ascii="Times New Roman" w:hAnsi="Times New Roman" w:cs="Times New Roman"/>
          <w:kern w:val="0"/>
        </w:rPr>
        <w:t xml:space="preserve">%). </w:t>
      </w:r>
      <w:r>
        <w:rPr>
          <w:rFonts w:ascii="Times New Roman" w:hAnsi="Times New Roman" w:cs="Times New Roman"/>
          <w:kern w:val="0"/>
        </w:rPr>
        <w:t>C</w:t>
      </w:r>
      <w:r w:rsidRPr="003410DE">
        <w:rPr>
          <w:rFonts w:ascii="Times New Roman" w:hAnsi="Times New Roman" w:cs="Times New Roman"/>
          <w:kern w:val="0"/>
        </w:rPr>
        <w:t xml:space="preserve">onsistent </w:t>
      </w:r>
      <w:r>
        <w:rPr>
          <w:rFonts w:ascii="Times New Roman" w:hAnsi="Times New Roman" w:cs="Times New Roman"/>
          <w:kern w:val="0"/>
        </w:rPr>
        <w:t>with</w:t>
      </w:r>
      <w:r w:rsidRPr="003410DE">
        <w:rPr>
          <w:rFonts w:ascii="Times New Roman" w:hAnsi="Times New Roman" w:cs="Times New Roman"/>
          <w:kern w:val="0"/>
        </w:rPr>
        <w:t xml:space="preserve"> the results </w:t>
      </w:r>
      <w:r>
        <w:rPr>
          <w:rFonts w:ascii="Times New Roman" w:hAnsi="Times New Roman" w:cs="Times New Roman"/>
          <w:kern w:val="0"/>
        </w:rPr>
        <w:t>in</w:t>
      </w:r>
      <w:r w:rsidRPr="003410DE">
        <w:rPr>
          <w:rFonts w:ascii="Times New Roman" w:hAnsi="Times New Roman" w:cs="Times New Roman"/>
          <w:kern w:val="0"/>
        </w:rPr>
        <w:t xml:space="preserve"> the previous section,</w:t>
      </w:r>
      <w:r>
        <w:rPr>
          <w:rFonts w:ascii="Times New Roman" w:hAnsi="Times New Roman" w:cs="Times New Roman"/>
          <w:kern w:val="0"/>
        </w:rPr>
        <w:t xml:space="preserve"> Panel B reveals that</w:t>
      </w:r>
      <w:r w:rsidRPr="003410DE">
        <w:rPr>
          <w:rFonts w:ascii="Times New Roman" w:hAnsi="Times New Roman" w:cs="Times New Roman"/>
          <w:kern w:val="0"/>
        </w:rPr>
        <w:t xml:space="preserve"> there is an increasing pattern of </w:t>
      </w:r>
      <w:r w:rsidRPr="00D5561B">
        <w:rPr>
          <w:rFonts w:ascii="Times New Roman" w:hAnsi="Times New Roman" w:cs="Times New Roman"/>
          <w:i/>
          <w:kern w:val="0"/>
        </w:rPr>
        <w:t>BE/ME</w:t>
      </w:r>
      <w:r w:rsidRPr="003410DE">
        <w:rPr>
          <w:rFonts w:ascii="Times New Roman" w:hAnsi="Times New Roman" w:cs="Times New Roman"/>
          <w:kern w:val="0"/>
        </w:rPr>
        <w:t xml:space="preserve"> and a decreasing pattern of size as </w:t>
      </w:r>
      <w:r w:rsidRPr="00D5561B">
        <w:rPr>
          <w:rFonts w:ascii="Times New Roman" w:hAnsi="Times New Roman" w:cs="Times New Roman"/>
          <w:i/>
          <w:kern w:val="0"/>
        </w:rPr>
        <w:t>AdjDIND</w:t>
      </w:r>
      <w:r w:rsidRPr="003410DE">
        <w:rPr>
          <w:rFonts w:ascii="Times New Roman" w:hAnsi="Times New Roman" w:cs="Times New Roman"/>
          <w:kern w:val="0"/>
        </w:rPr>
        <w:t xml:space="preserve"> increases. Moreover, individual investors are contrarian investors</w:t>
      </w:r>
      <w:r>
        <w:rPr>
          <w:rFonts w:ascii="Times New Roman" w:hAnsi="Times New Roman" w:cs="Times New Roman"/>
          <w:kern w:val="0"/>
        </w:rPr>
        <w:t>; that is,</w:t>
      </w:r>
      <w:r w:rsidRPr="003410DE">
        <w:rPr>
          <w:rFonts w:ascii="Times New Roman" w:hAnsi="Times New Roman" w:cs="Times New Roman"/>
          <w:kern w:val="0"/>
        </w:rPr>
        <w:t xml:space="preserve"> they net-buy prior losers and net-sell prior winners. </w:t>
      </w:r>
    </w:p>
    <w:p w:rsidR="00523FB7" w:rsidRPr="00741707" w:rsidRDefault="00523FB7" w:rsidP="00CC31B9">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&lt;Insert Tables 5 and 6 about here&gt;</w:t>
      </w:r>
    </w:p>
    <w:p w:rsidR="00523FB7" w:rsidRDefault="00523FB7" w:rsidP="00CC31B9">
      <w:pPr>
        <w:autoSpaceDE w:val="0"/>
        <w:autoSpaceDN w:val="0"/>
        <w:adjustRightInd w:val="0"/>
        <w:snapToGrid w:val="0"/>
        <w:spacing w:line="480" w:lineRule="auto"/>
        <w:ind w:firstLine="480"/>
        <w:jc w:val="both"/>
        <w:rPr>
          <w:rFonts w:ascii="Times New Roman" w:hAnsi="Times New Roman" w:cs="Times New Roman"/>
          <w:kern w:val="0"/>
        </w:rPr>
      </w:pPr>
      <w:r>
        <w:rPr>
          <w:rFonts w:ascii="Times New Roman" w:hAnsi="Times New Roman" w:cs="Times New Roman"/>
          <w:kern w:val="0"/>
        </w:rPr>
        <w:t xml:space="preserve">As </w:t>
      </w:r>
      <w:r w:rsidRPr="003410DE">
        <w:rPr>
          <w:rFonts w:ascii="Times New Roman" w:hAnsi="Times New Roman" w:cs="Times New Roman"/>
          <w:kern w:val="0"/>
        </w:rPr>
        <w:t xml:space="preserve">robustness </w:t>
      </w:r>
      <w:r>
        <w:rPr>
          <w:rFonts w:ascii="Times New Roman" w:hAnsi="Times New Roman" w:cs="Times New Roman"/>
          <w:kern w:val="0"/>
        </w:rPr>
        <w:t>checks</w:t>
      </w:r>
      <w:r w:rsidRPr="003410DE">
        <w:rPr>
          <w:rFonts w:ascii="Times New Roman" w:hAnsi="Times New Roman" w:cs="Times New Roman"/>
          <w:kern w:val="0"/>
        </w:rPr>
        <w:t xml:space="preserve">, we use </w:t>
      </w:r>
      <w:r>
        <w:rPr>
          <w:rFonts w:ascii="Times New Roman" w:hAnsi="Times New Roman" w:cs="Times New Roman"/>
          <w:kern w:val="0"/>
        </w:rPr>
        <w:t xml:space="preserve">a </w:t>
      </w:r>
      <w:r w:rsidRPr="003410DE">
        <w:rPr>
          <w:rFonts w:ascii="Times New Roman" w:hAnsi="Times New Roman" w:cs="Times New Roman"/>
          <w:kern w:val="0"/>
        </w:rPr>
        <w:t>second method to examine the relation between institutional trading (individual trading) and stock returns. In Table 7, we present</w:t>
      </w:r>
      <w:r>
        <w:rPr>
          <w:rFonts w:ascii="Times New Roman" w:hAnsi="Times New Roman" w:cs="Times New Roman"/>
          <w:kern w:val="0"/>
        </w:rPr>
        <w:t xml:space="preserve"> a</w:t>
      </w:r>
      <w:r w:rsidRPr="003410DE">
        <w:rPr>
          <w:rFonts w:ascii="Times New Roman" w:hAnsi="Times New Roman" w:cs="Times New Roman"/>
          <w:kern w:val="0"/>
        </w:rPr>
        <w:t xml:space="preserve"> cross-sectional regression analysis at</w:t>
      </w:r>
      <w:r>
        <w:rPr>
          <w:rFonts w:ascii="Times New Roman" w:hAnsi="Times New Roman" w:cs="Times New Roman"/>
          <w:kern w:val="0"/>
        </w:rPr>
        <w:t xml:space="preserve"> the</w:t>
      </w:r>
      <w:r w:rsidRPr="003410DE">
        <w:rPr>
          <w:rFonts w:ascii="Times New Roman" w:hAnsi="Times New Roman" w:cs="Times New Roman"/>
          <w:kern w:val="0"/>
        </w:rPr>
        <w:t xml:space="preserve"> firm level. Using</w:t>
      </w:r>
      <w:r>
        <w:rPr>
          <w:rFonts w:ascii="Times New Roman" w:hAnsi="Times New Roman" w:cs="Times New Roman"/>
          <w:kern w:val="0"/>
        </w:rPr>
        <w:t xml:space="preserve"> the</w:t>
      </w:r>
      <w:r w:rsidRPr="003410DE">
        <w:rPr>
          <w:rFonts w:ascii="Times New Roman" w:hAnsi="Times New Roman" w:cs="Times New Roman"/>
          <w:kern w:val="0"/>
        </w:rPr>
        <w:t xml:space="preserve"> Fama and MacBeth </w:t>
      </w:r>
      <w:r>
        <w:rPr>
          <w:rFonts w:ascii="Times New Roman" w:hAnsi="Times New Roman" w:cs="Times New Roman"/>
          <w:kern w:val="0"/>
        </w:rPr>
        <w:t xml:space="preserve">(1973) </w:t>
      </w:r>
      <w:r w:rsidRPr="003410DE">
        <w:rPr>
          <w:rFonts w:ascii="Times New Roman" w:hAnsi="Times New Roman" w:cs="Times New Roman"/>
          <w:kern w:val="0"/>
        </w:rPr>
        <w:t>procedure, we report the time-series averages of slopes from</w:t>
      </w:r>
      <w:r>
        <w:rPr>
          <w:rFonts w:ascii="Times New Roman" w:hAnsi="Times New Roman" w:cs="Times New Roman"/>
          <w:kern w:val="0"/>
        </w:rPr>
        <w:t xml:space="preserve"> the</w:t>
      </w:r>
      <w:r w:rsidRPr="003410DE">
        <w:rPr>
          <w:rFonts w:ascii="Times New Roman" w:hAnsi="Times New Roman" w:cs="Times New Roman"/>
          <w:kern w:val="0"/>
        </w:rPr>
        <w:t xml:space="preserve"> monthly cross-sectional regressions of stock returns on </w:t>
      </w:r>
      <w:r w:rsidRPr="00D5561B">
        <w:rPr>
          <w:rFonts w:ascii="Times New Roman" w:hAnsi="Times New Roman" w:cs="Times New Roman"/>
          <w:i/>
          <w:kern w:val="0"/>
        </w:rPr>
        <w:t>BE/ME</w:t>
      </w:r>
      <w:r w:rsidRPr="003410DE">
        <w:rPr>
          <w:rFonts w:ascii="Times New Roman" w:hAnsi="Times New Roman" w:cs="Times New Roman"/>
          <w:kern w:val="0"/>
        </w:rPr>
        <w:t xml:space="preserve">, size,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sidRPr="003410DE">
        <w:rPr>
          <w:rFonts w:ascii="Times New Roman" w:hAnsi="Times New Roman" w:cs="Times New Roman"/>
          <w:kern w:val="0"/>
        </w:rPr>
        <w:t xml:space="preserve">. </w:t>
      </w:r>
      <w:r>
        <w:rPr>
          <w:rFonts w:ascii="Times New Roman" w:hAnsi="Times New Roman" w:cs="Times New Roman"/>
          <w:kern w:val="0"/>
        </w:rPr>
        <w:t xml:space="preserve">The model 8 shows that the coefficients on </w:t>
      </w:r>
      <w:r w:rsidRPr="00D5561B">
        <w:rPr>
          <w:rFonts w:ascii="Times New Roman" w:hAnsi="Times New Roman" w:cs="Times New Roman"/>
          <w:i/>
          <w:kern w:val="0"/>
        </w:rPr>
        <w:t>BE/ME</w:t>
      </w:r>
      <w:r>
        <w:rPr>
          <w:rFonts w:ascii="Times New Roman" w:hAnsi="Times New Roman" w:cs="Times New Roman"/>
          <w:kern w:val="0"/>
        </w:rPr>
        <w:t xml:space="preserve"> and size are 0.16 and -0.14, which are significantly positive and negative at about the 5% level, respectively, suggesting the existence of </w:t>
      </w:r>
      <w:r w:rsidRPr="00D5561B">
        <w:rPr>
          <w:rFonts w:ascii="Times New Roman" w:hAnsi="Times New Roman" w:cs="Times New Roman"/>
          <w:i/>
          <w:kern w:val="0"/>
        </w:rPr>
        <w:t>BE/ME</w:t>
      </w:r>
      <w:r>
        <w:rPr>
          <w:rFonts w:ascii="Times New Roman" w:hAnsi="Times New Roman" w:cs="Times New Roman"/>
          <w:kern w:val="0"/>
        </w:rPr>
        <w:t xml:space="preserve"> and size effects. </w:t>
      </w:r>
      <w:r w:rsidRPr="003410DE">
        <w:rPr>
          <w:rFonts w:ascii="Times New Roman" w:hAnsi="Times New Roman" w:cs="Times New Roman"/>
          <w:kern w:val="0"/>
        </w:rPr>
        <w:t xml:space="preserve">More importantly, </w:t>
      </w:r>
      <w:r>
        <w:rPr>
          <w:rFonts w:ascii="Times New Roman" w:hAnsi="Times New Roman" w:cs="Times New Roman"/>
          <w:kern w:val="0"/>
        </w:rPr>
        <w:t>the</w:t>
      </w:r>
      <w:r w:rsidRPr="003410DE">
        <w:rPr>
          <w:rFonts w:ascii="Times New Roman" w:hAnsi="Times New Roman" w:cs="Times New Roman"/>
          <w:kern w:val="0"/>
        </w:rPr>
        <w:t xml:space="preserve"> significant</w:t>
      </w:r>
      <w:r>
        <w:rPr>
          <w:rFonts w:ascii="Times New Roman" w:hAnsi="Times New Roman" w:cs="Times New Roman"/>
          <w:kern w:val="0"/>
        </w:rPr>
        <w:t>ly</w:t>
      </w:r>
      <w:r w:rsidRPr="003410DE">
        <w:rPr>
          <w:rFonts w:ascii="Times New Roman" w:hAnsi="Times New Roman" w:cs="Times New Roman"/>
          <w:kern w:val="0"/>
        </w:rPr>
        <w:t xml:space="preserve"> negative </w:t>
      </w:r>
      <w:r>
        <w:rPr>
          <w:rFonts w:ascii="Times New Roman" w:hAnsi="Times New Roman" w:cs="Times New Roman"/>
          <w:kern w:val="0"/>
        </w:rPr>
        <w:t>coefficient on</w:t>
      </w:r>
      <w:r w:rsidRPr="00B67956">
        <w:rPr>
          <w:rFonts w:ascii="Times New Roman" w:hAnsi="Times New Roman" w:cs="Times New Roman"/>
          <w:kern w:val="0"/>
        </w:rPr>
        <w:t xml:space="preserve"> </w:t>
      </w:r>
      <w:r w:rsidRPr="00D5561B">
        <w:rPr>
          <w:rFonts w:ascii="Times New Roman" w:hAnsi="Times New Roman" w:cs="Times New Roman"/>
          <w:i/>
          <w:kern w:val="0"/>
        </w:rPr>
        <w:t>AdjD</w:t>
      </w:r>
      <w:r w:rsidRPr="0017025B">
        <w:rPr>
          <w:rFonts w:ascii="Times New Roman" w:hAnsi="Times New Roman" w:cs="Times New Roman"/>
          <w:i/>
          <w:kern w:val="0"/>
        </w:rPr>
        <w:t>ITH</w:t>
      </w:r>
      <w:r>
        <w:rPr>
          <w:rFonts w:ascii="Times New Roman" w:hAnsi="Times New Roman" w:cs="Times New Roman"/>
          <w:kern w:val="0"/>
        </w:rPr>
        <w:t xml:space="preserve"> (-1.44 with a t-statistic of -1.74) suggests that </w:t>
      </w:r>
      <w:r w:rsidRPr="00D5561B">
        <w:rPr>
          <w:rFonts w:ascii="Times New Roman" w:hAnsi="Times New Roman" w:cs="Times New Roman"/>
          <w:i/>
          <w:kern w:val="0"/>
        </w:rPr>
        <w:t>AdjD</w:t>
      </w:r>
      <w:r w:rsidRPr="0017025B">
        <w:rPr>
          <w:rFonts w:ascii="Times New Roman" w:hAnsi="Times New Roman" w:cs="Times New Roman"/>
          <w:i/>
          <w:kern w:val="0"/>
        </w:rPr>
        <w:t>ITH</w:t>
      </w:r>
      <w:r>
        <w:rPr>
          <w:rFonts w:ascii="Times New Roman" w:hAnsi="Times New Roman" w:cs="Times New Roman"/>
          <w:kern w:val="0"/>
        </w:rPr>
        <w:t xml:space="preserve"> is related to future stock returns. </w:t>
      </w:r>
      <w:r w:rsidRPr="003410DE">
        <w:rPr>
          <w:rFonts w:ascii="Times New Roman" w:hAnsi="Times New Roman" w:cs="Times New Roman"/>
          <w:kern w:val="0"/>
        </w:rPr>
        <w:t xml:space="preserve">However, there </w:t>
      </w:r>
      <w:r>
        <w:rPr>
          <w:rFonts w:ascii="Times New Roman" w:hAnsi="Times New Roman" w:cs="Times New Roman"/>
          <w:kern w:val="0"/>
        </w:rPr>
        <w:t xml:space="preserve">seems </w:t>
      </w:r>
      <w:r w:rsidRPr="003410DE">
        <w:rPr>
          <w:rFonts w:ascii="Times New Roman" w:hAnsi="Times New Roman" w:cs="Times New Roman"/>
          <w:kern w:val="0"/>
        </w:rPr>
        <w:t xml:space="preserve">to be </w:t>
      </w:r>
      <w:r>
        <w:rPr>
          <w:rFonts w:ascii="Times New Roman" w:hAnsi="Times New Roman" w:cs="Times New Roman"/>
          <w:kern w:val="0"/>
        </w:rPr>
        <w:t>no</w:t>
      </w:r>
      <w:r w:rsidRPr="003410DE">
        <w:rPr>
          <w:rFonts w:ascii="Times New Roman" w:hAnsi="Times New Roman" w:cs="Times New Roman"/>
          <w:kern w:val="0"/>
        </w:rPr>
        <w:t xml:space="preserve"> relation between </w:t>
      </w:r>
      <w:r w:rsidRPr="00D5561B">
        <w:rPr>
          <w:rFonts w:ascii="Times New Roman" w:hAnsi="Times New Roman" w:cs="Times New Roman"/>
          <w:i/>
          <w:kern w:val="0"/>
        </w:rPr>
        <w:t>AdjDIND</w:t>
      </w:r>
      <w:r w:rsidRPr="003410DE">
        <w:rPr>
          <w:rFonts w:ascii="Times New Roman" w:hAnsi="Times New Roman" w:cs="Times New Roman"/>
          <w:kern w:val="0"/>
        </w:rPr>
        <w:t xml:space="preserve"> </w:t>
      </w:r>
      <w:r>
        <w:rPr>
          <w:rFonts w:ascii="Times New Roman" w:hAnsi="Times New Roman" w:cs="Times New Roman"/>
          <w:kern w:val="0"/>
        </w:rPr>
        <w:t>(0.14 with</w:t>
      </w:r>
      <w:r w:rsidRPr="00547CF5">
        <w:rPr>
          <w:rFonts w:ascii="Times New Roman" w:hAnsi="Times New Roman" w:cs="Times New Roman"/>
          <w:kern w:val="0"/>
        </w:rPr>
        <w:t xml:space="preserve"> </w:t>
      </w:r>
      <w:r>
        <w:rPr>
          <w:rFonts w:ascii="Times New Roman" w:hAnsi="Times New Roman" w:cs="Times New Roman"/>
          <w:kern w:val="0"/>
        </w:rPr>
        <w:t xml:space="preserve">a t-statistic of 0.27) </w:t>
      </w:r>
      <w:r w:rsidRPr="003410DE">
        <w:rPr>
          <w:rFonts w:ascii="Times New Roman" w:hAnsi="Times New Roman" w:cs="Times New Roman"/>
          <w:kern w:val="0"/>
        </w:rPr>
        <w:t xml:space="preserve">and </w:t>
      </w:r>
      <w:r>
        <w:rPr>
          <w:rFonts w:ascii="Times New Roman" w:hAnsi="Times New Roman" w:cs="Times New Roman"/>
          <w:kern w:val="0"/>
        </w:rPr>
        <w:t xml:space="preserve">future </w:t>
      </w:r>
      <w:r w:rsidRPr="003410DE">
        <w:rPr>
          <w:rFonts w:ascii="Times New Roman" w:hAnsi="Times New Roman" w:cs="Times New Roman"/>
          <w:kern w:val="0"/>
        </w:rPr>
        <w:t>stock returns.</w:t>
      </w:r>
      <w:r>
        <w:rPr>
          <w:rFonts w:ascii="Times New Roman" w:hAnsi="Times New Roman" w:cs="Times New Roman"/>
          <w:kern w:val="0"/>
        </w:rPr>
        <w:t xml:space="preserve"> </w:t>
      </w:r>
    </w:p>
    <w:p w:rsidR="00523FB7" w:rsidRDefault="00523FB7" w:rsidP="00CC31B9">
      <w:pPr>
        <w:autoSpaceDE w:val="0"/>
        <w:autoSpaceDN w:val="0"/>
        <w:adjustRightInd w:val="0"/>
        <w:snapToGrid w:val="0"/>
        <w:spacing w:line="480" w:lineRule="auto"/>
        <w:ind w:firstLine="480"/>
        <w:jc w:val="both"/>
        <w:rPr>
          <w:rFonts w:ascii="Times New Roman" w:hAnsi="Times New Roman" w:cs="Times New Roman"/>
          <w:kern w:val="0"/>
        </w:rPr>
      </w:pPr>
      <w:r>
        <w:rPr>
          <w:rFonts w:ascii="Times New Roman" w:hAnsi="Times New Roman" w:cs="Times New Roman"/>
          <w:kern w:val="0"/>
        </w:rPr>
        <w:t xml:space="preserve">In sum, </w:t>
      </w:r>
      <w:r w:rsidRPr="003410DE">
        <w:rPr>
          <w:rFonts w:ascii="Times New Roman" w:hAnsi="Times New Roman" w:cs="Times New Roman"/>
        </w:rPr>
        <w:t xml:space="preserve">we document a significantly and economically negative relation between </w:t>
      </w:r>
      <w:r>
        <w:rPr>
          <w:rFonts w:ascii="Times New Roman" w:hAnsi="Times New Roman" w:cs="Times New Roman"/>
        </w:rPr>
        <w:t xml:space="preserve">annual changes in </w:t>
      </w:r>
      <w:r w:rsidRPr="003410DE">
        <w:rPr>
          <w:rFonts w:ascii="Times New Roman" w:hAnsi="Times New Roman" w:cs="Times New Roman"/>
        </w:rPr>
        <w:t xml:space="preserve">institutional </w:t>
      </w:r>
      <w:r>
        <w:rPr>
          <w:rFonts w:ascii="Times New Roman" w:hAnsi="Times New Roman" w:cs="Times New Roman"/>
        </w:rPr>
        <w:t>ownership</w:t>
      </w:r>
      <w:r w:rsidRPr="003410DE">
        <w:rPr>
          <w:rFonts w:ascii="Times New Roman" w:hAnsi="Times New Roman" w:cs="Times New Roman"/>
        </w:rPr>
        <w:t xml:space="preserve"> and </w:t>
      </w:r>
      <w:r>
        <w:rPr>
          <w:rFonts w:ascii="Times New Roman" w:hAnsi="Times New Roman" w:cs="Times New Roman"/>
        </w:rPr>
        <w:t xml:space="preserve">future </w:t>
      </w:r>
      <w:r w:rsidRPr="003410DE">
        <w:rPr>
          <w:rFonts w:ascii="Times New Roman" w:hAnsi="Times New Roman" w:cs="Times New Roman"/>
        </w:rPr>
        <w:t xml:space="preserve">stocks returns. </w:t>
      </w:r>
      <w:r>
        <w:rPr>
          <w:rFonts w:ascii="Times New Roman" w:hAnsi="Times New Roman" w:cs="Times New Roman"/>
        </w:rPr>
        <w:t xml:space="preserve">That is, institutional trading is associated with reversals in returns, and its </w:t>
      </w:r>
      <w:r>
        <w:rPr>
          <w:rFonts w:ascii="Times New Roman" w:hAnsi="Times New Roman" w:cs="Times New Roman"/>
          <w:kern w:val="0"/>
        </w:rPr>
        <w:t xml:space="preserve">effect </w:t>
      </w:r>
      <w:r w:rsidRPr="003410DE">
        <w:rPr>
          <w:rFonts w:ascii="Times New Roman" w:hAnsi="Times New Roman" w:cs="Times New Roman"/>
          <w:kern w:val="0"/>
        </w:rPr>
        <w:t xml:space="preserve">is </w:t>
      </w:r>
      <w:r>
        <w:rPr>
          <w:rFonts w:ascii="Times New Roman" w:hAnsi="Times New Roman" w:cs="Times New Roman"/>
          <w:kern w:val="0"/>
        </w:rPr>
        <w:t>not a subsumed by</w:t>
      </w:r>
      <w:r w:rsidRPr="003410DE">
        <w:rPr>
          <w:rFonts w:ascii="Times New Roman" w:hAnsi="Times New Roman" w:cs="Times New Roman"/>
          <w:kern w:val="0"/>
        </w:rPr>
        <w:t xml:space="preserve"> </w:t>
      </w:r>
      <w:r w:rsidRPr="00D5561B">
        <w:rPr>
          <w:rFonts w:ascii="Times New Roman" w:hAnsi="Times New Roman" w:cs="Times New Roman"/>
          <w:i/>
          <w:kern w:val="0"/>
        </w:rPr>
        <w:t>BE/ME</w:t>
      </w:r>
      <w:r w:rsidRPr="003410DE">
        <w:rPr>
          <w:rFonts w:ascii="Times New Roman" w:hAnsi="Times New Roman" w:cs="Times New Roman"/>
          <w:kern w:val="0"/>
        </w:rPr>
        <w:t xml:space="preserve"> </w:t>
      </w:r>
      <w:r>
        <w:rPr>
          <w:rFonts w:ascii="Times New Roman" w:hAnsi="Times New Roman" w:cs="Times New Roman"/>
          <w:kern w:val="0"/>
        </w:rPr>
        <w:t>and</w:t>
      </w:r>
      <w:r w:rsidRPr="003410DE">
        <w:rPr>
          <w:rFonts w:ascii="Times New Roman" w:hAnsi="Times New Roman" w:cs="Times New Roman"/>
          <w:kern w:val="0"/>
        </w:rPr>
        <w:t xml:space="preserve"> size effect</w:t>
      </w:r>
      <w:r>
        <w:rPr>
          <w:rFonts w:ascii="Times New Roman" w:hAnsi="Times New Roman" w:cs="Times New Roman"/>
          <w:kern w:val="0"/>
        </w:rPr>
        <w:t>s</w:t>
      </w:r>
      <w:r w:rsidRPr="003410DE">
        <w:rPr>
          <w:rFonts w:ascii="Times New Roman" w:hAnsi="Times New Roman" w:cs="Times New Roman"/>
          <w:kern w:val="0"/>
        </w:rPr>
        <w:t>.</w:t>
      </w:r>
      <w:r>
        <w:rPr>
          <w:rFonts w:ascii="Times New Roman" w:hAnsi="Times New Roman" w:cs="Times New Roman"/>
          <w:kern w:val="0"/>
        </w:rPr>
        <w:t xml:space="preserve"> However, </w:t>
      </w:r>
      <w:r>
        <w:rPr>
          <w:rFonts w:ascii="Times New Roman" w:hAnsi="Times New Roman" w:cs="Times New Roman"/>
        </w:rPr>
        <w:t>annual changes in individual</w:t>
      </w:r>
      <w:r w:rsidRPr="003410DE">
        <w:rPr>
          <w:rFonts w:ascii="Times New Roman" w:hAnsi="Times New Roman" w:cs="Times New Roman"/>
        </w:rPr>
        <w:t xml:space="preserve"> </w:t>
      </w:r>
      <w:r>
        <w:rPr>
          <w:rFonts w:ascii="Times New Roman" w:hAnsi="Times New Roman" w:cs="Times New Roman"/>
        </w:rPr>
        <w:t>ownership</w:t>
      </w:r>
      <w:r w:rsidRPr="003410DE">
        <w:rPr>
          <w:rFonts w:ascii="Times New Roman" w:hAnsi="Times New Roman" w:cs="Times New Roman"/>
        </w:rPr>
        <w:t xml:space="preserve"> ha</w:t>
      </w:r>
      <w:r>
        <w:rPr>
          <w:rFonts w:ascii="Times New Roman" w:hAnsi="Times New Roman" w:cs="Times New Roman"/>
        </w:rPr>
        <w:t>ve</w:t>
      </w:r>
      <w:r w:rsidRPr="003410DE">
        <w:rPr>
          <w:rFonts w:ascii="Times New Roman" w:hAnsi="Times New Roman" w:cs="Times New Roman"/>
        </w:rPr>
        <w:t xml:space="preserve"> a </w:t>
      </w:r>
      <w:r>
        <w:rPr>
          <w:rFonts w:ascii="Times New Roman" w:hAnsi="Times New Roman" w:cs="Times New Roman"/>
        </w:rPr>
        <w:t>weak</w:t>
      </w:r>
      <w:r w:rsidRPr="003410DE">
        <w:rPr>
          <w:rFonts w:ascii="Times New Roman" w:hAnsi="Times New Roman" w:cs="Times New Roman"/>
        </w:rPr>
        <w:t xml:space="preserve"> </w:t>
      </w:r>
      <w:r>
        <w:rPr>
          <w:rFonts w:ascii="Times New Roman" w:hAnsi="Times New Roman" w:cs="Times New Roman"/>
        </w:rPr>
        <w:t xml:space="preserve">relation to future </w:t>
      </w:r>
      <w:r w:rsidRPr="003410DE">
        <w:rPr>
          <w:rFonts w:ascii="Times New Roman" w:hAnsi="Times New Roman" w:cs="Times New Roman"/>
        </w:rPr>
        <w:t>stock returns.</w:t>
      </w:r>
      <w:r>
        <w:rPr>
          <w:rFonts w:ascii="Times New Roman" w:hAnsi="Times New Roman" w:cs="Times New Roman"/>
          <w:kern w:val="0"/>
        </w:rPr>
        <w:t xml:space="preserve"> </w:t>
      </w:r>
    </w:p>
    <w:p w:rsidR="00523FB7" w:rsidRPr="00741707" w:rsidRDefault="00523FB7" w:rsidP="00CC31B9">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&lt;Insert Table 7 about here&gt;</w:t>
      </w:r>
    </w:p>
    <w:p w:rsidR="00523FB7" w:rsidRPr="003410DE" w:rsidRDefault="00523FB7" w:rsidP="00CC31B9">
      <w:pPr>
        <w:numPr>
          <w:ilvl w:val="0"/>
          <w:numId w:val="2"/>
        </w:numPr>
        <w:snapToGrid w:val="0"/>
        <w:spacing w:line="480" w:lineRule="auto"/>
        <w:rPr>
          <w:rFonts w:ascii="Times New Roman" w:hAnsi="Times New Roman" w:cs="Times New Roman"/>
          <w:b/>
          <w:bCs/>
          <w:sz w:val="28"/>
          <w:szCs w:val="28"/>
        </w:rPr>
      </w:pPr>
      <w:r w:rsidRPr="003410DE">
        <w:rPr>
          <w:rFonts w:ascii="Times New Roman" w:hAnsi="Times New Roman" w:cs="Times New Roman"/>
          <w:b/>
          <w:bCs/>
          <w:kern w:val="0"/>
          <w:sz w:val="28"/>
          <w:szCs w:val="28"/>
        </w:rPr>
        <w:t>Institutional</w:t>
      </w:r>
      <w:r>
        <w:rPr>
          <w:rFonts w:ascii="Times New Roman" w:hAnsi="Times New Roman" w:cs="Times New Roman"/>
          <w:b/>
          <w:bCs/>
          <w:kern w:val="0"/>
          <w:sz w:val="28"/>
          <w:szCs w:val="28"/>
        </w:rPr>
        <w:t>/</w:t>
      </w:r>
      <w:r w:rsidRPr="003410DE">
        <w:rPr>
          <w:rFonts w:ascii="Times New Roman" w:hAnsi="Times New Roman" w:cs="Times New Roman"/>
          <w:b/>
          <w:bCs/>
          <w:kern w:val="0"/>
          <w:sz w:val="28"/>
          <w:szCs w:val="28"/>
        </w:rPr>
        <w:t xml:space="preserve">individual trading behavior and </w:t>
      </w:r>
      <w:r w:rsidRPr="00E959DF">
        <w:rPr>
          <w:rFonts w:ascii="Times New Roman" w:hAnsi="Times New Roman" w:cs="Times New Roman"/>
          <w:b/>
          <w:bCs/>
          <w:kern w:val="0"/>
          <w:sz w:val="28"/>
          <w:szCs w:val="28"/>
        </w:rPr>
        <w:t>value</w:t>
      </w:r>
      <w:r>
        <w:rPr>
          <w:rFonts w:ascii="Times New Roman" w:hAnsi="Times New Roman" w:cs="Times New Roman"/>
          <w:b/>
          <w:bCs/>
          <w:kern w:val="0"/>
          <w:sz w:val="28"/>
          <w:szCs w:val="28"/>
        </w:rPr>
        <w:t>/</w:t>
      </w:r>
      <w:r w:rsidRPr="003410DE">
        <w:rPr>
          <w:rFonts w:ascii="Times New Roman" w:hAnsi="Times New Roman" w:cs="Times New Roman"/>
          <w:b/>
          <w:bCs/>
          <w:kern w:val="0"/>
          <w:sz w:val="28"/>
          <w:szCs w:val="28"/>
        </w:rPr>
        <w:t>size premiums</w:t>
      </w:r>
    </w:p>
    <w:p w:rsidR="00523FB7" w:rsidRPr="003410DE" w:rsidRDefault="00523FB7" w:rsidP="00CC31B9">
      <w:pPr>
        <w:snapToGrid w:val="0"/>
        <w:spacing w:line="480" w:lineRule="auto"/>
        <w:jc w:val="both"/>
        <w:rPr>
          <w:rFonts w:ascii="Times New Roman" w:hAnsi="Times New Roman" w:cs="Times New Roman"/>
          <w:kern w:val="0"/>
        </w:rPr>
      </w:pPr>
      <w:r>
        <w:rPr>
          <w:rFonts w:ascii="Times New Roman" w:hAnsi="Times New Roman" w:cs="Times New Roman"/>
          <w:kern w:val="0"/>
        </w:rPr>
        <w:t xml:space="preserve">As previously shown,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is negatively associated </w:t>
      </w:r>
      <w:r>
        <w:rPr>
          <w:rFonts w:ascii="Times New Roman" w:hAnsi="Times New Roman" w:cs="Times New Roman"/>
          <w:kern w:val="0"/>
        </w:rPr>
        <w:t>with</w:t>
      </w:r>
      <w:r w:rsidRPr="003410DE">
        <w:rPr>
          <w:rFonts w:ascii="Times New Roman" w:hAnsi="Times New Roman" w:cs="Times New Roman"/>
          <w:kern w:val="0"/>
        </w:rPr>
        <w:t xml:space="preserve"> future stock returns. However, </w:t>
      </w:r>
      <w:r>
        <w:rPr>
          <w:rFonts w:ascii="Times New Roman" w:hAnsi="Times New Roman" w:cs="Times New Roman"/>
          <w:kern w:val="0"/>
        </w:rPr>
        <w:t>al</w:t>
      </w:r>
      <w:r w:rsidRPr="003410DE">
        <w:rPr>
          <w:rFonts w:ascii="Times New Roman" w:hAnsi="Times New Roman" w:cs="Times New Roman"/>
          <w:kern w:val="0"/>
        </w:rPr>
        <w:t xml:space="preserve">though we have controlled for the possible factors, such as risks and characteristics, </w:t>
      </w:r>
      <w:r>
        <w:rPr>
          <w:rFonts w:ascii="Times New Roman" w:hAnsi="Times New Roman" w:cs="Times New Roman"/>
          <w:kern w:val="0"/>
        </w:rPr>
        <w:t>which have</w:t>
      </w:r>
      <w:r w:rsidRPr="003410DE">
        <w:rPr>
          <w:rFonts w:ascii="Times New Roman" w:hAnsi="Times New Roman" w:cs="Times New Roman"/>
          <w:kern w:val="0"/>
        </w:rPr>
        <w:t xml:space="preserve"> been prove</w:t>
      </w:r>
      <w:r>
        <w:rPr>
          <w:rFonts w:ascii="Times New Roman" w:hAnsi="Times New Roman" w:cs="Times New Roman"/>
          <w:kern w:val="0"/>
        </w:rPr>
        <w:t>d</w:t>
      </w:r>
      <w:r w:rsidRPr="003410DE">
        <w:rPr>
          <w:rFonts w:ascii="Times New Roman" w:hAnsi="Times New Roman" w:cs="Times New Roman"/>
          <w:kern w:val="0"/>
        </w:rPr>
        <w:t xml:space="preserve"> to significantly affect the stock returns, whether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is </w:t>
      </w:r>
      <w:r>
        <w:rPr>
          <w:rFonts w:ascii="Times New Roman" w:hAnsi="Times New Roman" w:cs="Times New Roman"/>
          <w:kern w:val="0"/>
        </w:rPr>
        <w:t>a manifestation</w:t>
      </w:r>
      <w:r w:rsidRPr="003410DE">
        <w:rPr>
          <w:rFonts w:ascii="Times New Roman" w:hAnsi="Times New Roman" w:cs="Times New Roman"/>
          <w:kern w:val="0"/>
        </w:rPr>
        <w:t xml:space="preserve"> of </w:t>
      </w:r>
      <w:r w:rsidRPr="00D5561B">
        <w:rPr>
          <w:rFonts w:ascii="Times New Roman" w:hAnsi="Times New Roman" w:cs="Times New Roman"/>
          <w:i/>
          <w:kern w:val="0"/>
        </w:rPr>
        <w:t>BE/ME</w:t>
      </w:r>
      <w:r w:rsidRPr="003410DE">
        <w:rPr>
          <w:rFonts w:ascii="Times New Roman" w:hAnsi="Times New Roman" w:cs="Times New Roman"/>
          <w:kern w:val="0"/>
        </w:rPr>
        <w:t xml:space="preserve"> effect </w:t>
      </w:r>
      <w:r>
        <w:rPr>
          <w:rFonts w:ascii="Times New Roman" w:hAnsi="Times New Roman" w:cs="Times New Roman"/>
          <w:kern w:val="0"/>
        </w:rPr>
        <w:t>and/</w:t>
      </w:r>
      <w:r w:rsidRPr="003410DE">
        <w:rPr>
          <w:rFonts w:ascii="Times New Roman" w:hAnsi="Times New Roman" w:cs="Times New Roman"/>
          <w:kern w:val="0"/>
        </w:rPr>
        <w:t>or size effect</w:t>
      </w:r>
      <w:r>
        <w:rPr>
          <w:rFonts w:ascii="Times New Roman" w:hAnsi="Times New Roman" w:cs="Times New Roman"/>
          <w:kern w:val="0"/>
        </w:rPr>
        <w:t xml:space="preserve"> remains questionable</w:t>
      </w:r>
      <w:r w:rsidRPr="003410DE">
        <w:rPr>
          <w:rFonts w:ascii="Times New Roman" w:hAnsi="Times New Roman" w:cs="Times New Roman"/>
          <w:kern w:val="0"/>
        </w:rPr>
        <w:t xml:space="preserve">. </w:t>
      </w:r>
    </w:p>
    <w:p w:rsidR="00523FB7" w:rsidRPr="003410DE" w:rsidRDefault="00523FB7" w:rsidP="00CC31B9">
      <w:pPr>
        <w:snapToGrid w:val="0"/>
        <w:spacing w:line="480" w:lineRule="auto"/>
        <w:ind w:firstLine="480"/>
        <w:jc w:val="both"/>
        <w:rPr>
          <w:rFonts w:ascii="Times New Roman" w:hAnsi="Times New Roman" w:cs="Times New Roman"/>
          <w:kern w:val="0"/>
        </w:rPr>
      </w:pPr>
      <w:r w:rsidRPr="003410DE">
        <w:rPr>
          <w:rFonts w:ascii="Times New Roman" w:hAnsi="Times New Roman" w:cs="Times New Roman"/>
          <w:kern w:val="0"/>
        </w:rPr>
        <w:t xml:space="preserve">Lakonishok, Shleifer, and Vishny (1994) argue that the agency problem inherent in delegated portfolio management </w:t>
      </w:r>
      <w:r>
        <w:rPr>
          <w:rFonts w:ascii="Times New Roman" w:hAnsi="Times New Roman" w:cs="Times New Roman"/>
          <w:kern w:val="0"/>
        </w:rPr>
        <w:t xml:space="preserve">may </w:t>
      </w:r>
      <w:r w:rsidRPr="003410DE">
        <w:rPr>
          <w:rFonts w:ascii="Times New Roman" w:hAnsi="Times New Roman" w:cs="Times New Roman"/>
          <w:kern w:val="0"/>
        </w:rPr>
        <w:t xml:space="preserve">induce institutions to trade toward growth stocks and away from value stocks and that such a tendency </w:t>
      </w:r>
      <w:r>
        <w:rPr>
          <w:rFonts w:ascii="Times New Roman" w:hAnsi="Times New Roman" w:cs="Times New Roman"/>
          <w:kern w:val="0"/>
        </w:rPr>
        <w:t xml:space="preserve">can </w:t>
      </w:r>
      <w:r w:rsidRPr="003410DE">
        <w:rPr>
          <w:rFonts w:ascii="Times New Roman" w:hAnsi="Times New Roman" w:cs="Times New Roman"/>
          <w:kern w:val="0"/>
        </w:rPr>
        <w:t xml:space="preserve">be an important driver of the value premium. </w:t>
      </w:r>
      <w:r>
        <w:rPr>
          <w:rFonts w:ascii="Times New Roman" w:hAnsi="Times New Roman" w:cs="Times New Roman"/>
          <w:kern w:val="0"/>
        </w:rPr>
        <w:t>W</w:t>
      </w:r>
      <w:r w:rsidRPr="003410DE">
        <w:rPr>
          <w:rFonts w:ascii="Times New Roman" w:hAnsi="Times New Roman" w:cs="Times New Roman"/>
          <w:kern w:val="0"/>
        </w:rPr>
        <w:t xml:space="preserve">e have shown that </w:t>
      </w:r>
      <w:r w:rsidRPr="00D5561B">
        <w:rPr>
          <w:rFonts w:ascii="Times New Roman" w:hAnsi="Times New Roman" w:cs="Times New Roman"/>
          <w:i/>
          <w:kern w:val="0"/>
        </w:rPr>
        <w:t>BE/ME</w:t>
      </w:r>
      <w:r w:rsidRPr="003410DE">
        <w:rPr>
          <w:rFonts w:ascii="Times New Roman" w:hAnsi="Times New Roman" w:cs="Times New Roman"/>
          <w:kern w:val="0"/>
        </w:rPr>
        <w:t xml:space="preserve"> is negatively related to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positively associated </w:t>
      </w:r>
      <w:r>
        <w:rPr>
          <w:rFonts w:ascii="Times New Roman" w:hAnsi="Times New Roman" w:cs="Times New Roman"/>
          <w:kern w:val="0"/>
        </w:rPr>
        <w:t>with</w:t>
      </w:r>
      <w:r w:rsidRPr="003410DE">
        <w:rPr>
          <w:rFonts w:ascii="Times New Roman" w:hAnsi="Times New Roman" w:cs="Times New Roman"/>
          <w:kern w:val="0"/>
        </w:rPr>
        <w:t xml:space="preserve"> </w:t>
      </w:r>
      <w:r w:rsidRPr="00D5561B">
        <w:rPr>
          <w:rFonts w:ascii="Times New Roman" w:hAnsi="Times New Roman" w:cs="Times New Roman"/>
          <w:i/>
          <w:kern w:val="0"/>
        </w:rPr>
        <w:t>AdjDIND</w:t>
      </w:r>
      <w:r w:rsidRPr="003410DE">
        <w:rPr>
          <w:rFonts w:ascii="Times New Roman" w:hAnsi="Times New Roman" w:cs="Times New Roman"/>
          <w:kern w:val="0"/>
        </w:rPr>
        <w:t xml:space="preserve">, and size is positively related to </w:t>
      </w:r>
      <w:r w:rsidRPr="00D5561B">
        <w:rPr>
          <w:rFonts w:ascii="Times New Roman" w:hAnsi="Times New Roman" w:cs="Times New Roman"/>
          <w:i/>
          <w:kern w:val="0"/>
        </w:rPr>
        <w:t>AdjDIND</w:t>
      </w:r>
      <w:r w:rsidRPr="003410DE">
        <w:rPr>
          <w:rFonts w:ascii="Times New Roman" w:hAnsi="Times New Roman" w:cs="Times New Roman"/>
          <w:kern w:val="0"/>
        </w:rPr>
        <w:t xml:space="preserve">. </w:t>
      </w:r>
      <w:r>
        <w:rPr>
          <w:rFonts w:ascii="Times New Roman" w:hAnsi="Times New Roman" w:cs="Times New Roman"/>
          <w:kern w:val="0"/>
        </w:rPr>
        <w:t>Thus</w:t>
      </w:r>
      <w:r w:rsidRPr="003410DE">
        <w:rPr>
          <w:rFonts w:ascii="Times New Roman" w:hAnsi="Times New Roman" w:cs="Times New Roman"/>
          <w:kern w:val="0"/>
        </w:rPr>
        <w:t xml:space="preserve">, we are particularly interested in whether the influence of </w:t>
      </w:r>
      <w:r w:rsidRPr="00D5561B">
        <w:rPr>
          <w:rFonts w:ascii="Times New Roman" w:hAnsi="Times New Roman" w:cs="Times New Roman"/>
          <w:i/>
          <w:kern w:val="0"/>
        </w:rPr>
        <w:t>BE/ME</w:t>
      </w:r>
      <w:r w:rsidRPr="003410DE">
        <w:rPr>
          <w:rFonts w:ascii="Times New Roman" w:hAnsi="Times New Roman" w:cs="Times New Roman"/>
          <w:kern w:val="0"/>
        </w:rPr>
        <w:t xml:space="preserve"> (or size) on stock returns is also associated </w:t>
      </w:r>
      <w:r>
        <w:rPr>
          <w:rFonts w:ascii="Times New Roman" w:hAnsi="Times New Roman" w:cs="Times New Roman"/>
          <w:kern w:val="0"/>
        </w:rPr>
        <w:t>with</w:t>
      </w:r>
      <w:r w:rsidRPr="003410DE">
        <w:rPr>
          <w:rFonts w:ascii="Times New Roman" w:hAnsi="Times New Roman" w:cs="Times New Roman"/>
          <w:kern w:val="0"/>
        </w:rPr>
        <w:t xml:space="preserve"> that of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(or </w:t>
      </w:r>
      <w:r w:rsidRPr="00D5561B">
        <w:rPr>
          <w:rFonts w:ascii="Times New Roman" w:hAnsi="Times New Roman" w:cs="Times New Roman"/>
          <w:i/>
          <w:kern w:val="0"/>
        </w:rPr>
        <w:t>AdjDIND</w:t>
      </w:r>
      <w:r w:rsidRPr="003410DE">
        <w:rPr>
          <w:rFonts w:ascii="Times New Roman" w:hAnsi="Times New Roman" w:cs="Times New Roman"/>
          <w:kern w:val="0"/>
        </w:rPr>
        <w:t xml:space="preserve">) on stock returns. </w:t>
      </w:r>
    </w:p>
    <w:p w:rsidR="00523FB7" w:rsidRPr="003410DE" w:rsidRDefault="00523FB7" w:rsidP="00CC31B9">
      <w:pPr>
        <w:snapToGrid w:val="0"/>
        <w:spacing w:line="480" w:lineRule="auto"/>
        <w:ind w:firstLine="480"/>
        <w:jc w:val="both"/>
        <w:rPr>
          <w:rFonts w:ascii="Times New Roman" w:hAnsi="Times New Roman" w:cs="Times New Roman"/>
          <w:kern w:val="0"/>
        </w:rPr>
      </w:pPr>
      <w:r w:rsidRPr="003410DE">
        <w:rPr>
          <w:rFonts w:ascii="Times New Roman" w:hAnsi="Times New Roman" w:cs="Times New Roman"/>
          <w:kern w:val="0"/>
        </w:rPr>
        <w:t xml:space="preserve">In this section, we examine the interactive relation between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premium (or </w:t>
      </w:r>
      <w:r w:rsidRPr="00D5561B">
        <w:rPr>
          <w:rFonts w:ascii="Times New Roman" w:hAnsi="Times New Roman" w:cs="Times New Roman"/>
          <w:i/>
          <w:kern w:val="0"/>
        </w:rPr>
        <w:t>AdjDIND</w:t>
      </w:r>
      <w:r w:rsidRPr="003410DE">
        <w:rPr>
          <w:rFonts w:ascii="Times New Roman" w:hAnsi="Times New Roman" w:cs="Times New Roman"/>
          <w:kern w:val="0"/>
        </w:rPr>
        <w:t xml:space="preserve"> premium) and </w:t>
      </w:r>
      <w:r w:rsidRPr="00D5561B">
        <w:rPr>
          <w:rFonts w:ascii="Times New Roman" w:hAnsi="Times New Roman" w:cs="Times New Roman"/>
          <w:i/>
          <w:kern w:val="0"/>
        </w:rPr>
        <w:t>BE/ME</w:t>
      </w:r>
      <w:r w:rsidRPr="003410DE">
        <w:rPr>
          <w:rFonts w:ascii="Times New Roman" w:hAnsi="Times New Roman" w:cs="Times New Roman"/>
          <w:kern w:val="0"/>
        </w:rPr>
        <w:t xml:space="preserve"> </w:t>
      </w:r>
      <w:r>
        <w:rPr>
          <w:rFonts w:ascii="Times New Roman" w:hAnsi="Times New Roman" w:cs="Times New Roman"/>
          <w:kern w:val="0"/>
        </w:rPr>
        <w:t xml:space="preserve">(or </w:t>
      </w:r>
      <w:r w:rsidRPr="003410DE">
        <w:rPr>
          <w:rFonts w:ascii="Times New Roman" w:hAnsi="Times New Roman" w:cs="Times New Roman"/>
          <w:kern w:val="0"/>
        </w:rPr>
        <w:t>size</w:t>
      </w:r>
      <w:r>
        <w:rPr>
          <w:rFonts w:ascii="Times New Roman" w:hAnsi="Times New Roman" w:cs="Times New Roman"/>
          <w:kern w:val="0"/>
        </w:rPr>
        <w:t>)</w:t>
      </w:r>
      <w:r w:rsidRPr="003410DE">
        <w:rPr>
          <w:rFonts w:ascii="Times New Roman" w:hAnsi="Times New Roman" w:cs="Times New Roman"/>
          <w:kern w:val="0"/>
        </w:rPr>
        <w:t xml:space="preserve"> premium. We use independent double sorts on </w:t>
      </w:r>
      <w:r w:rsidRPr="00D5561B">
        <w:rPr>
          <w:rFonts w:ascii="Times New Roman" w:hAnsi="Times New Roman" w:cs="Times New Roman"/>
          <w:i/>
          <w:kern w:val="0"/>
        </w:rPr>
        <w:t>BE/ME</w:t>
      </w:r>
      <w:r w:rsidRPr="003410DE">
        <w:rPr>
          <w:rFonts w:ascii="Times New Roman" w:hAnsi="Times New Roman" w:cs="Times New Roman"/>
          <w:kern w:val="0"/>
        </w:rPr>
        <w:t xml:space="preserve"> (or size) and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(or </w:t>
      </w:r>
      <w:r w:rsidRPr="00D5561B">
        <w:rPr>
          <w:rFonts w:ascii="Times New Roman" w:hAnsi="Times New Roman" w:cs="Times New Roman"/>
          <w:i/>
          <w:kern w:val="0"/>
        </w:rPr>
        <w:t>AdjDIND</w:t>
      </w:r>
      <w:r w:rsidRPr="003410DE">
        <w:rPr>
          <w:rFonts w:ascii="Times New Roman" w:hAnsi="Times New Roman" w:cs="Times New Roman"/>
          <w:kern w:val="0"/>
        </w:rPr>
        <w:t xml:space="preserve">) to explore the </w:t>
      </w:r>
      <w:r>
        <w:rPr>
          <w:rFonts w:ascii="Times New Roman" w:hAnsi="Times New Roman" w:cs="Times New Roman"/>
          <w:kern w:val="0"/>
        </w:rPr>
        <w:t>effect</w:t>
      </w:r>
      <w:r w:rsidRPr="003410DE">
        <w:rPr>
          <w:rFonts w:ascii="Times New Roman" w:hAnsi="Times New Roman" w:cs="Times New Roman"/>
          <w:kern w:val="0"/>
        </w:rPr>
        <w:t xml:space="preserve"> of institutional trading (or individual trading) on </w:t>
      </w:r>
      <w:r w:rsidRPr="00D5561B">
        <w:rPr>
          <w:rFonts w:ascii="Times New Roman" w:hAnsi="Times New Roman" w:cs="Times New Roman"/>
          <w:i/>
          <w:kern w:val="0"/>
        </w:rPr>
        <w:t>BE/ME</w:t>
      </w:r>
      <w:r w:rsidRPr="003410DE">
        <w:rPr>
          <w:rFonts w:ascii="Times New Roman" w:hAnsi="Times New Roman" w:cs="Times New Roman"/>
          <w:kern w:val="0"/>
        </w:rPr>
        <w:t xml:space="preserve"> and size premiums. Specifically, at the end of each June, we sort all stocks into 25 portfolios independently </w:t>
      </w:r>
      <w:r>
        <w:rPr>
          <w:rFonts w:ascii="Times New Roman" w:hAnsi="Times New Roman" w:cs="Times New Roman"/>
          <w:kern w:val="0"/>
        </w:rPr>
        <w:t xml:space="preserve">based </w:t>
      </w:r>
      <w:r w:rsidRPr="003410DE">
        <w:rPr>
          <w:rFonts w:ascii="Times New Roman" w:hAnsi="Times New Roman" w:cs="Times New Roman"/>
          <w:kern w:val="0"/>
        </w:rPr>
        <w:t xml:space="preserve">on </w:t>
      </w:r>
      <w:r w:rsidRPr="00D5561B">
        <w:rPr>
          <w:rFonts w:ascii="Times New Roman" w:hAnsi="Times New Roman" w:cs="Times New Roman"/>
          <w:i/>
          <w:kern w:val="0"/>
        </w:rPr>
        <w:t>BE/ME</w:t>
      </w:r>
      <w:r w:rsidRPr="003410DE">
        <w:rPr>
          <w:rFonts w:ascii="Times New Roman" w:hAnsi="Times New Roman" w:cs="Times New Roman"/>
          <w:kern w:val="0"/>
        </w:rPr>
        <w:t xml:space="preserve"> (or size) and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(or </w:t>
      </w:r>
      <w:r w:rsidRPr="00D5561B">
        <w:rPr>
          <w:rFonts w:ascii="Times New Roman" w:hAnsi="Times New Roman" w:cs="Times New Roman"/>
          <w:i/>
          <w:kern w:val="0"/>
        </w:rPr>
        <w:t>AdjDIND</w:t>
      </w:r>
      <w:r w:rsidRPr="003410DE">
        <w:rPr>
          <w:rFonts w:ascii="Times New Roman" w:hAnsi="Times New Roman" w:cs="Times New Roman"/>
          <w:kern w:val="0"/>
        </w:rPr>
        <w:t>). The results are shown in Table 8.</w:t>
      </w:r>
    </w:p>
    <w:p w:rsidR="00523FB7" w:rsidRPr="003410DE" w:rsidRDefault="00523FB7" w:rsidP="00CC31B9">
      <w:pPr>
        <w:snapToGrid w:val="0"/>
        <w:spacing w:line="480" w:lineRule="auto"/>
        <w:jc w:val="both"/>
        <w:rPr>
          <w:rFonts w:ascii="Times New Roman" w:hAnsi="Times New Roman" w:cs="Times New Roman"/>
          <w:kern w:val="0"/>
        </w:rPr>
      </w:pPr>
      <w:r w:rsidRPr="003410DE">
        <w:rPr>
          <w:rFonts w:ascii="Times New Roman" w:hAnsi="Times New Roman" w:cs="Times New Roman"/>
          <w:kern w:val="0"/>
        </w:rPr>
        <w:tab/>
        <w:t>First,</w:t>
      </w:r>
      <w:r>
        <w:rPr>
          <w:rFonts w:ascii="Times New Roman" w:hAnsi="Times New Roman" w:cs="Times New Roman"/>
          <w:kern w:val="0"/>
        </w:rPr>
        <w:t xml:space="preserve"> the</w:t>
      </w:r>
      <w:r w:rsidRPr="003410DE">
        <w:rPr>
          <w:rFonts w:ascii="Times New Roman" w:hAnsi="Times New Roman" w:cs="Times New Roman"/>
          <w:kern w:val="0"/>
        </w:rPr>
        <w:t xml:space="preserve"> evidence indicates that </w:t>
      </w:r>
      <w:r w:rsidRPr="00D5561B">
        <w:rPr>
          <w:rFonts w:ascii="Times New Roman" w:hAnsi="Times New Roman" w:cs="Times New Roman"/>
          <w:i/>
          <w:kern w:val="0"/>
        </w:rPr>
        <w:t>BE/ME</w:t>
      </w:r>
      <w:r w:rsidRPr="003410DE">
        <w:rPr>
          <w:rFonts w:ascii="Times New Roman" w:hAnsi="Times New Roman" w:cs="Times New Roman"/>
          <w:kern w:val="0"/>
        </w:rPr>
        <w:t xml:space="preserve"> and size premiums appear to have a weak relation </w:t>
      </w:r>
      <w:r>
        <w:rPr>
          <w:rFonts w:ascii="Times New Roman" w:hAnsi="Times New Roman" w:cs="Times New Roman"/>
          <w:kern w:val="0"/>
        </w:rPr>
        <w:t xml:space="preserve">to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sidRPr="003410DE">
        <w:rPr>
          <w:rFonts w:ascii="Times New Roman" w:hAnsi="Times New Roman" w:cs="Times New Roman"/>
          <w:kern w:val="0"/>
        </w:rPr>
        <w:t xml:space="preserve">. For example, Panel A indicates that there is no systematic pattern of </w:t>
      </w:r>
      <w:r w:rsidRPr="00D5561B">
        <w:rPr>
          <w:rFonts w:ascii="Times New Roman" w:hAnsi="Times New Roman" w:cs="Times New Roman"/>
          <w:i/>
          <w:kern w:val="0"/>
        </w:rPr>
        <w:t>BE/ME</w:t>
      </w:r>
      <w:r w:rsidRPr="003410DE">
        <w:rPr>
          <w:rFonts w:ascii="Times New Roman" w:hAnsi="Times New Roman" w:cs="Times New Roman"/>
          <w:kern w:val="0"/>
        </w:rPr>
        <w:t xml:space="preserve"> premium (returns </w:t>
      </w:r>
      <w:r>
        <w:rPr>
          <w:rFonts w:ascii="Times New Roman" w:hAnsi="Times New Roman" w:cs="Times New Roman"/>
          <w:kern w:val="0"/>
        </w:rPr>
        <w:t xml:space="preserve">on stocks with </w:t>
      </w:r>
      <w:r w:rsidRPr="003410DE">
        <w:rPr>
          <w:rFonts w:ascii="Times New Roman" w:hAnsi="Times New Roman" w:cs="Times New Roman"/>
          <w:kern w:val="0"/>
        </w:rPr>
        <w:t xml:space="preserve">high </w:t>
      </w:r>
      <w:r w:rsidRPr="00D5561B">
        <w:rPr>
          <w:rFonts w:ascii="Times New Roman" w:hAnsi="Times New Roman" w:cs="Times New Roman"/>
          <w:i/>
          <w:kern w:val="0"/>
        </w:rPr>
        <w:t>BE/ME</w:t>
      </w:r>
      <w:r w:rsidRPr="003410DE">
        <w:rPr>
          <w:rFonts w:ascii="Times New Roman" w:hAnsi="Times New Roman" w:cs="Times New Roman"/>
          <w:kern w:val="0"/>
        </w:rPr>
        <w:t xml:space="preserve"> minus returns </w:t>
      </w:r>
      <w:r>
        <w:rPr>
          <w:rFonts w:ascii="Times New Roman" w:hAnsi="Times New Roman" w:cs="Times New Roman"/>
          <w:kern w:val="0"/>
        </w:rPr>
        <w:t>on stocks with</w:t>
      </w:r>
      <w:r w:rsidRPr="003410DE">
        <w:rPr>
          <w:rFonts w:ascii="Times New Roman" w:hAnsi="Times New Roman" w:cs="Times New Roman"/>
          <w:kern w:val="0"/>
        </w:rPr>
        <w:t xml:space="preserve"> low </w:t>
      </w:r>
      <w:r w:rsidRPr="00D5561B">
        <w:rPr>
          <w:rFonts w:ascii="Times New Roman" w:hAnsi="Times New Roman" w:cs="Times New Roman"/>
          <w:i/>
          <w:kern w:val="0"/>
        </w:rPr>
        <w:t>BE/ME</w:t>
      </w:r>
      <w:r w:rsidRPr="003410DE">
        <w:rPr>
          <w:rFonts w:ascii="Times New Roman" w:hAnsi="Times New Roman" w:cs="Times New Roman"/>
          <w:kern w:val="0"/>
        </w:rPr>
        <w:t xml:space="preserve">) across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sidRPr="003410DE">
        <w:rPr>
          <w:rFonts w:ascii="Times New Roman" w:hAnsi="Times New Roman" w:cs="Times New Roman"/>
          <w:kern w:val="0"/>
        </w:rPr>
        <w:t xml:space="preserve"> portfolios. The size premium in Panel B also shows similar evidence. Second,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sidRPr="003410DE">
        <w:rPr>
          <w:rFonts w:ascii="Times New Roman" w:hAnsi="Times New Roman" w:cs="Times New Roman"/>
          <w:kern w:val="0"/>
        </w:rPr>
        <w:t xml:space="preserve"> premiums have little association </w:t>
      </w:r>
      <w:r>
        <w:rPr>
          <w:rFonts w:ascii="Times New Roman" w:hAnsi="Times New Roman" w:cs="Times New Roman"/>
          <w:kern w:val="0"/>
        </w:rPr>
        <w:t>with</w:t>
      </w:r>
      <w:r w:rsidRPr="003410DE">
        <w:rPr>
          <w:rFonts w:ascii="Times New Roman" w:hAnsi="Times New Roman" w:cs="Times New Roman"/>
          <w:kern w:val="0"/>
        </w:rPr>
        <w:t xml:space="preserve"> </w:t>
      </w:r>
      <w:r w:rsidRPr="00D5561B">
        <w:rPr>
          <w:rFonts w:ascii="Times New Roman" w:hAnsi="Times New Roman" w:cs="Times New Roman"/>
          <w:i/>
          <w:kern w:val="0"/>
        </w:rPr>
        <w:t>BE/ME</w:t>
      </w:r>
      <w:r w:rsidRPr="003410DE">
        <w:rPr>
          <w:rFonts w:ascii="Times New Roman" w:hAnsi="Times New Roman" w:cs="Times New Roman"/>
          <w:kern w:val="0"/>
        </w:rPr>
        <w:t xml:space="preserve"> and size. </w:t>
      </w:r>
      <w:r>
        <w:rPr>
          <w:rFonts w:ascii="Times New Roman" w:hAnsi="Times New Roman" w:cs="Times New Roman"/>
          <w:kern w:val="0"/>
        </w:rPr>
        <w:t xml:space="preserve">For instance,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sidRPr="003410DE">
        <w:rPr>
          <w:rFonts w:ascii="Times New Roman" w:hAnsi="Times New Roman" w:cs="Times New Roman"/>
          <w:kern w:val="0"/>
        </w:rPr>
        <w:t xml:space="preserve"> premiums</w:t>
      </w:r>
      <w:r>
        <w:rPr>
          <w:rFonts w:ascii="Times New Roman" w:hAnsi="Times New Roman" w:cs="Times New Roman"/>
          <w:kern w:val="0"/>
        </w:rPr>
        <w:t xml:space="preserve"> show no systematic pattern across </w:t>
      </w:r>
      <w:r w:rsidRPr="00D5561B">
        <w:rPr>
          <w:rFonts w:ascii="Times New Roman" w:hAnsi="Times New Roman" w:cs="Times New Roman"/>
          <w:i/>
          <w:kern w:val="0"/>
        </w:rPr>
        <w:t>BE/ME</w:t>
      </w:r>
      <w:r>
        <w:rPr>
          <w:rFonts w:ascii="Times New Roman" w:hAnsi="Times New Roman" w:cs="Times New Roman"/>
          <w:kern w:val="0"/>
        </w:rPr>
        <w:t xml:space="preserve"> and size portfolios. </w:t>
      </w:r>
      <w:r w:rsidRPr="003410DE">
        <w:rPr>
          <w:rFonts w:ascii="Times New Roman" w:hAnsi="Times New Roman" w:cs="Times New Roman"/>
          <w:kern w:val="0"/>
        </w:rPr>
        <w:t xml:space="preserve">As a result, although stocks </w:t>
      </w:r>
      <w:r>
        <w:rPr>
          <w:rFonts w:ascii="Times New Roman" w:hAnsi="Times New Roman" w:cs="Times New Roman"/>
          <w:kern w:val="0"/>
        </w:rPr>
        <w:t>with</w:t>
      </w:r>
      <w:r w:rsidRPr="003410DE">
        <w:rPr>
          <w:rFonts w:ascii="Times New Roman" w:hAnsi="Times New Roman" w:cs="Times New Roman"/>
          <w:kern w:val="0"/>
        </w:rPr>
        <w:t xml:space="preserve"> high (low) </w:t>
      </w:r>
      <w:r w:rsidRPr="00D5561B">
        <w:rPr>
          <w:rFonts w:ascii="Times New Roman" w:hAnsi="Times New Roman" w:cs="Times New Roman"/>
          <w:i/>
          <w:kern w:val="0"/>
        </w:rPr>
        <w:t>BE/ME</w:t>
      </w:r>
      <w:r w:rsidRPr="003410DE">
        <w:rPr>
          <w:rFonts w:ascii="Times New Roman" w:hAnsi="Times New Roman" w:cs="Times New Roman"/>
          <w:kern w:val="0"/>
        </w:rPr>
        <w:t xml:space="preserve"> tend to experience institutional net-selling (net-buying), the influences of </w:t>
      </w:r>
      <w:r w:rsidRPr="00D5561B">
        <w:rPr>
          <w:rFonts w:ascii="Times New Roman" w:hAnsi="Times New Roman" w:cs="Times New Roman"/>
          <w:i/>
          <w:kern w:val="0"/>
        </w:rPr>
        <w:t>BE/ME</w:t>
      </w:r>
      <w:r w:rsidRPr="003410DE">
        <w:rPr>
          <w:rFonts w:ascii="Times New Roman" w:hAnsi="Times New Roman" w:cs="Times New Roman"/>
          <w:kern w:val="0"/>
        </w:rPr>
        <w:t xml:space="preserve"> and institutional trading on stock returns seem to be </w:t>
      </w:r>
      <w:r>
        <w:rPr>
          <w:rFonts w:ascii="Times New Roman" w:hAnsi="Times New Roman" w:cs="Times New Roman"/>
          <w:kern w:val="0"/>
        </w:rPr>
        <w:t>weakly related.</w:t>
      </w:r>
    </w:p>
    <w:p w:rsidR="00523FB7" w:rsidRPr="003410DE" w:rsidRDefault="00523FB7" w:rsidP="00CC31B9">
      <w:pPr>
        <w:snapToGrid w:val="0"/>
        <w:spacing w:line="480" w:lineRule="auto"/>
        <w:ind w:firstLine="480"/>
        <w:jc w:val="both"/>
        <w:rPr>
          <w:rFonts w:ascii="Times New Roman" w:hAnsi="Times New Roman" w:cs="Times New Roman"/>
          <w:kern w:val="0"/>
        </w:rPr>
      </w:pPr>
      <w:r>
        <w:rPr>
          <w:rFonts w:ascii="Times New Roman" w:hAnsi="Times New Roman" w:cs="Times New Roman"/>
          <w:kern w:val="0"/>
        </w:rPr>
        <w:t>F</w:t>
      </w:r>
      <w:r w:rsidRPr="003410DE">
        <w:rPr>
          <w:rFonts w:ascii="Times New Roman" w:hAnsi="Times New Roman" w:cs="Times New Roman"/>
          <w:kern w:val="0"/>
        </w:rPr>
        <w:t xml:space="preserve">or </w:t>
      </w:r>
      <w:r>
        <w:rPr>
          <w:rFonts w:ascii="Times New Roman" w:hAnsi="Times New Roman" w:cs="Times New Roman"/>
          <w:kern w:val="0"/>
        </w:rPr>
        <w:t xml:space="preserve">a </w:t>
      </w:r>
      <w:r w:rsidRPr="003410DE">
        <w:rPr>
          <w:rFonts w:ascii="Times New Roman" w:hAnsi="Times New Roman" w:cs="Times New Roman"/>
          <w:kern w:val="0"/>
        </w:rPr>
        <w:t>robustness</w:t>
      </w:r>
      <w:r>
        <w:rPr>
          <w:rFonts w:ascii="Times New Roman" w:hAnsi="Times New Roman" w:cs="Times New Roman"/>
          <w:kern w:val="0"/>
        </w:rPr>
        <w:t xml:space="preserve"> check</w:t>
      </w:r>
      <w:r w:rsidRPr="003410DE">
        <w:rPr>
          <w:rFonts w:ascii="Times New Roman" w:hAnsi="Times New Roman" w:cs="Times New Roman"/>
          <w:kern w:val="0"/>
        </w:rPr>
        <w:t>, we use</w:t>
      </w:r>
      <w:r>
        <w:rPr>
          <w:rFonts w:ascii="Times New Roman" w:hAnsi="Times New Roman" w:cs="Times New Roman"/>
          <w:kern w:val="0"/>
        </w:rPr>
        <w:t xml:space="preserve"> the</w:t>
      </w:r>
      <w:r w:rsidRPr="003410DE">
        <w:rPr>
          <w:rFonts w:ascii="Times New Roman" w:hAnsi="Times New Roman" w:cs="Times New Roman"/>
          <w:kern w:val="0"/>
        </w:rPr>
        <w:t xml:space="preserve"> dependent sorting procedure</w:t>
      </w:r>
      <w:r>
        <w:rPr>
          <w:rFonts w:ascii="Times New Roman" w:hAnsi="Times New Roman" w:cs="Times New Roman"/>
          <w:kern w:val="0"/>
        </w:rPr>
        <w:t xml:space="preserve"> (</w:t>
      </w:r>
      <w:r w:rsidRPr="003410DE">
        <w:rPr>
          <w:rFonts w:ascii="Times New Roman" w:hAnsi="Times New Roman" w:cs="Times New Roman"/>
          <w:kern w:val="0"/>
        </w:rPr>
        <w:t xml:space="preserve">i.e.,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(or </w:t>
      </w:r>
      <w:r w:rsidRPr="00D5561B">
        <w:rPr>
          <w:rFonts w:ascii="Times New Roman" w:hAnsi="Times New Roman" w:cs="Times New Roman"/>
          <w:i/>
          <w:kern w:val="0"/>
        </w:rPr>
        <w:t>AdjDIND</w:t>
      </w:r>
      <w:r w:rsidRPr="003410DE">
        <w:rPr>
          <w:rFonts w:ascii="Times New Roman" w:hAnsi="Times New Roman" w:cs="Times New Roman"/>
          <w:kern w:val="0"/>
        </w:rPr>
        <w:t>)</w:t>
      </w:r>
      <w:r>
        <w:rPr>
          <w:rFonts w:ascii="Times New Roman" w:hAnsi="Times New Roman" w:cs="Times New Roman"/>
          <w:kern w:val="0"/>
        </w:rPr>
        <w:t xml:space="preserve"> is sorted first followed by</w:t>
      </w:r>
      <w:r w:rsidRPr="003410DE">
        <w:rPr>
          <w:rFonts w:ascii="Times New Roman" w:hAnsi="Times New Roman" w:cs="Times New Roman"/>
          <w:kern w:val="0"/>
        </w:rPr>
        <w:t xml:space="preserve"> </w:t>
      </w:r>
      <w:r w:rsidRPr="00D5561B">
        <w:rPr>
          <w:rFonts w:ascii="Times New Roman" w:hAnsi="Times New Roman" w:cs="Times New Roman"/>
          <w:i/>
          <w:kern w:val="0"/>
        </w:rPr>
        <w:t>BE/ME</w:t>
      </w:r>
      <w:r w:rsidRPr="003410DE">
        <w:rPr>
          <w:rFonts w:ascii="Times New Roman" w:hAnsi="Times New Roman" w:cs="Times New Roman"/>
          <w:kern w:val="0"/>
        </w:rPr>
        <w:t xml:space="preserve"> </w:t>
      </w:r>
      <w:r>
        <w:rPr>
          <w:rFonts w:ascii="Times New Roman" w:hAnsi="Times New Roman" w:cs="Times New Roman"/>
          <w:kern w:val="0"/>
        </w:rPr>
        <w:t>(</w:t>
      </w:r>
      <w:r w:rsidRPr="003410DE">
        <w:rPr>
          <w:rFonts w:ascii="Times New Roman" w:hAnsi="Times New Roman" w:cs="Times New Roman"/>
          <w:kern w:val="0"/>
        </w:rPr>
        <w:t>or size</w:t>
      </w:r>
      <w:r>
        <w:rPr>
          <w:rFonts w:ascii="Times New Roman" w:hAnsi="Times New Roman" w:cs="Times New Roman"/>
          <w:kern w:val="0"/>
        </w:rPr>
        <w:t xml:space="preserve">)) to explore the effect of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(or </w:t>
      </w:r>
      <w:r w:rsidRPr="00D5561B">
        <w:rPr>
          <w:rFonts w:ascii="Times New Roman" w:hAnsi="Times New Roman" w:cs="Times New Roman"/>
          <w:i/>
          <w:kern w:val="0"/>
        </w:rPr>
        <w:t>AdjDIND</w:t>
      </w:r>
      <w:r w:rsidRPr="003410DE">
        <w:rPr>
          <w:rFonts w:ascii="Times New Roman" w:hAnsi="Times New Roman" w:cs="Times New Roman"/>
          <w:kern w:val="0"/>
        </w:rPr>
        <w:t>)</w:t>
      </w:r>
      <w:r>
        <w:rPr>
          <w:rFonts w:ascii="Times New Roman" w:hAnsi="Times New Roman" w:cs="Times New Roman"/>
          <w:kern w:val="0"/>
        </w:rPr>
        <w:t xml:space="preserve"> on </w:t>
      </w:r>
      <w:r w:rsidRPr="00D5561B">
        <w:rPr>
          <w:rFonts w:ascii="Times New Roman" w:hAnsi="Times New Roman" w:cs="Times New Roman"/>
          <w:i/>
          <w:kern w:val="0"/>
        </w:rPr>
        <w:t>BE/ME</w:t>
      </w:r>
      <w:r>
        <w:rPr>
          <w:rFonts w:ascii="Times New Roman" w:hAnsi="Times New Roman" w:cs="Times New Roman"/>
          <w:kern w:val="0"/>
        </w:rPr>
        <w:t xml:space="preserve"> and size premiums</w:t>
      </w:r>
      <w:r w:rsidRPr="003410DE">
        <w:rPr>
          <w:rFonts w:ascii="Times New Roman" w:hAnsi="Times New Roman" w:cs="Times New Roman"/>
          <w:kern w:val="0"/>
        </w:rPr>
        <w:t xml:space="preserve">. The results shown in Table 9 suggest that </w:t>
      </w:r>
      <w:r w:rsidRPr="00D5561B">
        <w:rPr>
          <w:rFonts w:ascii="Times New Roman" w:hAnsi="Times New Roman" w:cs="Times New Roman"/>
          <w:i/>
          <w:kern w:val="0"/>
        </w:rPr>
        <w:t>BE/ME</w:t>
      </w:r>
      <w:r w:rsidRPr="003410DE">
        <w:rPr>
          <w:rFonts w:ascii="Times New Roman" w:hAnsi="Times New Roman" w:cs="Times New Roman"/>
          <w:kern w:val="0"/>
        </w:rPr>
        <w:t xml:space="preserve"> and size premiums are not </w:t>
      </w:r>
      <w:r>
        <w:rPr>
          <w:rFonts w:ascii="Times New Roman" w:hAnsi="Times New Roman" w:cs="Times New Roman"/>
          <w:kern w:val="0"/>
        </w:rPr>
        <w:t>driven</w:t>
      </w:r>
      <w:r w:rsidRPr="003410DE">
        <w:rPr>
          <w:rFonts w:ascii="Times New Roman" w:hAnsi="Times New Roman" w:cs="Times New Roman"/>
          <w:kern w:val="0"/>
        </w:rPr>
        <w:t xml:space="preserve"> by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sidRPr="003410DE">
        <w:rPr>
          <w:rFonts w:ascii="Times New Roman" w:hAnsi="Times New Roman" w:cs="Times New Roman"/>
          <w:kern w:val="0"/>
        </w:rPr>
        <w:t xml:space="preserve">. </w:t>
      </w:r>
      <w:r>
        <w:rPr>
          <w:rFonts w:ascii="Times New Roman" w:hAnsi="Times New Roman" w:cs="Times New Roman"/>
          <w:kern w:val="0"/>
        </w:rPr>
        <w:t xml:space="preserve">Specifically, holding </w:t>
      </w:r>
      <w:r w:rsidRPr="00D5561B">
        <w:rPr>
          <w:rFonts w:ascii="Times New Roman" w:hAnsi="Times New Roman" w:cs="Times New Roman"/>
          <w:i/>
          <w:kern w:val="0"/>
        </w:rPr>
        <w:t>AdjD</w:t>
      </w:r>
      <w:r w:rsidRPr="0017025B">
        <w:rPr>
          <w:rFonts w:ascii="Times New Roman" w:hAnsi="Times New Roman" w:cs="Times New Roman"/>
          <w:i/>
          <w:kern w:val="0"/>
        </w:rPr>
        <w:t>ITH</w:t>
      </w:r>
      <w:r>
        <w:rPr>
          <w:rFonts w:ascii="Times New Roman" w:hAnsi="Times New Roman" w:cs="Times New Roman"/>
          <w:kern w:val="0"/>
        </w:rPr>
        <w:t xml:space="preserve"> constant, value and size premiums remain significantly different from zero. </w:t>
      </w:r>
    </w:p>
    <w:p w:rsidR="00523FB7" w:rsidRPr="00741707" w:rsidRDefault="00523FB7" w:rsidP="00CC31B9">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&lt;Insert Tables 8 and 9 about here&gt;</w:t>
      </w:r>
    </w:p>
    <w:p w:rsidR="00523FB7" w:rsidRDefault="00523FB7" w:rsidP="00CC31B9">
      <w:pPr>
        <w:snapToGrid w:val="0"/>
        <w:spacing w:line="480" w:lineRule="auto"/>
        <w:ind w:firstLine="480"/>
        <w:jc w:val="both"/>
        <w:rPr>
          <w:rFonts w:ascii="Times New Roman" w:hAnsi="Times New Roman" w:cs="Times New Roman"/>
          <w:kern w:val="0"/>
        </w:rPr>
      </w:pPr>
      <w:r w:rsidRPr="003410DE">
        <w:rPr>
          <w:rFonts w:ascii="Times New Roman" w:hAnsi="Times New Roman" w:cs="Times New Roman"/>
          <w:kern w:val="0"/>
        </w:rPr>
        <w:t xml:space="preserve">Moreover, we calculate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sidRPr="003410DE">
        <w:rPr>
          <w:rFonts w:ascii="Times New Roman" w:hAnsi="Times New Roman" w:cs="Times New Roman"/>
          <w:kern w:val="0"/>
        </w:rPr>
        <w:t xml:space="preserve"> benchmark</w:t>
      </w:r>
      <w:r>
        <w:rPr>
          <w:rFonts w:ascii="Times New Roman" w:hAnsi="Times New Roman" w:cs="Times New Roman"/>
          <w:kern w:val="0"/>
        </w:rPr>
        <w:t>-</w:t>
      </w:r>
      <w:r w:rsidRPr="003410DE">
        <w:rPr>
          <w:rFonts w:ascii="Times New Roman" w:hAnsi="Times New Roman" w:cs="Times New Roman"/>
          <w:kern w:val="0"/>
        </w:rPr>
        <w:t xml:space="preserve">adjusted returns to purge the institutional and individual trading effect from </w:t>
      </w:r>
      <w:r w:rsidRPr="00D5561B">
        <w:rPr>
          <w:rFonts w:ascii="Times New Roman" w:hAnsi="Times New Roman" w:cs="Times New Roman"/>
          <w:i/>
          <w:kern w:val="0"/>
        </w:rPr>
        <w:t>BE/ME</w:t>
      </w:r>
      <w:r w:rsidRPr="003410DE">
        <w:rPr>
          <w:rFonts w:ascii="Times New Roman" w:hAnsi="Times New Roman" w:cs="Times New Roman"/>
          <w:kern w:val="0"/>
        </w:rPr>
        <w:t xml:space="preserve"> and size premiums. </w:t>
      </w:r>
      <w:r>
        <w:rPr>
          <w:rFonts w:ascii="Times New Roman" w:hAnsi="Times New Roman" w:cs="Times New Roman"/>
          <w:kern w:val="0"/>
        </w:rPr>
        <w:t>S</w:t>
      </w:r>
      <w:r w:rsidRPr="003410DE">
        <w:rPr>
          <w:rFonts w:ascii="Times New Roman" w:hAnsi="Times New Roman" w:cs="Times New Roman"/>
          <w:kern w:val="0"/>
        </w:rPr>
        <w:t xml:space="preserve">pecifically, </w:t>
      </w:r>
      <w:r>
        <w:rPr>
          <w:rFonts w:ascii="Times New Roman" w:hAnsi="Times New Roman" w:cs="Times New Roman"/>
          <w:kern w:val="0"/>
        </w:rPr>
        <w:t xml:space="preserve">in a manner similar to that in the </w:t>
      </w:r>
      <w:r w:rsidRPr="00D5561B">
        <w:rPr>
          <w:rFonts w:ascii="Times New Roman" w:hAnsi="Times New Roman" w:cs="Times New Roman"/>
          <w:i/>
          <w:kern w:val="0"/>
        </w:rPr>
        <w:t>BE/ME</w:t>
      </w:r>
      <w:r>
        <w:rPr>
          <w:rFonts w:ascii="Times New Roman" w:hAnsi="Times New Roman" w:cs="Times New Roman"/>
          <w:kern w:val="0"/>
        </w:rPr>
        <w:t xml:space="preserve"> and size benchmark-adjusted procedure in Section 4, </w:t>
      </w:r>
      <w:r w:rsidRPr="003410DE">
        <w:rPr>
          <w:rFonts w:ascii="Times New Roman" w:hAnsi="Times New Roman" w:cs="Times New Roman"/>
          <w:kern w:val="0"/>
        </w:rPr>
        <w:t xml:space="preserve">the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and </w:t>
      </w:r>
      <w:r w:rsidRPr="00D5561B">
        <w:rPr>
          <w:rFonts w:ascii="Times New Roman" w:hAnsi="Times New Roman" w:cs="Times New Roman"/>
          <w:i/>
          <w:kern w:val="0"/>
        </w:rPr>
        <w:t>AdjDIND</w:t>
      </w:r>
      <w:r w:rsidRPr="003410DE">
        <w:rPr>
          <w:rFonts w:ascii="Times New Roman" w:hAnsi="Times New Roman" w:cs="Times New Roman"/>
          <w:kern w:val="0"/>
        </w:rPr>
        <w:t xml:space="preserve"> benchmark</w:t>
      </w:r>
      <w:r>
        <w:rPr>
          <w:rFonts w:ascii="Times New Roman" w:hAnsi="Times New Roman" w:cs="Times New Roman"/>
          <w:kern w:val="0"/>
        </w:rPr>
        <w:t>-</w:t>
      </w:r>
      <w:r w:rsidRPr="003410DE">
        <w:rPr>
          <w:rFonts w:ascii="Times New Roman" w:hAnsi="Times New Roman" w:cs="Times New Roman"/>
          <w:kern w:val="0"/>
        </w:rPr>
        <w:t xml:space="preserve">adjusted </w:t>
      </w:r>
      <w:r w:rsidRPr="003410DE">
        <w:rPr>
          <w:rFonts w:ascii="Times New Roman" w:hAnsi="Times New Roman" w:cs="Times New Roman"/>
        </w:rPr>
        <w:t xml:space="preserve">returns are </w:t>
      </w:r>
      <w:r>
        <w:rPr>
          <w:rFonts w:ascii="Times New Roman" w:hAnsi="Times New Roman" w:cs="Times New Roman"/>
        </w:rPr>
        <w:t>measured</w:t>
      </w:r>
      <w:r w:rsidRPr="003410DE">
        <w:rPr>
          <w:rFonts w:ascii="Times New Roman" w:hAnsi="Times New Roman" w:cs="Times New Roman"/>
        </w:rPr>
        <w:t xml:space="preserve"> using </w:t>
      </w:r>
      <w:r w:rsidRPr="00D5561B">
        <w:rPr>
          <w:rFonts w:ascii="Times New Roman" w:hAnsi="Times New Roman" w:cs="Times New Roman"/>
          <w:i/>
          <w:kern w:val="0"/>
        </w:rPr>
        <w:t>AdjD</w:t>
      </w:r>
      <w:r w:rsidRPr="0017025B">
        <w:rPr>
          <w:rFonts w:ascii="Times New Roman" w:hAnsi="Times New Roman" w:cs="Times New Roman"/>
          <w:i/>
          <w:kern w:val="0"/>
        </w:rPr>
        <w:t>ITH</w:t>
      </w:r>
      <w:r>
        <w:rPr>
          <w:rFonts w:ascii="Times New Roman" w:hAnsi="Times New Roman" w:cs="Times New Roman"/>
          <w:i/>
          <w:kern w:val="0"/>
        </w:rPr>
        <w:t>-</w:t>
      </w:r>
      <w:r w:rsidRPr="003410DE">
        <w:rPr>
          <w:rFonts w:ascii="Times New Roman" w:hAnsi="Times New Roman" w:cs="Times New Roman"/>
        </w:rPr>
        <w:t xml:space="preserve"> and </w:t>
      </w:r>
      <w:r w:rsidRPr="00D5561B">
        <w:rPr>
          <w:rFonts w:ascii="Times New Roman" w:hAnsi="Times New Roman" w:cs="Times New Roman"/>
          <w:i/>
          <w:kern w:val="0"/>
        </w:rPr>
        <w:t>AdjDIND</w:t>
      </w:r>
      <w:r>
        <w:rPr>
          <w:rFonts w:ascii="Times New Roman" w:hAnsi="Times New Roman" w:cs="Times New Roman"/>
        </w:rPr>
        <w:t>-</w:t>
      </w:r>
      <w:r w:rsidRPr="003410DE">
        <w:rPr>
          <w:rFonts w:ascii="Times New Roman" w:hAnsi="Times New Roman" w:cs="Times New Roman"/>
        </w:rPr>
        <w:t xml:space="preserve">adjusted average portfolio returns. To construct the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rPr>
        <w:t xml:space="preserve"> and </w:t>
      </w:r>
      <w:r w:rsidRPr="00D5561B">
        <w:rPr>
          <w:rFonts w:ascii="Times New Roman" w:hAnsi="Times New Roman" w:cs="Times New Roman"/>
          <w:i/>
          <w:kern w:val="0"/>
        </w:rPr>
        <w:t>AdjDIND</w:t>
      </w:r>
      <w:r w:rsidRPr="003410DE">
        <w:rPr>
          <w:rFonts w:ascii="Times New Roman" w:hAnsi="Times New Roman" w:cs="Times New Roman"/>
        </w:rPr>
        <w:t xml:space="preserve"> benchmark portfolios, we independently sort whole</w:t>
      </w:r>
      <w:r>
        <w:rPr>
          <w:rFonts w:ascii="Times New Roman" w:hAnsi="Times New Roman" w:cs="Times New Roman"/>
        </w:rPr>
        <w:t>-</w:t>
      </w:r>
      <w:r w:rsidRPr="003410DE">
        <w:rPr>
          <w:rFonts w:ascii="Times New Roman" w:hAnsi="Times New Roman" w:cs="Times New Roman"/>
        </w:rPr>
        <w:t xml:space="preserve">listed stocks into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rPr>
        <w:t xml:space="preserve"> and </w:t>
      </w:r>
      <w:r w:rsidRPr="00D5561B">
        <w:rPr>
          <w:rFonts w:ascii="Times New Roman" w:hAnsi="Times New Roman" w:cs="Times New Roman"/>
          <w:i/>
          <w:kern w:val="0"/>
        </w:rPr>
        <w:t>AdjDIND</w:t>
      </w:r>
      <w:r w:rsidRPr="003410DE">
        <w:rPr>
          <w:rFonts w:ascii="Times New Roman" w:hAnsi="Times New Roman" w:cs="Times New Roman"/>
        </w:rPr>
        <w:t xml:space="preserve"> </w:t>
      </w:r>
      <w:r>
        <w:rPr>
          <w:rFonts w:ascii="Times New Roman" w:hAnsi="Times New Roman" w:cs="Times New Roman"/>
        </w:rPr>
        <w:t>decile</w:t>
      </w:r>
      <w:r w:rsidRPr="003410DE">
        <w:rPr>
          <w:rFonts w:ascii="Times New Roman" w:hAnsi="Times New Roman" w:cs="Times New Roman"/>
        </w:rPr>
        <w:t xml:space="preserve">s. Next, we compute a monthly value-weighted average return for each of the 100 (10 x 10) portfolios. The monthly abnormal return </w:t>
      </w:r>
      <w:r>
        <w:rPr>
          <w:rFonts w:ascii="Times New Roman" w:hAnsi="Times New Roman" w:cs="Times New Roman"/>
        </w:rPr>
        <w:t>of</w:t>
      </w:r>
      <w:r w:rsidRPr="003410DE">
        <w:rPr>
          <w:rFonts w:ascii="Times New Roman" w:hAnsi="Times New Roman" w:cs="Times New Roman"/>
        </w:rPr>
        <w:t xml:space="preserve"> each stock is the difference between the stock’s monthly raw return and its monthly benchmark portfolio return.</w:t>
      </w:r>
      <w:r>
        <w:rPr>
          <w:rStyle w:val="FootnoteReference"/>
          <w:rFonts w:ascii="Times New Roman" w:hAnsi="Times New Roman"/>
        </w:rPr>
        <w:footnoteReference w:id="8"/>
      </w:r>
      <w:r w:rsidRPr="003410DE">
        <w:rPr>
          <w:rFonts w:ascii="Times New Roman" w:hAnsi="Times New Roman" w:cs="Times New Roman"/>
        </w:rPr>
        <w:t xml:space="preserve"> </w:t>
      </w:r>
      <w:r w:rsidRPr="003410DE">
        <w:rPr>
          <w:rFonts w:ascii="Times New Roman" w:hAnsi="Times New Roman" w:cs="Times New Roman"/>
          <w:kern w:val="0"/>
        </w:rPr>
        <w:t>The results shown in Tables</w:t>
      </w:r>
      <w:r>
        <w:rPr>
          <w:rFonts w:ascii="Times New Roman" w:hAnsi="Times New Roman" w:cs="Times New Roman"/>
          <w:kern w:val="0"/>
        </w:rPr>
        <w:t xml:space="preserve"> </w:t>
      </w:r>
      <w:r w:rsidRPr="003410DE">
        <w:rPr>
          <w:rFonts w:ascii="Times New Roman" w:hAnsi="Times New Roman" w:cs="Times New Roman"/>
          <w:kern w:val="0"/>
        </w:rPr>
        <w:t>10 and 11</w:t>
      </w:r>
      <w:r>
        <w:rPr>
          <w:rFonts w:ascii="Times New Roman" w:hAnsi="Times New Roman" w:cs="Times New Roman"/>
          <w:kern w:val="0"/>
        </w:rPr>
        <w:t xml:space="preserve"> </w:t>
      </w:r>
      <w:r w:rsidRPr="003410DE">
        <w:rPr>
          <w:rFonts w:ascii="Times New Roman" w:hAnsi="Times New Roman" w:cs="Times New Roman"/>
          <w:kern w:val="0"/>
        </w:rPr>
        <w:t>indicate that</w:t>
      </w:r>
      <w:r>
        <w:rPr>
          <w:rFonts w:ascii="Times New Roman" w:hAnsi="Times New Roman" w:cs="Times New Roman"/>
          <w:kern w:val="0"/>
        </w:rPr>
        <w:t>,</w:t>
      </w:r>
      <w:r w:rsidRPr="003410DE">
        <w:rPr>
          <w:rFonts w:ascii="Times New Roman" w:hAnsi="Times New Roman" w:cs="Times New Roman"/>
          <w:kern w:val="0"/>
        </w:rPr>
        <w:t xml:space="preserve"> </w:t>
      </w:r>
      <w:r>
        <w:rPr>
          <w:rFonts w:ascii="Times New Roman" w:hAnsi="Times New Roman" w:cs="Times New Roman"/>
          <w:kern w:val="0"/>
        </w:rPr>
        <w:t xml:space="preserve">after purging out the information associated with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rPr>
        <w:t xml:space="preserve"> and </w:t>
      </w:r>
      <w:r w:rsidRPr="00D5561B">
        <w:rPr>
          <w:rFonts w:ascii="Times New Roman" w:hAnsi="Times New Roman" w:cs="Times New Roman"/>
          <w:i/>
          <w:kern w:val="0"/>
        </w:rPr>
        <w:t>AdjDIND</w:t>
      </w:r>
      <w:r>
        <w:rPr>
          <w:rFonts w:ascii="Times New Roman" w:hAnsi="Times New Roman" w:cs="Times New Roman"/>
          <w:kern w:val="0"/>
        </w:rPr>
        <w:t xml:space="preserve">, </w:t>
      </w:r>
      <w:r w:rsidRPr="00D5561B">
        <w:rPr>
          <w:rFonts w:ascii="Times New Roman" w:hAnsi="Times New Roman" w:cs="Times New Roman"/>
          <w:i/>
          <w:kern w:val="0"/>
        </w:rPr>
        <w:t>BE/ME</w:t>
      </w:r>
      <w:r>
        <w:rPr>
          <w:rFonts w:ascii="Times New Roman" w:hAnsi="Times New Roman" w:cs="Times New Roman"/>
          <w:kern w:val="0"/>
        </w:rPr>
        <w:t xml:space="preserve"> and size premiums are still significantly positive. </w:t>
      </w:r>
      <w:r w:rsidRPr="00F90E69">
        <w:rPr>
          <w:rFonts w:ascii="Times New Roman" w:hAnsi="Times New Roman" w:cs="Times New Roman"/>
          <w:kern w:val="0"/>
        </w:rPr>
        <w:t xml:space="preserve">More specifically, while the </w:t>
      </w:r>
      <w:r>
        <w:rPr>
          <w:rFonts w:ascii="Times New Roman" w:hAnsi="Times New Roman" w:cs="Times New Roman"/>
          <w:kern w:val="0"/>
        </w:rPr>
        <w:t xml:space="preserve">value-weighted </w:t>
      </w:r>
      <w:r w:rsidRPr="008F07CA">
        <w:rPr>
          <w:rFonts w:ascii="Times New Roman" w:hAnsi="Times New Roman" w:cs="Times New Roman"/>
          <w:i/>
          <w:kern w:val="0"/>
        </w:rPr>
        <w:t>BE/ME</w:t>
      </w:r>
      <w:r>
        <w:rPr>
          <w:rFonts w:ascii="Times New Roman" w:hAnsi="Times New Roman" w:cs="Times New Roman"/>
          <w:kern w:val="0"/>
        </w:rPr>
        <w:t xml:space="preserve"> (size) spread</w:t>
      </w:r>
      <w:r w:rsidRPr="00F90E69">
        <w:rPr>
          <w:rFonts w:ascii="Times New Roman" w:hAnsi="Times New Roman" w:cs="Times New Roman"/>
          <w:kern w:val="0"/>
        </w:rPr>
        <w:t xml:space="preserve"> does decrease by about one third</w:t>
      </w:r>
      <w:r>
        <w:rPr>
          <w:rFonts w:ascii="Times New Roman" w:hAnsi="Times New Roman" w:cs="Times New Roman"/>
          <w:kern w:val="0"/>
        </w:rPr>
        <w:t>, from 1.09% (0.92%) to 0.72% (0.76%)</w:t>
      </w:r>
      <w:r w:rsidRPr="00F90E69">
        <w:rPr>
          <w:rFonts w:ascii="Times New Roman" w:hAnsi="Times New Roman" w:cs="Times New Roman"/>
          <w:kern w:val="0"/>
        </w:rPr>
        <w:t xml:space="preserve">, it is still economically large and statistically significant at the </w:t>
      </w:r>
      <w:r>
        <w:rPr>
          <w:rFonts w:ascii="Times New Roman" w:hAnsi="Times New Roman" w:cs="Times New Roman"/>
          <w:kern w:val="0"/>
        </w:rPr>
        <w:t>five</w:t>
      </w:r>
      <w:r w:rsidRPr="00F90E69">
        <w:rPr>
          <w:rFonts w:ascii="Times New Roman" w:hAnsi="Times New Roman" w:cs="Times New Roman"/>
          <w:kern w:val="0"/>
        </w:rPr>
        <w:t>-percent level.</w:t>
      </w:r>
      <w:r>
        <w:rPr>
          <w:rFonts w:ascii="Times New Roman" w:hAnsi="Times New Roman" w:cs="Times New Roman"/>
          <w:kern w:val="0"/>
        </w:rPr>
        <w:t xml:space="preserve"> </w:t>
      </w:r>
    </w:p>
    <w:p w:rsidR="00523FB7" w:rsidRPr="00741707" w:rsidRDefault="00523FB7" w:rsidP="00BF7686">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&lt;Insert Tables 10 and 11 about here&gt;</w:t>
      </w:r>
    </w:p>
    <w:p w:rsidR="00523FB7" w:rsidRDefault="00523FB7" w:rsidP="00BF7686">
      <w:pPr>
        <w:snapToGrid w:val="0"/>
        <w:spacing w:line="480" w:lineRule="auto"/>
        <w:ind w:firstLine="480"/>
        <w:jc w:val="both"/>
        <w:rPr>
          <w:rFonts w:ascii="Times New Roman" w:hAnsi="Times New Roman" w:cs="Times New Roman"/>
        </w:rPr>
      </w:pPr>
      <w:r>
        <w:rPr>
          <w:rFonts w:ascii="Times New Roman" w:hAnsi="Times New Roman" w:cs="Times New Roman"/>
        </w:rPr>
        <w:t xml:space="preserve">On the other hand, if </w:t>
      </w:r>
      <w:r w:rsidRPr="00185637">
        <w:rPr>
          <w:rFonts w:ascii="Times New Roman" w:hAnsi="Times New Roman" w:cs="Times New Roman"/>
          <w:i/>
        </w:rPr>
        <w:t>BE/ME</w:t>
      </w:r>
      <w:r>
        <w:rPr>
          <w:rFonts w:ascii="Times New Roman" w:hAnsi="Times New Roman" w:cs="Times New Roman"/>
        </w:rPr>
        <w:t xml:space="preserve"> premium (or size premium) are driven by institutional and/or individual trading, the volatility of </w:t>
      </w:r>
      <w:r w:rsidRPr="00185637">
        <w:rPr>
          <w:rFonts w:ascii="Times New Roman" w:hAnsi="Times New Roman" w:cs="Times New Roman"/>
          <w:i/>
        </w:rPr>
        <w:t>BE/ME</w:t>
      </w:r>
      <w:r>
        <w:rPr>
          <w:rFonts w:ascii="Times New Roman" w:hAnsi="Times New Roman" w:cs="Times New Roman"/>
        </w:rPr>
        <w:t xml:space="preserve"> premium (or size premium) should be explained by volatility of spreads on institutional trading portfolio and individual trading portfolio. W</w:t>
      </w:r>
      <w:r w:rsidRPr="002C0FB5">
        <w:rPr>
          <w:rFonts w:ascii="Times New Roman" w:hAnsi="Times New Roman" w:cs="Times New Roman"/>
        </w:rPr>
        <w:t>e employ</w:t>
      </w:r>
      <w:r>
        <w:rPr>
          <w:rFonts w:ascii="Times New Roman" w:hAnsi="Times New Roman" w:cs="Times New Roman"/>
        </w:rPr>
        <w:t xml:space="preserve"> </w:t>
      </w:r>
      <w:r w:rsidRPr="002C0FB5">
        <w:rPr>
          <w:rFonts w:ascii="Times New Roman" w:hAnsi="Times New Roman" w:cs="Times New Roman"/>
        </w:rPr>
        <w:t>a simple two-factor model (similar to the model adopted by Eun</w:t>
      </w:r>
      <w:r>
        <w:rPr>
          <w:rFonts w:ascii="Times New Roman" w:hAnsi="Times New Roman" w:cs="Times New Roman"/>
        </w:rPr>
        <w:t xml:space="preserve"> </w:t>
      </w:r>
      <w:r w:rsidRPr="002C0FB5">
        <w:rPr>
          <w:rFonts w:ascii="Times New Roman" w:hAnsi="Times New Roman" w:cs="Times New Roman"/>
        </w:rPr>
        <w:t xml:space="preserve">et al. (2008)), the results of which are given in Table </w:t>
      </w:r>
      <w:r>
        <w:rPr>
          <w:rFonts w:ascii="Times New Roman" w:hAnsi="Times New Roman" w:cs="Times New Roman"/>
        </w:rPr>
        <w:t>12</w:t>
      </w:r>
      <w:r w:rsidRPr="002C0FB5">
        <w:rPr>
          <w:rFonts w:ascii="Times New Roman" w:hAnsi="Times New Roman" w:cs="Times New Roman"/>
        </w:rPr>
        <w:t>.</w:t>
      </w:r>
      <w:r>
        <w:rPr>
          <w:rFonts w:ascii="Times New Roman" w:hAnsi="Times New Roman" w:cs="Times New Roman"/>
        </w:rPr>
        <w:t xml:space="preserve"> </w:t>
      </w:r>
      <w:r w:rsidRPr="002C0FB5">
        <w:rPr>
          <w:rFonts w:ascii="Times New Roman" w:hAnsi="Times New Roman" w:cs="Times New Roman"/>
        </w:rPr>
        <w:t>This</w:t>
      </w:r>
      <w:r>
        <w:rPr>
          <w:rFonts w:ascii="Times New Roman" w:hAnsi="Times New Roman" w:cs="Times New Roman"/>
        </w:rPr>
        <w:t xml:space="preserve"> </w:t>
      </w:r>
      <w:r w:rsidRPr="002C0FB5">
        <w:rPr>
          <w:rFonts w:ascii="Times New Roman" w:hAnsi="Times New Roman" w:cs="Times New Roman"/>
        </w:rPr>
        <w:t xml:space="preserve">model assumes that </w:t>
      </w:r>
      <w:r w:rsidRPr="00185637">
        <w:rPr>
          <w:rFonts w:ascii="Times New Roman" w:hAnsi="Times New Roman" w:cs="Times New Roman"/>
          <w:i/>
        </w:rPr>
        <w:t>BE/ME</w:t>
      </w:r>
      <w:r>
        <w:rPr>
          <w:rFonts w:ascii="Times New Roman" w:hAnsi="Times New Roman" w:cs="Times New Roman"/>
        </w:rPr>
        <w:t xml:space="preserve"> and size premiums</w:t>
      </w:r>
      <w:r w:rsidRPr="002C0FB5">
        <w:rPr>
          <w:rFonts w:ascii="Times New Roman" w:hAnsi="Times New Roman" w:cs="Times New Roman"/>
        </w:rPr>
        <w:t xml:space="preserve"> are driven by </w:t>
      </w:r>
      <w:r>
        <w:rPr>
          <w:rFonts w:ascii="Times New Roman" w:hAnsi="Times New Roman" w:cs="Times New Roman"/>
        </w:rPr>
        <w:t>spreads of</w:t>
      </w:r>
      <w:r w:rsidRPr="002C0FB5">
        <w:rPr>
          <w:rFonts w:ascii="Times New Roman" w:hAnsi="Times New Roman" w:cs="Times New Roman"/>
        </w:rPr>
        <w:t xml:space="preserve"> </w:t>
      </w:r>
      <w:r>
        <w:rPr>
          <w:rFonts w:ascii="Times New Roman" w:hAnsi="Times New Roman" w:cs="Times New Roman"/>
        </w:rPr>
        <w:t>institutional trading portfolio and individual trading portfolio</w:t>
      </w:r>
      <w:r w:rsidRPr="002C0FB5">
        <w:rPr>
          <w:rFonts w:ascii="Times New Roman" w:hAnsi="Times New Roman" w:cs="Times New Roman"/>
        </w:rPr>
        <w:t xml:space="preserve">. </w:t>
      </w:r>
    </w:p>
    <w:tbl>
      <w:tblPr>
        <w:tblW w:w="0" w:type="auto"/>
        <w:tblLook w:val="00A0"/>
      </w:tblPr>
      <w:tblGrid>
        <w:gridCol w:w="7621"/>
        <w:gridCol w:w="741"/>
      </w:tblGrid>
      <w:tr w:rsidR="00523FB7" w:rsidRPr="00740526" w:rsidTr="00740526">
        <w:tc>
          <w:tcPr>
            <w:tcW w:w="7621" w:type="dxa"/>
          </w:tcPr>
          <w:p w:rsidR="00523FB7" w:rsidRPr="00740526" w:rsidRDefault="00523FB7" w:rsidP="00740526">
            <w:pPr>
              <w:snapToGrid w:val="0"/>
              <w:spacing w:line="480" w:lineRule="auto"/>
              <w:jc w:val="both"/>
              <w:rPr>
                <w:rFonts w:ascii="Times New Roman" w:hAnsi="Times New Roman" w:cs="Times New Roman"/>
              </w:rPr>
            </w:pPr>
            <w:r w:rsidRPr="00740526">
              <w:rPr>
                <w:rFonts w:ascii="Times New Roman" w:hAnsi="Times New Roman" w:cs="Times New Roman"/>
                <w:position w:val="-12"/>
              </w:rPr>
              <w:object w:dxaOrig="40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7.25pt" o:ole="">
                  <v:imagedata r:id="rId8" o:title=""/>
                </v:shape>
                <o:OLEObject Type="Embed" ProgID="Equation.DSMT4" ShapeID="_x0000_i1025" DrawAspect="Content" ObjectID="_1407004455" r:id="rId9"/>
              </w:object>
            </w:r>
          </w:p>
        </w:tc>
        <w:tc>
          <w:tcPr>
            <w:tcW w:w="741" w:type="dxa"/>
          </w:tcPr>
          <w:p w:rsidR="00523FB7" w:rsidRPr="00740526" w:rsidRDefault="00523FB7" w:rsidP="00740526">
            <w:pPr>
              <w:snapToGrid w:val="0"/>
              <w:spacing w:line="480" w:lineRule="auto"/>
              <w:jc w:val="right"/>
              <w:rPr>
                <w:rFonts w:ascii="Times New Roman" w:hAnsi="Times New Roman" w:cs="Times New Roman"/>
              </w:rPr>
            </w:pPr>
            <w:r w:rsidRPr="00740526">
              <w:rPr>
                <w:rFonts w:ascii="Times New Roman" w:hAnsi="Times New Roman" w:cs="Times New Roman"/>
              </w:rPr>
              <w:t>(1)</w:t>
            </w:r>
          </w:p>
        </w:tc>
      </w:tr>
    </w:tbl>
    <w:p w:rsidR="00523FB7" w:rsidRPr="00364318" w:rsidRDefault="00523FB7" w:rsidP="00BF7686">
      <w:pPr>
        <w:snapToGrid w:val="0"/>
        <w:spacing w:line="480" w:lineRule="auto"/>
        <w:ind w:firstLine="480"/>
        <w:jc w:val="both"/>
        <w:rPr>
          <w:rFonts w:ascii="Times New Roman" w:hAnsi="Times New Roman" w:cs="Times New Roman"/>
        </w:rPr>
      </w:pPr>
      <w:r w:rsidRPr="00F73A7E">
        <w:rPr>
          <w:rFonts w:ascii="Times New Roman" w:hAnsi="Times New Roman" w:cs="Times New Roman"/>
        </w:rPr>
        <w:t xml:space="preserve">This two-factor model is estimated as where </w:t>
      </w:r>
      <w:r w:rsidRPr="00F73A7E">
        <w:rPr>
          <w:rFonts w:ascii="Times New Roman" w:hAnsi="Times New Roman" w:cs="Times New Roman"/>
          <w:i/>
        </w:rPr>
        <w:t>R</w:t>
      </w:r>
      <w:r>
        <w:rPr>
          <w:rFonts w:ascii="Times New Roman" w:hAnsi="Times New Roman" w:cs="Times New Roman"/>
          <w:i/>
          <w:vertAlign w:val="subscript"/>
        </w:rPr>
        <w:t>k</w:t>
      </w:r>
      <w:r w:rsidRPr="00F73A7E">
        <w:rPr>
          <w:rFonts w:ascii="Times New Roman" w:hAnsi="Times New Roman" w:cs="Times New Roman"/>
        </w:rPr>
        <w:t xml:space="preserve"> is </w:t>
      </w:r>
      <w:r w:rsidRPr="00185637">
        <w:rPr>
          <w:rFonts w:ascii="Times New Roman" w:hAnsi="Times New Roman" w:cs="Times New Roman"/>
          <w:i/>
        </w:rPr>
        <w:t>BE/ME</w:t>
      </w:r>
      <w:r w:rsidRPr="00F73A7E">
        <w:rPr>
          <w:rFonts w:ascii="Times New Roman" w:hAnsi="Times New Roman" w:cs="Times New Roman"/>
        </w:rPr>
        <w:t xml:space="preserve"> premium </w:t>
      </w:r>
      <w:r>
        <w:rPr>
          <w:rFonts w:ascii="Times New Roman" w:hAnsi="Times New Roman" w:cs="Times New Roman"/>
        </w:rPr>
        <w:t>and</w:t>
      </w:r>
      <w:r w:rsidRPr="00F73A7E">
        <w:rPr>
          <w:rFonts w:ascii="Times New Roman" w:hAnsi="Times New Roman" w:cs="Times New Roman"/>
        </w:rPr>
        <w:t xml:space="preserve"> size premium shown in Tables 10 and 11</w:t>
      </w:r>
      <w:r>
        <w:rPr>
          <w:rFonts w:ascii="Times New Roman" w:hAnsi="Times New Roman" w:cs="Times New Roman"/>
        </w:rPr>
        <w:t>;</w:t>
      </w:r>
      <w:r w:rsidRPr="00F73A7E">
        <w:rPr>
          <w:rFonts w:ascii="Times New Roman" w:hAnsi="Times New Roman" w:cs="Times New Roman"/>
        </w:rPr>
        <w:t xml:space="preserve"> </w:t>
      </w:r>
      <w:r w:rsidRPr="00B21E35">
        <w:rPr>
          <w:rFonts w:ascii="Times New Roman" w:hAnsi="Times New Roman" w:cs="Times New Roman"/>
          <w:i/>
        </w:rPr>
        <w:t>R</w:t>
      </w:r>
      <w:r>
        <w:rPr>
          <w:rFonts w:ascii="Times New Roman" w:hAnsi="Times New Roman" w:cs="Times New Roman"/>
          <w:i/>
          <w:vertAlign w:val="subscript"/>
        </w:rPr>
        <w:t>AdjDITH</w:t>
      </w:r>
      <w:r>
        <w:rPr>
          <w:rFonts w:ascii="Times New Roman" w:hAnsi="Times New Roman" w:cs="Times New Roman"/>
        </w:rPr>
        <w:t xml:space="preserve"> is the spread returns on </w:t>
      </w:r>
      <w:r w:rsidRPr="00FA5128">
        <w:rPr>
          <w:rFonts w:ascii="Times New Roman" w:hAnsi="Times New Roman" w:cs="Times New Roman"/>
          <w:i/>
        </w:rPr>
        <w:t>AdjDITH</w:t>
      </w:r>
      <w:r>
        <w:rPr>
          <w:rFonts w:ascii="Times New Roman" w:hAnsi="Times New Roman" w:cs="Times New Roman"/>
        </w:rPr>
        <w:t xml:space="preserve"> portfolios presented in Table 5 </w:t>
      </w:r>
      <w:r w:rsidRPr="003410DE">
        <w:rPr>
          <w:rFonts w:ascii="Times New Roman" w:hAnsi="Times New Roman" w:cs="Times New Roman"/>
          <w:kern w:val="0"/>
        </w:rPr>
        <w:t>(</w:t>
      </w:r>
      <w:r>
        <w:rPr>
          <w:rFonts w:ascii="Times New Roman" w:hAnsi="Times New Roman" w:cs="Times New Roman"/>
          <w:kern w:val="0"/>
        </w:rPr>
        <w:t xml:space="preserve">defined as </w:t>
      </w:r>
      <w:r w:rsidRPr="003410DE">
        <w:rPr>
          <w:rFonts w:ascii="Times New Roman" w:hAnsi="Times New Roman" w:cs="Times New Roman"/>
          <w:kern w:val="0"/>
        </w:rPr>
        <w:t xml:space="preserve">returns on stocks </w:t>
      </w:r>
      <w:r>
        <w:rPr>
          <w:rFonts w:ascii="Times New Roman" w:hAnsi="Times New Roman" w:cs="Times New Roman"/>
          <w:kern w:val="0"/>
        </w:rPr>
        <w:t>with</w:t>
      </w:r>
      <w:r w:rsidRPr="003410DE">
        <w:rPr>
          <w:rFonts w:ascii="Times New Roman" w:hAnsi="Times New Roman" w:cs="Times New Roman"/>
          <w:kern w:val="0"/>
        </w:rPr>
        <w:t xml:space="preserve"> heavy institutional </w:t>
      </w:r>
      <w:r>
        <w:rPr>
          <w:rFonts w:ascii="Times New Roman" w:hAnsi="Times New Roman" w:cs="Times New Roman"/>
          <w:kern w:val="0"/>
        </w:rPr>
        <w:t>net-selling</w:t>
      </w:r>
      <w:r w:rsidRPr="003410DE">
        <w:rPr>
          <w:rFonts w:ascii="Times New Roman" w:hAnsi="Times New Roman" w:cs="Times New Roman"/>
          <w:kern w:val="0"/>
        </w:rPr>
        <w:t xml:space="preserve"> minus returns on stocks </w:t>
      </w:r>
      <w:r>
        <w:rPr>
          <w:rFonts w:ascii="Times New Roman" w:hAnsi="Times New Roman" w:cs="Times New Roman"/>
          <w:kern w:val="0"/>
        </w:rPr>
        <w:t>with</w:t>
      </w:r>
      <w:r w:rsidRPr="003410DE">
        <w:rPr>
          <w:rFonts w:ascii="Times New Roman" w:hAnsi="Times New Roman" w:cs="Times New Roman"/>
          <w:kern w:val="0"/>
        </w:rPr>
        <w:t xml:space="preserve"> heavy institutional </w:t>
      </w:r>
      <w:r>
        <w:rPr>
          <w:rFonts w:ascii="Times New Roman" w:hAnsi="Times New Roman" w:cs="Times New Roman"/>
          <w:kern w:val="0"/>
        </w:rPr>
        <w:t>net-buying</w:t>
      </w:r>
      <w:r w:rsidRPr="003410DE">
        <w:rPr>
          <w:rFonts w:ascii="Times New Roman" w:hAnsi="Times New Roman" w:cs="Times New Roman"/>
          <w:kern w:val="0"/>
        </w:rPr>
        <w:t>)</w:t>
      </w:r>
      <w:r>
        <w:rPr>
          <w:rFonts w:ascii="Times New Roman" w:hAnsi="Times New Roman" w:cs="Times New Roman"/>
        </w:rPr>
        <w:t xml:space="preserve">; and </w:t>
      </w:r>
      <w:r w:rsidRPr="00364318">
        <w:rPr>
          <w:rFonts w:ascii="新細明體" w:hAnsi="新細明體" w:cs="Times New Roman" w:hint="eastAsia"/>
          <w:i/>
        </w:rPr>
        <w:t>ξ</w:t>
      </w:r>
      <w:r>
        <w:rPr>
          <w:rFonts w:ascii="Times New Roman" w:hAnsi="Times New Roman" w:cs="Times New Roman"/>
          <w:i/>
          <w:vertAlign w:val="subscript"/>
        </w:rPr>
        <w:t>AdjDIND</w:t>
      </w:r>
      <w:r>
        <w:rPr>
          <w:rFonts w:ascii="Times New Roman" w:hAnsi="Times New Roman" w:cs="Times New Roman"/>
        </w:rPr>
        <w:t xml:space="preserve"> is the </w:t>
      </w:r>
      <w:r w:rsidRPr="00F73A7E">
        <w:rPr>
          <w:rFonts w:ascii="Times New Roman" w:hAnsi="Times New Roman" w:cs="Times New Roman"/>
        </w:rPr>
        <w:t>residual obtained by regressing</w:t>
      </w:r>
      <w:r>
        <w:rPr>
          <w:rFonts w:ascii="Times New Roman" w:hAnsi="Times New Roman" w:cs="Times New Roman"/>
        </w:rPr>
        <w:t xml:space="preserve"> </w:t>
      </w:r>
      <w:r w:rsidRPr="00B21E35">
        <w:rPr>
          <w:rFonts w:ascii="Times New Roman" w:hAnsi="Times New Roman" w:cs="Times New Roman"/>
          <w:i/>
        </w:rPr>
        <w:t>R</w:t>
      </w:r>
      <w:r>
        <w:rPr>
          <w:rFonts w:ascii="Times New Roman" w:hAnsi="Times New Roman" w:cs="Times New Roman"/>
          <w:i/>
          <w:vertAlign w:val="subscript"/>
        </w:rPr>
        <w:t>AdjDIND</w:t>
      </w:r>
      <w:r w:rsidRPr="00D73429">
        <w:rPr>
          <w:rFonts w:ascii="Times New Roman" w:hAnsi="Times New Roman" w:cs="Times New Roman"/>
        </w:rPr>
        <w:t xml:space="preserve"> </w:t>
      </w:r>
      <w:r w:rsidRPr="00F73A7E">
        <w:rPr>
          <w:rFonts w:ascii="Times New Roman" w:hAnsi="Times New Roman" w:cs="Times New Roman"/>
        </w:rPr>
        <w:t>on</w:t>
      </w:r>
      <w:r>
        <w:rPr>
          <w:rFonts w:ascii="Times New Roman" w:hAnsi="Times New Roman" w:cs="Times New Roman"/>
        </w:rPr>
        <w:t xml:space="preserve"> </w:t>
      </w:r>
      <w:r w:rsidRPr="00364318">
        <w:rPr>
          <w:rFonts w:ascii="Times New Roman" w:hAnsi="Times New Roman" w:cs="Times New Roman"/>
          <w:i/>
        </w:rPr>
        <w:t>R</w:t>
      </w:r>
      <w:r>
        <w:rPr>
          <w:rFonts w:ascii="Times New Roman" w:hAnsi="Times New Roman" w:cs="Times New Roman"/>
          <w:i/>
          <w:vertAlign w:val="subscript"/>
        </w:rPr>
        <w:t>AdjDITH</w:t>
      </w:r>
      <w:r>
        <w:rPr>
          <w:rFonts w:ascii="Times New Roman" w:hAnsi="Times New Roman" w:cs="Times New Roman"/>
        </w:rPr>
        <w:t xml:space="preserve">. </w:t>
      </w:r>
      <w:r w:rsidRPr="00364318">
        <w:rPr>
          <w:rFonts w:ascii="Times New Roman" w:hAnsi="Times New Roman" w:cs="Times New Roman"/>
          <w:i/>
        </w:rPr>
        <w:t>R</w:t>
      </w:r>
      <w:r>
        <w:rPr>
          <w:rFonts w:ascii="Times New Roman" w:hAnsi="Times New Roman" w:cs="Times New Roman"/>
          <w:i/>
          <w:vertAlign w:val="subscript"/>
        </w:rPr>
        <w:t>AdjDIND</w:t>
      </w:r>
      <w:r>
        <w:rPr>
          <w:rFonts w:ascii="Times New Roman" w:hAnsi="Times New Roman" w:cs="Times New Roman"/>
        </w:rPr>
        <w:t xml:space="preserve"> is the spread returns on </w:t>
      </w:r>
      <w:r w:rsidRPr="00FA5128">
        <w:rPr>
          <w:rFonts w:ascii="Times New Roman" w:hAnsi="Times New Roman" w:cs="Times New Roman"/>
          <w:i/>
        </w:rPr>
        <w:t>AdjDIND</w:t>
      </w:r>
      <w:r>
        <w:rPr>
          <w:rFonts w:ascii="Times New Roman" w:hAnsi="Times New Roman" w:cs="Times New Roman"/>
        </w:rPr>
        <w:t xml:space="preserve"> portfolios presented in Table 6 </w:t>
      </w:r>
      <w:r w:rsidRPr="003410DE">
        <w:rPr>
          <w:rFonts w:ascii="Times New Roman" w:hAnsi="Times New Roman" w:cs="Times New Roman"/>
          <w:kern w:val="0"/>
        </w:rPr>
        <w:t>(</w:t>
      </w:r>
      <w:r>
        <w:rPr>
          <w:rFonts w:ascii="Times New Roman" w:hAnsi="Times New Roman" w:cs="Times New Roman"/>
          <w:kern w:val="0"/>
        </w:rPr>
        <w:t xml:space="preserve">defined as </w:t>
      </w:r>
      <w:r w:rsidRPr="003410DE">
        <w:rPr>
          <w:rFonts w:ascii="Times New Roman" w:hAnsi="Times New Roman" w:cs="Times New Roman"/>
          <w:kern w:val="0"/>
        </w:rPr>
        <w:t xml:space="preserve">returns on stocks </w:t>
      </w:r>
      <w:r>
        <w:rPr>
          <w:rFonts w:ascii="Times New Roman" w:hAnsi="Times New Roman" w:cs="Times New Roman"/>
          <w:kern w:val="0"/>
        </w:rPr>
        <w:t>with</w:t>
      </w:r>
      <w:r w:rsidRPr="003410DE">
        <w:rPr>
          <w:rFonts w:ascii="Times New Roman" w:hAnsi="Times New Roman" w:cs="Times New Roman"/>
          <w:kern w:val="0"/>
        </w:rPr>
        <w:t xml:space="preserve"> heavy </w:t>
      </w:r>
      <w:r>
        <w:rPr>
          <w:rFonts w:ascii="Times New Roman" w:hAnsi="Times New Roman" w:cs="Times New Roman"/>
          <w:kern w:val="0"/>
        </w:rPr>
        <w:t>individual</w:t>
      </w:r>
      <w:r w:rsidRPr="003410DE">
        <w:rPr>
          <w:rFonts w:ascii="Times New Roman" w:hAnsi="Times New Roman" w:cs="Times New Roman"/>
          <w:kern w:val="0"/>
        </w:rPr>
        <w:t xml:space="preserve"> </w:t>
      </w:r>
      <w:r>
        <w:rPr>
          <w:rFonts w:ascii="Times New Roman" w:hAnsi="Times New Roman" w:cs="Times New Roman"/>
          <w:kern w:val="0"/>
        </w:rPr>
        <w:t>net-buying</w:t>
      </w:r>
      <w:r w:rsidRPr="003410DE">
        <w:rPr>
          <w:rFonts w:ascii="Times New Roman" w:hAnsi="Times New Roman" w:cs="Times New Roman"/>
          <w:kern w:val="0"/>
        </w:rPr>
        <w:t xml:space="preserve"> minus returns on stocks </w:t>
      </w:r>
      <w:r>
        <w:rPr>
          <w:rFonts w:ascii="Times New Roman" w:hAnsi="Times New Roman" w:cs="Times New Roman"/>
          <w:kern w:val="0"/>
        </w:rPr>
        <w:t>with</w:t>
      </w:r>
      <w:r w:rsidRPr="003410DE">
        <w:rPr>
          <w:rFonts w:ascii="Times New Roman" w:hAnsi="Times New Roman" w:cs="Times New Roman"/>
          <w:kern w:val="0"/>
        </w:rPr>
        <w:t xml:space="preserve"> heavy </w:t>
      </w:r>
      <w:r>
        <w:rPr>
          <w:rFonts w:ascii="Times New Roman" w:hAnsi="Times New Roman" w:cs="Times New Roman"/>
          <w:kern w:val="0"/>
        </w:rPr>
        <w:t>individual</w:t>
      </w:r>
      <w:r w:rsidRPr="003410DE">
        <w:rPr>
          <w:rFonts w:ascii="Times New Roman" w:hAnsi="Times New Roman" w:cs="Times New Roman"/>
          <w:kern w:val="0"/>
        </w:rPr>
        <w:t xml:space="preserve"> </w:t>
      </w:r>
      <w:r>
        <w:rPr>
          <w:rFonts w:ascii="Times New Roman" w:hAnsi="Times New Roman" w:cs="Times New Roman"/>
          <w:kern w:val="0"/>
        </w:rPr>
        <w:t>net-selling</w:t>
      </w:r>
      <w:r w:rsidRPr="003410DE">
        <w:rPr>
          <w:rFonts w:ascii="Times New Roman" w:hAnsi="Times New Roman" w:cs="Times New Roman"/>
          <w:kern w:val="0"/>
        </w:rPr>
        <w:t>)</w:t>
      </w:r>
      <w:r>
        <w:rPr>
          <w:rFonts w:ascii="Times New Roman" w:hAnsi="Times New Roman" w:cs="Times New Roman"/>
        </w:rPr>
        <w:t xml:space="preserve">. </w:t>
      </w:r>
      <w:r w:rsidRPr="00B063F8">
        <w:rPr>
          <w:rFonts w:ascii="Times New Roman" w:hAnsi="Times New Roman" w:cs="Times New Roman"/>
          <w:kern w:val="0"/>
        </w:rPr>
        <w:t>The coefficients</w:t>
      </w:r>
      <w:r>
        <w:rPr>
          <w:rFonts w:ascii="Times New Roman" w:hAnsi="Times New Roman" w:cs="Times New Roman"/>
          <w:kern w:val="0"/>
        </w:rPr>
        <w:t xml:space="preserve"> of </w:t>
      </w:r>
      <w:r w:rsidRPr="00F104AC">
        <w:rPr>
          <w:rFonts w:ascii="Times New Roman" w:hAnsi="Times New Roman" w:cs="Times New Roman"/>
          <w:i/>
        </w:rPr>
        <w:t>β</w:t>
      </w:r>
      <w:r w:rsidRPr="00F104AC">
        <w:rPr>
          <w:rFonts w:ascii="Times New Roman" w:hAnsi="Times New Roman" w:cs="Times New Roman"/>
          <w:i/>
          <w:vertAlign w:val="superscript"/>
        </w:rPr>
        <w:t>AdjDITH</w:t>
      </w:r>
      <w:r w:rsidRPr="00B063F8">
        <w:rPr>
          <w:rFonts w:ascii="Times New Roman" w:hAnsi="Times New Roman" w:cs="Times New Roman"/>
          <w:kern w:val="0"/>
        </w:rPr>
        <w:t xml:space="preserve"> and</w:t>
      </w:r>
      <w:r>
        <w:rPr>
          <w:rFonts w:ascii="Times New Roman" w:hAnsi="Times New Roman" w:cs="Times New Roman"/>
          <w:kern w:val="0"/>
        </w:rPr>
        <w:t xml:space="preserve"> </w:t>
      </w:r>
      <w:r w:rsidRPr="00F104AC">
        <w:rPr>
          <w:rFonts w:ascii="Times New Roman" w:hAnsi="Times New Roman" w:cs="Times New Roman"/>
          <w:i/>
        </w:rPr>
        <w:t>β</w:t>
      </w:r>
      <w:r>
        <w:rPr>
          <w:rFonts w:ascii="Times New Roman" w:hAnsi="Times New Roman" w:cs="Times New Roman"/>
          <w:i/>
          <w:vertAlign w:val="superscript"/>
        </w:rPr>
        <w:t>AdjDIND</w:t>
      </w:r>
      <w:r w:rsidRPr="00B063F8">
        <w:rPr>
          <w:rFonts w:ascii="Times New Roman" w:hAnsi="Times New Roman" w:cs="Times New Roman"/>
          <w:kern w:val="0"/>
        </w:rPr>
        <w:t xml:space="preserve"> in Equation (</w:t>
      </w:r>
      <w:r>
        <w:rPr>
          <w:rFonts w:ascii="Times New Roman" w:hAnsi="Times New Roman" w:cs="Times New Roman"/>
          <w:kern w:val="0"/>
        </w:rPr>
        <w:t>1</w:t>
      </w:r>
      <w:r w:rsidRPr="00B063F8">
        <w:rPr>
          <w:rFonts w:ascii="Times New Roman" w:hAnsi="Times New Roman" w:cs="Times New Roman"/>
          <w:kern w:val="0"/>
        </w:rPr>
        <w:t xml:space="preserve">) denote the </w:t>
      </w:r>
      <w:r>
        <w:rPr>
          <w:rFonts w:ascii="Times New Roman" w:hAnsi="Times New Roman" w:cs="Times New Roman"/>
          <w:kern w:val="0"/>
        </w:rPr>
        <w:t>institutional trading</w:t>
      </w:r>
      <w:r w:rsidRPr="00B063F8">
        <w:rPr>
          <w:rFonts w:ascii="Times New Roman" w:hAnsi="Times New Roman" w:cs="Times New Roman"/>
          <w:kern w:val="0"/>
        </w:rPr>
        <w:t xml:space="preserve"> beta and orthogonalized </w:t>
      </w:r>
      <w:r>
        <w:rPr>
          <w:rFonts w:ascii="Times New Roman" w:hAnsi="Times New Roman" w:cs="Times New Roman"/>
          <w:kern w:val="0"/>
        </w:rPr>
        <w:t>individual trading</w:t>
      </w:r>
      <w:r w:rsidRPr="00B063F8">
        <w:rPr>
          <w:rFonts w:ascii="Times New Roman" w:hAnsi="Times New Roman" w:cs="Times New Roman"/>
          <w:kern w:val="0"/>
        </w:rPr>
        <w:t xml:space="preserve"> beta, respectively. They measure the sensitivities of returns on </w:t>
      </w:r>
      <w:r w:rsidRPr="00185637">
        <w:rPr>
          <w:rFonts w:ascii="Times New Roman" w:hAnsi="Times New Roman" w:cs="Times New Roman"/>
          <w:i/>
        </w:rPr>
        <w:t>BE/ME</w:t>
      </w:r>
      <w:r>
        <w:rPr>
          <w:rFonts w:ascii="Times New Roman" w:hAnsi="Times New Roman" w:cs="Times New Roman"/>
          <w:kern w:val="0"/>
        </w:rPr>
        <w:t xml:space="preserve"> premium (or size premium) </w:t>
      </w:r>
      <w:r w:rsidRPr="00B063F8">
        <w:rPr>
          <w:rFonts w:ascii="Times New Roman" w:hAnsi="Times New Roman" w:cs="Times New Roman"/>
          <w:kern w:val="0"/>
        </w:rPr>
        <w:t xml:space="preserve">to </w:t>
      </w:r>
      <w:r>
        <w:rPr>
          <w:rFonts w:ascii="Times New Roman" w:hAnsi="Times New Roman" w:cs="Times New Roman"/>
          <w:kern w:val="0"/>
        </w:rPr>
        <w:t>institutional trading</w:t>
      </w:r>
      <w:r w:rsidRPr="00B063F8">
        <w:rPr>
          <w:rFonts w:ascii="Times New Roman" w:hAnsi="Times New Roman" w:cs="Times New Roman"/>
          <w:kern w:val="0"/>
        </w:rPr>
        <w:t xml:space="preserve"> and </w:t>
      </w:r>
      <w:r>
        <w:rPr>
          <w:rFonts w:ascii="Times New Roman" w:hAnsi="Times New Roman" w:cs="Times New Roman"/>
          <w:kern w:val="0"/>
        </w:rPr>
        <w:t>individual trading</w:t>
      </w:r>
      <w:r w:rsidRPr="00B063F8">
        <w:rPr>
          <w:rFonts w:ascii="Times New Roman" w:hAnsi="Times New Roman" w:cs="Times New Roman"/>
          <w:kern w:val="0"/>
        </w:rPr>
        <w:t>.</w:t>
      </w:r>
    </w:p>
    <w:p w:rsidR="00523FB7" w:rsidRDefault="00523FB7" w:rsidP="00BF7686">
      <w:pPr>
        <w:snapToGrid w:val="0"/>
        <w:spacing w:line="480" w:lineRule="auto"/>
        <w:ind w:firstLine="480"/>
        <w:jc w:val="both"/>
        <w:rPr>
          <w:rFonts w:ascii="Times New Roman" w:hAnsi="Times New Roman" w:cs="Times New Roman"/>
        </w:rPr>
      </w:pPr>
      <w:r w:rsidRPr="002C0FB5">
        <w:rPr>
          <w:rFonts w:ascii="Times New Roman" w:hAnsi="Times New Roman" w:cs="Times New Roman"/>
        </w:rPr>
        <w:t xml:space="preserve">Based on the estimated </w:t>
      </w:r>
      <w:r>
        <w:rPr>
          <w:rFonts w:ascii="Times New Roman" w:hAnsi="Times New Roman" w:cs="Times New Roman"/>
        </w:rPr>
        <w:t>institutional trading and individual trading</w:t>
      </w:r>
      <w:r w:rsidRPr="002C0FB5">
        <w:rPr>
          <w:rFonts w:ascii="Times New Roman" w:hAnsi="Times New Roman" w:cs="Times New Roman"/>
        </w:rPr>
        <w:t xml:space="preserve"> betas, we can decompose the variance of a </w:t>
      </w:r>
      <w:r w:rsidRPr="00185637">
        <w:rPr>
          <w:rFonts w:ascii="Times New Roman" w:hAnsi="Times New Roman" w:cs="Times New Roman"/>
          <w:i/>
        </w:rPr>
        <w:t>BE/ME</w:t>
      </w:r>
      <w:r>
        <w:rPr>
          <w:rFonts w:ascii="Times New Roman" w:hAnsi="Times New Roman" w:cs="Times New Roman"/>
        </w:rPr>
        <w:t xml:space="preserve"> (</w:t>
      </w:r>
      <w:r w:rsidRPr="00D06C24">
        <w:rPr>
          <w:rFonts w:ascii="Times New Roman" w:hAnsi="Times New Roman" w:cs="Times New Roman"/>
          <w:i/>
        </w:rPr>
        <w:t>R</w:t>
      </w:r>
      <w:r w:rsidRPr="00D06C24">
        <w:rPr>
          <w:rFonts w:ascii="Times New Roman" w:hAnsi="Times New Roman" w:cs="Times New Roman"/>
          <w:i/>
          <w:vertAlign w:val="subscript"/>
        </w:rPr>
        <w:t>HML</w:t>
      </w:r>
      <w:r>
        <w:rPr>
          <w:rFonts w:ascii="Times New Roman" w:hAnsi="Times New Roman" w:cs="Times New Roman"/>
        </w:rPr>
        <w:t xml:space="preserve">) premium </w:t>
      </w:r>
      <w:r w:rsidRPr="002C0FB5">
        <w:rPr>
          <w:rFonts w:ascii="Times New Roman" w:hAnsi="Times New Roman" w:cs="Times New Roman"/>
        </w:rPr>
        <w:t xml:space="preserve">into </w:t>
      </w:r>
      <w:r w:rsidRPr="00D13B4B">
        <w:rPr>
          <w:rFonts w:ascii="Times New Roman" w:hAnsi="Times New Roman" w:cs="Times New Roman"/>
          <w:kern w:val="0"/>
        </w:rPr>
        <w:t>three possible channels</w:t>
      </w:r>
      <w:r w:rsidRPr="00F104AC">
        <w:rPr>
          <w:rFonts w:ascii="Times New Roman" w:hAnsi="Times New Roman" w:cs="Times New Roman"/>
        </w:rPr>
        <w:t>: (i) (</w:t>
      </w:r>
      <w:r w:rsidRPr="00F104AC">
        <w:rPr>
          <w:rFonts w:ascii="Times New Roman" w:hAnsi="Times New Roman" w:cs="Times New Roman"/>
          <w:i/>
        </w:rPr>
        <w:t>β</w:t>
      </w:r>
      <w:r w:rsidRPr="00F104AC">
        <w:rPr>
          <w:rFonts w:ascii="Times New Roman" w:hAnsi="Times New Roman" w:cs="Times New Roman"/>
          <w:i/>
          <w:vertAlign w:val="superscript"/>
        </w:rPr>
        <w:t>AdjDITH</w:t>
      </w:r>
      <w:r w:rsidRPr="00F104AC">
        <w:rPr>
          <w:rFonts w:ascii="Times New Roman" w:hAnsi="Times New Roman" w:cs="Times New Roman"/>
        </w:rPr>
        <w:t>)</w:t>
      </w:r>
      <w:r w:rsidRPr="00F104AC">
        <w:rPr>
          <w:rFonts w:ascii="Times New Roman" w:hAnsi="Times New Roman" w:cs="Times New Roman"/>
          <w:vertAlign w:val="superscript"/>
        </w:rPr>
        <w:t xml:space="preserve">2 </w:t>
      </w:r>
      <w:r w:rsidRPr="00F104AC">
        <w:rPr>
          <w:rFonts w:ascii="Times New Roman" w:hAnsi="Times New Roman" w:cs="Times New Roman"/>
        </w:rPr>
        <w:t xml:space="preserve">× </w:t>
      </w:r>
      <w:r w:rsidRPr="00F104AC">
        <w:rPr>
          <w:rFonts w:ascii="Times New Roman" w:hAnsi="Times New Roman" w:cs="Times New Roman"/>
          <w:i/>
        </w:rPr>
        <w:t>Var</w:t>
      </w:r>
      <w:r w:rsidRPr="00F104AC">
        <w:rPr>
          <w:rFonts w:ascii="Times New Roman" w:hAnsi="Times New Roman" w:cs="Times New Roman"/>
        </w:rPr>
        <w:t>(</w:t>
      </w:r>
      <w:r w:rsidRPr="00F104AC">
        <w:rPr>
          <w:rFonts w:ascii="Times New Roman" w:hAnsi="Times New Roman" w:cs="Times New Roman"/>
          <w:i/>
        </w:rPr>
        <w:t>R</w:t>
      </w:r>
      <w:r w:rsidRPr="00F104AC">
        <w:rPr>
          <w:rFonts w:ascii="Times New Roman" w:hAnsi="Times New Roman" w:cs="Times New Roman"/>
          <w:i/>
          <w:vertAlign w:val="subscript"/>
        </w:rPr>
        <w:t>AdjDITH</w:t>
      </w:r>
      <w:r w:rsidRPr="00F104AC">
        <w:rPr>
          <w:rFonts w:ascii="Times New Roman" w:hAnsi="Times New Roman" w:cs="Times New Roman"/>
        </w:rPr>
        <w:t>), the component</w:t>
      </w:r>
      <w:r>
        <w:rPr>
          <w:rFonts w:ascii="Times New Roman" w:hAnsi="Times New Roman" w:cs="Times New Roman"/>
        </w:rPr>
        <w:t xml:space="preserve"> </w:t>
      </w:r>
      <w:r w:rsidRPr="002C0FB5">
        <w:rPr>
          <w:rFonts w:ascii="Times New Roman" w:hAnsi="Times New Roman" w:cs="Times New Roman"/>
        </w:rPr>
        <w:t xml:space="preserve">attributable to the volatility of the </w:t>
      </w:r>
      <w:r>
        <w:rPr>
          <w:rFonts w:ascii="Times New Roman" w:hAnsi="Times New Roman" w:cs="Times New Roman"/>
        </w:rPr>
        <w:t xml:space="preserve">institutional trading </w:t>
      </w:r>
      <w:r w:rsidRPr="002C0FB5">
        <w:rPr>
          <w:rFonts w:ascii="Times New Roman" w:hAnsi="Times New Roman" w:cs="Times New Roman"/>
        </w:rPr>
        <w:t>portfolio, (ii)</w:t>
      </w:r>
      <w:r>
        <w:rPr>
          <w:rFonts w:ascii="Times New Roman" w:hAnsi="Times New Roman" w:cs="Times New Roman"/>
        </w:rPr>
        <w:t xml:space="preserve"> </w:t>
      </w:r>
      <w:r w:rsidRPr="00F104AC">
        <w:rPr>
          <w:rFonts w:ascii="Times New Roman" w:hAnsi="Times New Roman" w:cs="Times New Roman"/>
        </w:rPr>
        <w:t>(</w:t>
      </w:r>
      <w:r w:rsidRPr="00F104AC">
        <w:rPr>
          <w:rFonts w:ascii="Times New Roman" w:hAnsi="Times New Roman" w:cs="Times New Roman"/>
          <w:i/>
        </w:rPr>
        <w:t>β</w:t>
      </w:r>
      <w:r>
        <w:rPr>
          <w:rFonts w:ascii="Times New Roman" w:hAnsi="Times New Roman" w:cs="Times New Roman"/>
          <w:i/>
          <w:vertAlign w:val="superscript"/>
        </w:rPr>
        <w:t>AdjDIND</w:t>
      </w:r>
      <w:r w:rsidRPr="00F104AC">
        <w:rPr>
          <w:rFonts w:ascii="Times New Roman" w:hAnsi="Times New Roman" w:cs="Times New Roman"/>
        </w:rPr>
        <w:t>)</w:t>
      </w:r>
      <w:r w:rsidRPr="00F104AC">
        <w:rPr>
          <w:rFonts w:ascii="Times New Roman" w:hAnsi="Times New Roman" w:cs="Times New Roman"/>
          <w:vertAlign w:val="superscript"/>
        </w:rPr>
        <w:t xml:space="preserve">2 </w:t>
      </w:r>
      <w:r w:rsidRPr="00F104AC">
        <w:rPr>
          <w:rFonts w:ascii="Times New Roman" w:hAnsi="Times New Roman" w:cs="Times New Roman"/>
        </w:rPr>
        <w:t xml:space="preserve">× </w:t>
      </w:r>
      <w:r w:rsidRPr="00F104AC">
        <w:rPr>
          <w:rFonts w:ascii="Times New Roman" w:hAnsi="Times New Roman" w:cs="Times New Roman"/>
          <w:i/>
        </w:rPr>
        <w:t>Var</w:t>
      </w:r>
      <w:r w:rsidRPr="00F104AC">
        <w:rPr>
          <w:rFonts w:ascii="Times New Roman" w:hAnsi="Times New Roman" w:cs="Times New Roman"/>
        </w:rPr>
        <w:t>(</w:t>
      </w:r>
      <w:r w:rsidRPr="00F104AC">
        <w:rPr>
          <w:rFonts w:ascii="Times New Roman" w:hAnsi="Times New Roman" w:cs="Times New Roman"/>
          <w:i/>
        </w:rPr>
        <w:t>R</w:t>
      </w:r>
      <w:r w:rsidRPr="00F104AC">
        <w:rPr>
          <w:rFonts w:ascii="Times New Roman" w:hAnsi="Times New Roman" w:cs="Times New Roman"/>
          <w:i/>
          <w:vertAlign w:val="subscript"/>
        </w:rPr>
        <w:t>AdjDI</w:t>
      </w:r>
      <w:r>
        <w:rPr>
          <w:rFonts w:ascii="Times New Roman" w:hAnsi="Times New Roman" w:cs="Times New Roman"/>
          <w:i/>
          <w:vertAlign w:val="subscript"/>
        </w:rPr>
        <w:t>ND</w:t>
      </w:r>
      <w:r w:rsidRPr="00F104AC">
        <w:rPr>
          <w:rFonts w:ascii="Times New Roman" w:hAnsi="Times New Roman" w:cs="Times New Roman"/>
        </w:rPr>
        <w:t>)</w:t>
      </w:r>
      <w:r w:rsidRPr="002C0FB5">
        <w:rPr>
          <w:rFonts w:ascii="Times New Roman" w:hAnsi="Times New Roman" w:cs="Times New Roman"/>
        </w:rPr>
        <w:t>, the component attributable to the volatility of</w:t>
      </w:r>
      <w:r>
        <w:rPr>
          <w:rFonts w:ascii="Times New Roman" w:hAnsi="Times New Roman" w:cs="Times New Roman"/>
        </w:rPr>
        <w:t xml:space="preserve"> individual trading</w:t>
      </w:r>
      <w:r w:rsidRPr="002C0FB5">
        <w:rPr>
          <w:rFonts w:ascii="Times New Roman" w:hAnsi="Times New Roman" w:cs="Times New Roman"/>
        </w:rPr>
        <w:t xml:space="preserve"> portfolio, and (iii) </w:t>
      </w:r>
      <w:r w:rsidRPr="00FD1C18">
        <w:rPr>
          <w:rFonts w:ascii="Times New Roman" w:hAnsi="Times New Roman" w:cs="Times New Roman"/>
          <w:i/>
        </w:rPr>
        <w:t>Var</w:t>
      </w:r>
      <w:r w:rsidRPr="00FD1C18">
        <w:rPr>
          <w:rFonts w:ascii="Times New Roman" w:hAnsi="Times New Roman" w:cs="Times New Roman"/>
        </w:rPr>
        <w:t>(</w:t>
      </w:r>
      <w:r w:rsidRPr="00FD1C18">
        <w:rPr>
          <w:rFonts w:ascii="新細明體" w:cs="Times New Roman" w:hint="eastAsia"/>
          <w:i/>
        </w:rPr>
        <w:t>ε</w:t>
      </w:r>
      <w:r w:rsidRPr="00FD1C18">
        <w:rPr>
          <w:rFonts w:ascii="Times New Roman" w:hAnsi="Times New Roman" w:cs="Times New Roman"/>
        </w:rPr>
        <w:t>)</w:t>
      </w:r>
      <w:r w:rsidRPr="002C0FB5">
        <w:rPr>
          <w:rFonts w:ascii="Times New Roman" w:hAnsi="Times New Roman" w:cs="Times New Roman"/>
        </w:rPr>
        <w:t>, the</w:t>
      </w:r>
      <w:r>
        <w:rPr>
          <w:rFonts w:ascii="Times New Roman" w:hAnsi="Times New Roman" w:cs="Times New Roman"/>
        </w:rPr>
        <w:t xml:space="preserve"> </w:t>
      </w:r>
      <w:r w:rsidRPr="002C0FB5">
        <w:rPr>
          <w:rFonts w:ascii="Times New Roman" w:hAnsi="Times New Roman" w:cs="Times New Roman"/>
        </w:rPr>
        <w:t xml:space="preserve">idiosyncratic volatility of the </w:t>
      </w:r>
      <w:r w:rsidRPr="00185637">
        <w:rPr>
          <w:rFonts w:ascii="Times New Roman" w:hAnsi="Times New Roman" w:cs="Times New Roman"/>
          <w:i/>
        </w:rPr>
        <w:t>BE/ME</w:t>
      </w:r>
      <w:r>
        <w:rPr>
          <w:rFonts w:ascii="Times New Roman" w:hAnsi="Times New Roman" w:cs="Times New Roman"/>
        </w:rPr>
        <w:t xml:space="preserve"> premium </w:t>
      </w:r>
      <w:r w:rsidRPr="002C0FB5">
        <w:rPr>
          <w:rFonts w:ascii="Times New Roman" w:hAnsi="Times New Roman" w:cs="Times New Roman"/>
        </w:rPr>
        <w:t>itself. The variance</w:t>
      </w:r>
      <w:r>
        <w:rPr>
          <w:rFonts w:ascii="Times New Roman" w:hAnsi="Times New Roman" w:cs="Times New Roman"/>
        </w:rPr>
        <w:t xml:space="preserve"> </w:t>
      </w:r>
      <w:r w:rsidRPr="002C0FB5">
        <w:rPr>
          <w:rFonts w:ascii="Times New Roman" w:hAnsi="Times New Roman" w:cs="Times New Roman"/>
        </w:rPr>
        <w:t xml:space="preserve">of a </w:t>
      </w:r>
      <w:r w:rsidRPr="00185637">
        <w:rPr>
          <w:rFonts w:ascii="Times New Roman" w:hAnsi="Times New Roman" w:cs="Times New Roman"/>
          <w:i/>
        </w:rPr>
        <w:t>BE/ME</w:t>
      </w:r>
      <w:r w:rsidRPr="002C0FB5">
        <w:rPr>
          <w:rFonts w:ascii="Times New Roman" w:hAnsi="Times New Roman" w:cs="Times New Roman"/>
        </w:rPr>
        <w:t xml:space="preserve"> </w:t>
      </w:r>
      <w:r>
        <w:rPr>
          <w:rFonts w:ascii="Times New Roman" w:hAnsi="Times New Roman" w:cs="Times New Roman"/>
        </w:rPr>
        <w:t>premium</w:t>
      </w:r>
      <w:r w:rsidRPr="002C0FB5">
        <w:rPr>
          <w:rFonts w:ascii="Times New Roman" w:hAnsi="Times New Roman" w:cs="Times New Roman"/>
        </w:rPr>
        <w:t xml:space="preserve"> is written as</w:t>
      </w:r>
      <w:r>
        <w:rPr>
          <w:rFonts w:ascii="Times New Roman" w:hAnsi="Times New Roman" w:cs="Times New Roman"/>
        </w:rPr>
        <w:t>:</w:t>
      </w:r>
    </w:p>
    <w:tbl>
      <w:tblPr>
        <w:tblW w:w="0" w:type="auto"/>
        <w:tblLook w:val="00A0"/>
      </w:tblPr>
      <w:tblGrid>
        <w:gridCol w:w="7621"/>
        <w:gridCol w:w="741"/>
      </w:tblGrid>
      <w:tr w:rsidR="00523FB7" w:rsidRPr="00740526" w:rsidTr="00740526">
        <w:tc>
          <w:tcPr>
            <w:tcW w:w="7621" w:type="dxa"/>
          </w:tcPr>
          <w:p w:rsidR="00523FB7" w:rsidRPr="00740526" w:rsidRDefault="00523FB7" w:rsidP="00740526">
            <w:pPr>
              <w:snapToGrid w:val="0"/>
              <w:spacing w:line="480" w:lineRule="auto"/>
              <w:jc w:val="both"/>
              <w:rPr>
                <w:rFonts w:ascii="Times New Roman" w:hAnsi="Times New Roman" w:cs="Times New Roman"/>
              </w:rPr>
            </w:pPr>
            <w:r w:rsidRPr="00740526">
              <w:rPr>
                <w:rFonts w:ascii="Times New Roman" w:hAnsi="Times New Roman" w:cs="Times New Roman"/>
                <w:position w:val="-12"/>
              </w:rPr>
              <w:object w:dxaOrig="6100" w:dyaOrig="340">
                <v:shape id="_x0000_i1026" type="#_x0000_t75" style="width:305.25pt;height:17.25pt" o:ole="">
                  <v:imagedata r:id="rId10" o:title=""/>
                </v:shape>
                <o:OLEObject Type="Embed" ProgID="Equation.DSMT4" ShapeID="_x0000_i1026" DrawAspect="Content" ObjectID="_1407004456" r:id="rId11"/>
              </w:object>
            </w:r>
            <w:r w:rsidRPr="00740526">
              <w:rPr>
                <w:rFonts w:ascii="Times New Roman" w:hAnsi="Times New Roman" w:cs="Times New Roman"/>
                <w:position w:val="-12"/>
              </w:rPr>
              <w:t>.</w:t>
            </w:r>
          </w:p>
        </w:tc>
        <w:tc>
          <w:tcPr>
            <w:tcW w:w="741" w:type="dxa"/>
          </w:tcPr>
          <w:p w:rsidR="00523FB7" w:rsidRPr="00740526" w:rsidRDefault="00523FB7" w:rsidP="00740526">
            <w:pPr>
              <w:snapToGrid w:val="0"/>
              <w:spacing w:line="480" w:lineRule="auto"/>
              <w:jc w:val="right"/>
              <w:rPr>
                <w:rFonts w:ascii="Times New Roman" w:hAnsi="Times New Roman" w:cs="Times New Roman"/>
              </w:rPr>
            </w:pPr>
            <w:r w:rsidRPr="00740526">
              <w:rPr>
                <w:rFonts w:ascii="Times New Roman" w:hAnsi="Times New Roman" w:cs="Times New Roman"/>
              </w:rPr>
              <w:t>(2)</w:t>
            </w:r>
          </w:p>
        </w:tc>
      </w:tr>
    </w:tbl>
    <w:p w:rsidR="00523FB7" w:rsidRPr="002C0FB5" w:rsidRDefault="00523FB7" w:rsidP="00BF7686">
      <w:pPr>
        <w:snapToGrid w:val="0"/>
        <w:spacing w:line="480" w:lineRule="auto"/>
        <w:rPr>
          <w:rFonts w:ascii="Times New Roman" w:hAnsi="Times New Roman" w:cs="Times New Roman"/>
        </w:rPr>
      </w:pPr>
      <w:r w:rsidRPr="002C0FB5">
        <w:rPr>
          <w:rFonts w:ascii="Times New Roman" w:hAnsi="Times New Roman" w:cs="Times New Roman"/>
        </w:rPr>
        <w:t>Each part of the decomposition can be calculated as follows:</w:t>
      </w:r>
    </w:p>
    <w:p w:rsidR="00523FB7" w:rsidRDefault="00523FB7" w:rsidP="00BF7686">
      <w:pPr>
        <w:snapToGrid w:val="0"/>
        <w:spacing w:line="480" w:lineRule="auto"/>
        <w:rPr>
          <w:rFonts w:ascii="Times New Roman" w:hAnsi="Times New Roman" w:cs="Times New Roman"/>
        </w:rPr>
      </w:pPr>
      <w:r w:rsidRPr="00740526">
        <w:rPr>
          <w:rFonts w:ascii="Times New Roman" w:hAnsi="Times New Roman" w:cs="Times New Roman"/>
          <w:position w:val="-12"/>
        </w:rPr>
        <w:fldChar w:fldCharType="begin"/>
      </w:r>
      <w:r w:rsidRPr="00740526">
        <w:rPr>
          <w:rFonts w:ascii="Times New Roman" w:hAnsi="Times New Roman" w:cs="Times New Roman"/>
          <w:position w:val="-12"/>
        </w:rPr>
        <w:instrText xml:space="preserve"> QUOTE </w:instrText>
      </w:r>
      <w:r w:rsidRPr="00740526">
        <w:pict>
          <v:shape id="_x0000_i1027" type="#_x0000_t75" style="width:342.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2&lt;/o:Version&gt;&lt;/o:DocumentProperties&gt;&lt;w:docOleData&gt;&lt;w:binData w:name=&quot;oledata.mso&quot; xml:space=&quot;preserve&quot;&gt;0M8R4KGxGuEAAAAAAAAAAAAAAAAAAAAAPgADAP7/CQAGAAAAAAAAAAAAAAABAAAAAQAAAAAAAAAA&#10;&#10;EAAAAgAAAAEAAAD+////AAAAAAAAAAD/////////////////////////////////////////////&#10;&#10;////////////////////////////////////////////////////////////////////////////&#10;&#10;////////////////////////////////////////////////////////////////////////////&#10;&#10;////////////////////////////////////////////////////////////////////////////&#10;&#10;////////////////////////////////////////////////////////////////////////////&#10;&#10;////////////////////////////////////////////////////////////////////////////&#10;&#10;////////////////////////////////////////////////////////////////////////////&#10;&#10;///////////////////////////////////////////////////////////////////////////9&#10;&#10;/////v////7///8EAAAA/v//////////////////////////////////////////////////////&#10;&#10;////////////////////////////////////////////////////////////////////////////&#10;&#10;////////////////////////////////////////////////////////////////////////////&#10;&#10;////////////////////////////////////////////////////////////////////////////&#10;&#10;////////////////////////////////////////////////////////////////////////////&#10;&#10;////////////////////////////////////////////////////////////////////////////&#10;&#10;////////////////////////////////////////////////////////////////////////////&#10;&#10;////////////////////////////////////////////////////////////////////////////&#10;&#10;/////////////////////////////////////////////////////////////////////////1IA&#10;&#10;bwBvAHQAIABFAG4AdAByAHkAAAAAAAAAAAAAAAAAAAAAAAAAAAAAAAAAAAAAAAAAAAAAAAAAAAAA&#10;&#10;AAAAAAAWAAUA//////////8BAAAAAAAAAAAAAAAAAAAAAAAAAAAAAAAAAAAAAAAAALDCNzzafs0B&#10;&#10;AwAAAMACAAAAAAAAXwAxADQAMAA3ADAAMAA0ADMANgAyAAAAAAAAAAAAAAAAAAAAAAAAAAAAAAAA&#10;&#10;AAAAAAAAAAAAAAAAAAAAAAAAABgAAgH///////////////8AAAAAAAAAAAAAAAAAAAAAAAAAAAAA&#10;&#10;AAAAAAAAAAAAAAAAAAAAAAAAmAIAAAAAAAAAAAAAAAAAAAAAAAAAAAAAAAAAAAAAAAAAAAAAAAAA&#10;&#10;AAAAAAAAAAAAAAAAAAAAAAAAAAAAAAAAAAAAAAAAAAAAAAAAAP///////////////wAAAAAAAAAA&#10;&#10;AAAAAAAAAAAAAAAAAAAAAAAAAAAAAAAAAAAAAAAAAAAAAAAAAAAAAAAAAAAAAAAAAAAAAAAAAAAA&#10;&#10;AAAAAAAAAAAAAAAAAAAAAAAAAAAAAAAAAAAAAAAAAAAAAAAAAAAAAAAAAAAAAAAAAAAA////////&#10;&#10;////////AAAAAAAAAAAAAAAAAAAAAAAAAAAAAAAAAAAAAAAAAAAAAAAAAAAAAAAAAAAAAAAAAQAA&#10;&#10;AAIAAAADAAAABAAAAAUAAAAGAAAABwAAAAgAAAAJAAAACgAAAP7/////////////////////////&#10;&#10;////////////////////////////////////////////////////////////////////////////&#10;&#10;////////////////////////////////////////////////////////////////////////////&#10;&#10;////////////////////////////////////////////////////////////////////////////&#10;&#10;////////////////////////////////////////////////////////////////////////////&#10;&#10;////////////////////////////////////////////////////////////////////////////&#10;&#10;////////////////////////////////////////////////////////////////////////////&#10;&#10;////////////////////////////////////////////////////////////////////////////&#10;&#10;//////////////////////////////////////////////////////////////////////8ADgAA&#10;&#10;eJztVk1oE0EUfruziWkS2MSfgj/oehC00FpECoKIm2RrCqaGNNiLEDZ21S1JtvlTc1GwUrzl5t2j&#10;&#10;R4PgtQge/UEPgic9evEge1Ew8b3NrC5B2k0VpZIvmTczb2be92b2zdt99TL+/sGjfR9gAGeAQbc3&#10;&#10;BkGPTuDFQQxA5P1ur9dz1b0RthW+YZH4MwzwuvuPfRrh7yEHFv4aoIAGFaxr0BpMBRtiHAI/7jzl&#10;&#10;A/ZCdPTr/eFZ79z1+9On3916LjDqMDenXIASGENxehEGUfDux++63eDyJ3H/ZVhBP4qwPDT/TuSn&#10;&#10;HEjb8ctP803eZpx3Dk//CnqyFX7ilYbgJ1/dvN7lz8299wE+tgNLCMsY0BkDRPicEf4vYCyKoYH4&#10;&#10;SC/u9R1/AkYFC/djb/Duj6PI6I1r+daKocxMTStatak3TKsCUe+INgsy9t3BqdRCJn8S7FOdqi8P&#10;&#10;2M9vki3gANB3zJenr9HIJZgUY2s5Rx/FdkDAq0DezICwa9GsqKVSQq+bl5PWkpHVrxp1iAfyZtmo&#10;&#10;K/PGDSVnlfUKxNlCq1y0SjiUtJo106jRIMSlTF7RbjZqOnBLHiPBJ/XOm4dfn32cxBkJvNKhw7LW&#10;&#10;Th1Xs3ZMPldQs58PHcT2HlkFW7OP2O1EAVsxOUlVW7MnCmm77WjOYn07jQ11opAqaDb9VTkq4BEJ&#10;&#10;IgK3KmC6oiOTMHGHBcz6VWiCjpnfxOxTwffAPO9d95WVFTTpjSc/Z0656tPvPLQBDMv/p7Gd+RlE&#10;&#10;ghgNItw5CqJ0t8OKjO5EhMJEhFWVxBKJZRIpEnMk8iTSaCCMS4+Bd9G9E45aWnsLj3HSRZqpk6hx&#10;&#10;GljN4YL9tMAXB1rtsziObm4wTSJD4rx38Qi/wHevCXdQ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10;&#10;&lt;/w:binData&gt;&lt;/w:docOleData&gt;&lt;w:docPr&gt;&lt;w:view w:val=&quot;print&quot;/&gt;&lt;w:zoom w:percent=&quot;170&quot;/&gt;&lt;w:bordersDontSurroundHeader/&gt;&lt;w:bordersDontSurroundFooter/&gt;&lt;w:defaultTabStop w:val=&quot;480&quot;/&gt;&lt;w:doNotHyphenateCaps/&gt;&lt;w:drawingGridHorizontalSpacing w:val=&quot;120&quot;/&gt;&lt;w:displayHorizontalDrawingGridEvery w:val=&quot;0&quot;/&gt;&lt;w:displayVerticalDrawingGridEvery w:val=&quot;2&quot;/&gt;&lt;w:punctuationKerning/&gt;&lt;w:characterSpacingControl w:val=&quot;CompressPunctuation&quot;/&gt;&lt;w:noLineBreaksAfter w:lang=&quot;ZH-TW&quot; w:val=&quot;([{瞿瞼ri">
            <v:imagedata r:id="rId12" o:title="" chromakey="white"/>
          </v:shape>
        </w:pict>
      </w:r>
      <w:r w:rsidRPr="00740526">
        <w:rPr>
          <w:rFonts w:ascii="Times New Roman" w:hAnsi="Times New Roman" w:cs="Times New Roman"/>
          <w:position w:val="-12"/>
        </w:rPr>
        <w:instrText xml:space="preserve"> </w:instrText>
      </w:r>
      <w:r w:rsidRPr="00740526">
        <w:rPr>
          <w:rFonts w:ascii="Times New Roman" w:hAnsi="Times New Roman" w:cs="Times New Roman"/>
          <w:position w:val="-12"/>
        </w:rPr>
        <w:fldChar w:fldCharType="separate"/>
      </w:r>
      <w:r w:rsidRPr="00740526">
        <w:pict>
          <v:shape id="_x0000_i1028" type="#_x0000_t75" style="width:342.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2&lt;/o:Version&gt;&lt;/o:DocumentProperties&gt;&lt;w:docOleData&gt;&lt;w:binData w:name=&quot;oledata.mso&quot; xml:space=&quot;preserve&quot;&gt;0M8R4KGxGuEAAAAAAAAAAAAAAAAAAAAAPgADAP7/CQAGAAAAAAAAAAAAAAABAAAAAQAAAAAAAAAA&#10;&#10;EAAAAgAAAAEAAAD+////AAAAAAAAAAD/////////////////////////////////////////////&#10;&#10;////////////////////////////////////////////////////////////////////////////&#10;&#10;////////////////////////////////////////////////////////////////////////////&#10;&#10;////////////////////////////////////////////////////////////////////////////&#10;&#10;////////////////////////////////////////////////////////////////////////////&#10;&#10;////////////////////////////////////////////////////////////////////////////&#10;&#10;////////////////////////////////////////////////////////////////////////////&#10;&#10;///////////////////////////////////////////////////////////////////////////9&#10;&#10;/////v////7///8EAAAA/v//////////////////////////////////////////////////////&#10;&#10;////////////////////////////////////////////////////////////////////////////&#10;&#10;////////////////////////////////////////////////////////////////////////////&#10;&#10;////////////////////////////////////////////////////////////////////////////&#10;&#10;////////////////////////////////////////////////////////////////////////////&#10;&#10;////////////////////////////////////////////////////////////////////////////&#10;&#10;////////////////////////////////////////////////////////////////////////////&#10;&#10;////////////////////////////////////////////////////////////////////////////&#10;&#10;/////////////////////////////////////////////////////////////////////////1IA&#10;&#10;bwBvAHQAIABFAG4AdAByAHkAAAAAAAAAAAAAAAAAAAAAAAAAAAAAAAAAAAAAAAAAAAAAAAAAAAAA&#10;&#10;AAAAAAAWAAUA//////////8BAAAAAAAAAAAAAAAAAAAAAAAAAAAAAAAAAAAAAAAAALDCNzzafs0B&#10;&#10;AwAAAMACAAAAAAAAXwAxADQAMAA3ADAAMAA0ADMANgAyAAAAAAAAAAAAAAAAAAAAAAAAAAAAAAAA&#10;&#10;AAAAAAAAAAAAAAAAAAAAAAAAABgAAgH///////////////8AAAAAAAAAAAAAAAAAAAAAAAAAAAAA&#10;&#10;AAAAAAAAAAAAAAAAAAAAAAAAmAIAAAAAAAAAAAAAAAAAAAAAAAAAAAAAAAAAAAAAAAAAAAAAAAAA&#10;&#10;AAAAAAAAAAAAAAAAAAAAAAAAAAAAAAAAAAAAAAAAAAAAAAAAAP///////////////wAAAAAAAAAA&#10;&#10;AAAAAAAAAAAAAAAAAAAAAAAAAAAAAAAAAAAAAAAAAAAAAAAAAAAAAAAAAAAAAAAAAAAAAAAAAAAA&#10;&#10;AAAAAAAAAAAAAAAAAAAAAAAAAAAAAAAAAAAAAAAAAAAAAAAAAAAAAAAAAAAAAAAAAAAA////////&#10;&#10;////////AAAAAAAAAAAAAAAAAAAAAAAAAAAAAAAAAAAAAAAAAAAAAAAAAAAAAAAAAAAAAAAAAQAA&#10;&#10;AAIAAAADAAAABAAAAAUAAAAGAAAABwAAAAgAAAAJAAAACgAAAP7/////////////////////////&#10;&#10;////////////////////////////////////////////////////////////////////////////&#10;&#10;////////////////////////////////////////////////////////////////////////////&#10;&#10;////////////////////////////////////////////////////////////////////////////&#10;&#10;////////////////////////////////////////////////////////////////////////////&#10;&#10;////////////////////////////////////////////////////////////////////////////&#10;&#10;////////////////////////////////////////////////////////////////////////////&#10;&#10;////////////////////////////////////////////////////////////////////////////&#10;&#10;//////////////////////////////////////////////////////////////////////8ADgAA&#10;&#10;eJztVk1oE0EUfruziWkS2MSfgj/oehC00FpECoKIm2RrCqaGNNiLEDZ21S1JtvlTc1GwUrzl5t2j&#10;&#10;R4PgtQge/UEPgic9evEge1Ew8b3NrC5B2k0VpZIvmTczb2be92b2zdt99TL+/sGjfR9gAGeAQbc3&#10;&#10;BkGPTuDFQQxA5P1ur9dz1b0RthW+YZH4MwzwuvuPfRrh7yEHFv4aoIAGFaxr0BpMBRtiHAI/7jzl&#10;&#10;A/ZCdPTr/eFZ79z1+9On3916LjDqMDenXIASGENxehEGUfDux++63eDyJ3H/ZVhBP4qwPDT/TuSn&#10;&#10;HEjb8ctP803eZpx3Dk//CnqyFX7ilYbgJ1/dvN7lz8299wE+tgNLCMsY0BkDRPicEf4vYCyKoYH4&#10;&#10;SC/u9R1/AkYFC/djb/Duj6PI6I1r+daKocxMTStatak3TKsCUe+INgsy9t3BqdRCJn8S7FOdqi8P&#10;&#10;2M9vki3gANB3zJenr9HIJZgUY2s5Rx/FdkDAq0DezICwa9GsqKVSQq+bl5PWkpHVrxp1iAfyZtmo&#10;&#10;K/PGDSVnlfUKxNlCq1y0SjiUtJo106jRIMSlTF7RbjZqOnBLHiPBJ/XOm4dfn32cxBkJvNKhw7LW&#10;&#10;Th1Xs3ZMPldQs58PHcT2HlkFW7OP2O1EAVsxOUlVW7MnCmm77WjOYn07jQ11opAqaDb9VTkq4BEJ&#10;&#10;IgK3KmC6oiOTMHGHBcz6VWiCjpnfxOxTwffAPO9d95WVFTTpjSc/Z0656tPvPLQBDMv/p7Gd+RlE&#10;&#10;ghgNItw5CqJ0t8OKjO5EhMJEhFWVxBKJZRIpEnMk8iTSaCCMS4+Bd9G9E45aWnsLj3HSRZqpk6hx&#10;&#10;GljN4YL9tMAXB1rtsziObm4wTSJD4rx38Qi/wHevCXdQ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10;&#10;&lt;/w:binData&gt;&lt;/w:docOleData&gt;&lt;w:docPr&gt;&lt;w:view w:val=&quot;print&quot;/&gt;&lt;w:zoom w:percent=&quot;170&quot;/&gt;&lt;w:bordersDontSurroundHeader/&gt;&lt;w:bordersDontSurroundFooter/&gt;&lt;w:defaultTabStop w:val=&quot;480&quot;/&gt;&lt;w:doNotHyphenateCaps/&gt;&lt;w:drawingGridHorizontalSpacing w:val=&quot;120&quot;/&gt;&lt;w:displayHorizontalDrawingGridEvery w:val=&quot;0&quot;/&gt;&lt;w:displayVerticalDrawingGridEvery w:val=&quot;2&quot;/&gt;&lt;w:punctuationKerning/&gt;&lt;w:characterSpacingControl w:val=&quot;CompressPunctuation&quot;/&gt;&lt;w:noLineBreaksAfter w:lang=&quot;ZH-TW&quot; w:val=&quot;([{瞿瞼ri">
            <v:imagedata r:id="rId12" o:title="" chromakey="white"/>
          </v:shape>
        </w:pict>
      </w:r>
      <w:r w:rsidRPr="00740526">
        <w:rPr>
          <w:rFonts w:ascii="Times New Roman" w:hAnsi="Times New Roman" w:cs="Times New Roman"/>
          <w:position w:val="-12"/>
        </w:rPr>
        <w:fldChar w:fldCharType="end"/>
      </w:r>
      <w:r>
        <w:rPr>
          <w:rFonts w:ascii="Times New Roman" w:hAnsi="Times New Roman" w:cs="Times New Roman"/>
          <w:position w:val="-12"/>
        </w:rPr>
        <w:t xml:space="preserve"> denotes the institutional trading fraction; </w:t>
      </w:r>
      <w:r w:rsidRPr="00740526">
        <w:rPr>
          <w:rFonts w:ascii="Times New Roman" w:hAnsi="Times New Roman" w:cs="Times New Roman"/>
          <w:position w:val="-12"/>
        </w:rPr>
        <w:fldChar w:fldCharType="begin"/>
      </w:r>
      <w:r w:rsidRPr="00740526">
        <w:rPr>
          <w:rFonts w:ascii="Times New Roman" w:hAnsi="Times New Roman" w:cs="Times New Roman"/>
          <w:position w:val="-12"/>
        </w:rPr>
        <w:instrText xml:space="preserve"> QUOTE </w:instrText>
      </w:r>
      <w:r w:rsidRPr="00740526">
        <w:pict>
          <v:shape id="_x0000_i1029" type="#_x0000_t75" style="width:342.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2&lt;/o:Version&gt;&lt;/o:DocumentProperties&gt;&lt;w:docOleData&gt;&lt;w:binData w:name=&quot;oledata.mso&quot; xml:space=&quot;preserve&quot;&gt;0M8R4KGxGuEAAAAAAAAAAAAAAAAAAAAAPgADAP7/CQAGAAAAAAAAAAAAAAABAAAAAQAAAAAAAAAA&#10;&#10;EAAAAgAAAAEAAAD+////AAAAAAAAAAD/////////////////////////////////////////////&#10;&#10;////////////////////////////////////////////////////////////////////////////&#10;&#10;////////////////////////////////////////////////////////////////////////////&#10;&#10;////////////////////////////////////////////////////////////////////////////&#10;&#10;////////////////////////////////////////////////////////////////////////////&#10;&#10;////////////////////////////////////////////////////////////////////////////&#10;&#10;////////////////////////////////////////////////////////////////////////////&#10;&#10;///////////////////////////////////////////////////////////////////////////9&#10;&#10;/////v////7///8EAAAA/v//////////////////////////////////////////////////////&#10;&#10;////////////////////////////////////////////////////////////////////////////&#10;&#10;////////////////////////////////////////////////////////////////////////////&#10;&#10;////////////////////////////////////////////////////////////////////////////&#10;&#10;////////////////////////////////////////////////////////////////////////////&#10;&#10;////////////////////////////////////////////////////////////////////////////&#10;&#10;////////////////////////////////////////////////////////////////////////////&#10;&#10;////////////////////////////////////////////////////////////////////////////&#10;&#10;/////////////////////////////////////////////////////////////////////////1IA&#10;&#10;bwBvAHQAIABFAG4AdAByAHkAAAAAAAAAAAAAAAAAAAAAAAAAAAAAAAAAAAAAAAAAAAAAAAAAAAAA&#10;&#10;AAAAAAAWAAUA//////////8BAAAAAAAAAAAAAAAAAAAAAAAAAAAAAAAAAAAAAAAAALBMnjzafs0B&#10;&#10;AwAAAMACAAAAAAAAXwAxADQAMAA3ADAAMAA0ADMANgAzAAAAAAAAAAAAAAAAAAAAAAAAAAAAAAAA&#10;&#10;AAAAAAAAAAAAAAAAAAAAAAAAABgAAgH///////////////8AAAAAAAAAAAAAAAAAAAAAAAAAAAAA&#10;&#10;AAAAAAAAAAAAAAAAAAAAAAAAmAIAAAAAAAAAAAAAAAAAAAAAAAAAAAAAAAAAAAAAAAAAAAAAAAAA&#10;&#10;AAAAAAAAAAAAAAAAAAAAAAAAAAAAAAAAAAAAAAAAAAAAAAAAAP///////////////wAAAAAAAAAA&#10;&#10;AAAAAAAAAAAAAAAAAAAAAAAAAAAAAAAAAAAAAAAAAAAAAAAAAAAAAAAAAAAAAAAAAAAAAAAAAAAA&#10;&#10;AAAAAAAAAAAAAAAAAAAAAAAAAAAAAAAAAAAAAAAAAAAAAAAAAAAAAAAAAAAAAAAAAAAA////////&#10;&#10;////////AAAAAAAAAAAAAAAAAAAAAAAAAAAAAAAAAAAAAAAAAAAAAAAAAAAAAAAAAAAAAAAAAQAA&#10;&#10;AAIAAAADAAAABAAAAAUAAAAGAAAABwAAAAgAAAAJAAAACgAAAP7/////////////////////////&#10;&#10;////////////////////////////////////////////////////////////////////////////&#10;&#10;////////////////////////////////////////////////////////////////////////////&#10;&#10;////////////////////////////////////////////////////////////////////////////&#10;&#10;////////////////////////////////////////////////////////////////////////////&#10;&#10;////////////////////////////////////////////////////////////////////////////&#10;&#10;////////////////////////////////////////////////////////////////////////////&#10;&#10;////////////////////////////////////////////////////////////////////////////&#10;&#10;//////////////////////////////////////////////////////////////////////8ADgAA&#10;&#10;eJztVs2L00AUf5OktdsW0vqx4AcaD4IuuIrIgiBi2mbtwraWbtGLUFI3q1naZvul9qLgyuKt/4Hg&#10;&#10;0ZsWwasIHv1AD4InPXrxILko2PpeOtFQxE1XUVb6a+fNx3szvzeTNy95+SL+7u6DXe9hCKdAhF5/&#10;&#10;AoKeMcaLgxiAwPu9fr/vDvfH2FT4ikXizzDA694/9mmMv4c8WPhrggIaVLGuQ3s4FfwSkxD4fucp&#10;&#10;H4jPBWf88UA967W9P3/n5Nvrz5hIHdHNKWehDMZInF6EQWDe/fidtx1c/iTuvwIr6EcJlkfm34r8&#10;&#10;lANpO375yd7kbZHzzuHpL6EnG+EnXmkEfvLVzes9/tzcex/gui1YQlgmgM4YIMJtxvi/gLEohIbi&#10;&#10;I53Y6Tv+GEaFGB7E3vDdn0SR0ZuXC+0VQ5mZPqpotZbeNK0qRL0abRZk7LvK6dRCpnAc7BPdmi8P&#10;&#10;xB/fJBvAHqDvmM9PXuEiF6DHYmt5ZzyK7QDDq0DezADbdt6squVyQm+YF5PWopHTLxkNiAcKZsVo&#10;&#10;KFnjqpK3KnoV4uJCu1KyyqhKWq26adRJCXEpU1C0a826DnwlzyLBR43u63tfnn44jBYJvNKh/bLW&#10;&#10;SR1Rc3ZMPlNUc5/27cX2DlkFW7MP2J1EEVsxOUlVR7Onimm744ycxvpGGhvqVDFV1Gz6q3KU4REx&#10;&#10;AYFbZZiu6MgkTNxhhlm/Bi3QMfObmH2q+B7I8t4VX1lZwSW98eTnzClXffydhzaEUfn/NDYzvwiR&#10;&#10;IEaDADcPgiDd6oolke5EhMJEgFWVxCKJZRIpEnMksoMuvhxw6iHwTrp9zBmW1t7AQzQ6R5Y6iTqn&#10;&#10;gdU8TthNE3xx4KoDFsfR9RdMk8iQmPdOHuMn+AbSKnjb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10;&#10;&lt;/w:binData&gt;&lt;/w:docOleData&gt;&lt;w:docPr&gt;&lt;w:view w:val=&quot;print&quot;/&gt;&lt;w:zoom w:percent=&quot;170&quot;/&gt;&lt;w:bordersDontSurroundHeader/&gt;&lt;w:bordersDontSurroundFooter/&gt;&lt;w:defaultTabStop w:val=&quot;480&quot;/&gt;&lt;w:doNotHyphenateCaps/&gt;&lt;w:drawingGridHorizontalSpacing w:val=&quot;120&quot;/&gt;&lt;w:displayHorizontalDrawingGridEvery w:val=&quot;0&quot;/&gt;&lt;w:displayVerticalDrawingGridEvery w:val=&quot;2&quot;/&gt;&lt;w:punctuationKerning/&gt;&lt;w:characterSpacingControl w:val=&quot;CompressPunctuation&quot;/&gt;&lt;w:noLineBreaksAfter w:lang=&quot;ZH-TW&quot; w:val=&quot;([{瞿瞼ri">
            <v:imagedata r:id="rId13" o:title="" chromakey="white"/>
          </v:shape>
        </w:pict>
      </w:r>
      <w:r w:rsidRPr="00740526">
        <w:rPr>
          <w:rFonts w:ascii="Times New Roman" w:hAnsi="Times New Roman" w:cs="Times New Roman"/>
          <w:position w:val="-12"/>
        </w:rPr>
        <w:instrText xml:space="preserve"> </w:instrText>
      </w:r>
      <w:r w:rsidRPr="00740526">
        <w:rPr>
          <w:rFonts w:ascii="Times New Roman" w:hAnsi="Times New Roman" w:cs="Times New Roman"/>
          <w:position w:val="-12"/>
        </w:rPr>
        <w:fldChar w:fldCharType="separate"/>
      </w:r>
      <w:r w:rsidRPr="00740526">
        <w:pict>
          <v:shape id="_x0000_i1030" type="#_x0000_t75" style="width:342.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2&lt;/o:Version&gt;&lt;/o:DocumentProperties&gt;&lt;w:docOleData&gt;&lt;w:binData w:name=&quot;oledata.mso&quot; xml:space=&quot;preserve&quot;&gt;0M8R4KGxGuEAAAAAAAAAAAAAAAAAAAAAPgADAP7/CQAGAAAAAAAAAAAAAAABAAAAAQAAAAAAAAAA&#10;&#10;EAAAAgAAAAEAAAD+////AAAAAAAAAAD/////////////////////////////////////////////&#10;&#10;////////////////////////////////////////////////////////////////////////////&#10;&#10;////////////////////////////////////////////////////////////////////////////&#10;&#10;////////////////////////////////////////////////////////////////////////////&#10;&#10;////////////////////////////////////////////////////////////////////////////&#10;&#10;////////////////////////////////////////////////////////////////////////////&#10;&#10;////////////////////////////////////////////////////////////////////////////&#10;&#10;///////////////////////////////////////////////////////////////////////////9&#10;&#10;/////v////7///8EAAAA/v//////////////////////////////////////////////////////&#10;&#10;////////////////////////////////////////////////////////////////////////////&#10;&#10;////////////////////////////////////////////////////////////////////////////&#10;&#10;////////////////////////////////////////////////////////////////////////////&#10;&#10;////////////////////////////////////////////////////////////////////////////&#10;&#10;////////////////////////////////////////////////////////////////////////////&#10;&#10;////////////////////////////////////////////////////////////////////////////&#10;&#10;////////////////////////////////////////////////////////////////////////////&#10;&#10;/////////////////////////////////////////////////////////////////////////1IA&#10;&#10;bwBvAHQAIABFAG4AdAByAHkAAAAAAAAAAAAAAAAAAAAAAAAAAAAAAAAAAAAAAAAAAAAAAAAAAAAA&#10;&#10;AAAAAAAWAAUA//////////8BAAAAAAAAAAAAAAAAAAAAAAAAAAAAAAAAAAAAAAAAALBMnjzafs0B&#10;&#10;AwAAAMACAAAAAAAAXwAxADQAMAA3ADAAMAA0ADMANgAzAAAAAAAAAAAAAAAAAAAAAAAAAAAAAAAA&#10;&#10;AAAAAAAAAAAAAAAAAAAAAAAAABgAAgH///////////////8AAAAAAAAAAAAAAAAAAAAAAAAAAAAA&#10;&#10;AAAAAAAAAAAAAAAAAAAAAAAAmAIAAAAAAAAAAAAAAAAAAAAAAAAAAAAAAAAAAAAAAAAAAAAAAAAA&#10;&#10;AAAAAAAAAAAAAAAAAAAAAAAAAAAAAAAAAAAAAAAAAAAAAAAAAP///////////////wAAAAAAAAAA&#10;&#10;AAAAAAAAAAAAAAAAAAAAAAAAAAAAAAAAAAAAAAAAAAAAAAAAAAAAAAAAAAAAAAAAAAAAAAAAAAAA&#10;&#10;AAAAAAAAAAAAAAAAAAAAAAAAAAAAAAAAAAAAAAAAAAAAAAAAAAAAAAAAAAAAAAAAAAAA////////&#10;&#10;////////AAAAAAAAAAAAAAAAAAAAAAAAAAAAAAAAAAAAAAAAAAAAAAAAAAAAAAAAAAAAAAAAAQAA&#10;&#10;AAIAAAADAAAABAAAAAUAAAAGAAAABwAAAAgAAAAJAAAACgAAAP7/////////////////////////&#10;&#10;////////////////////////////////////////////////////////////////////////////&#10;&#10;////////////////////////////////////////////////////////////////////////////&#10;&#10;////////////////////////////////////////////////////////////////////////////&#10;&#10;////////////////////////////////////////////////////////////////////////////&#10;&#10;////////////////////////////////////////////////////////////////////////////&#10;&#10;////////////////////////////////////////////////////////////////////////////&#10;&#10;////////////////////////////////////////////////////////////////////////////&#10;&#10;//////////////////////////////////////////////////////////////////////8ADgAA&#10;&#10;eJztVs2L00AUf5OktdsW0vqx4AcaD4IuuIrIgiBi2mbtwraWbtGLUFI3q1naZvul9qLgyuKt/4Hg&#10;&#10;0ZsWwasIHv1AD4InPXrxILko2PpeOtFQxE1XUVb6a+fNx3szvzeTNy95+SL+7u6DXe9hCKdAhF5/&#10;&#10;AoKeMcaLgxiAwPu9fr/vDvfH2FT4ikXizzDA694/9mmMv4c8WPhrggIaVLGuQ3s4FfwSkxD4fucp&#10;&#10;H4jPBWf88UA967W9P3/n5Nvrz5hIHdHNKWehDMZInF6EQWDe/fidtx1c/iTuvwIr6EcJlkfm34r8&#10;&#10;lANpO375yd7kbZHzzuHpL6EnG+EnXmkEfvLVzes9/tzcex/gui1YQlgmgM4YIMJtxvi/gLEohIbi&#10;&#10;I53Y6Tv+GEaFGB7E3vDdn0SR0ZuXC+0VQ5mZPqpotZbeNK0qRL0abRZk7LvK6dRCpnAc7BPdmi8P&#10;&#10;xB/fJBvAHqDvmM9PXuEiF6DHYmt5ZzyK7QDDq0DezADbdt6squVyQm+YF5PWopHTLxkNiAcKZsVo&#10;&#10;KFnjqpK3KnoV4uJCu1KyyqhKWq26adRJCXEpU1C0a826DnwlzyLBR43u63tfnn44jBYJvNKh/bLW&#10;&#10;SR1Rc3ZMPlNUc5/27cX2DlkFW7MP2J1EEVsxOUlVR7Onimm744ycxvpGGhvqVDFV1Gz6q3KU4REx&#10;&#10;AYFbZZiu6MgkTNxhhlm/Bi3QMfObmH2q+B7I8t4VX1lZwSW98eTnzClXffydhzaEUfn/NDYzvwiR&#10;&#10;IEaDADcPgiDd6oolke5EhMJEgFWVxCKJZRIpEnMksoMuvhxw6iHwTrp9zBmW1t7AQzQ6R5Y6iTqn&#10;&#10;gdU8TthNE3xx4KoDFsfR9RdMk8iQmPdOHuMn+AbSKnjb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10;&#10;&lt;/w:binData&gt;&lt;/w:docOleData&gt;&lt;w:docPr&gt;&lt;w:view w:val=&quot;print&quot;/&gt;&lt;w:zoom w:percent=&quot;170&quot;/&gt;&lt;w:bordersDontSurroundHeader/&gt;&lt;w:bordersDontSurroundFooter/&gt;&lt;w:defaultTabStop w:val=&quot;480&quot;/&gt;&lt;w:doNotHyphenateCaps/&gt;&lt;w:drawingGridHorizontalSpacing w:val=&quot;120&quot;/&gt;&lt;w:displayHorizontalDrawingGridEvery w:val=&quot;0&quot;/&gt;&lt;w:displayVerticalDrawingGridEvery w:val=&quot;2&quot;/&gt;&lt;w:punctuationKerning/&gt;&lt;w:characterSpacingControl w:val=&quot;CompressPunctuation&quot;/&gt;&lt;w:noLineBreaksAfter w:lang=&quot;ZH-TW&quot; w:val=&quot;([{瞿瞼ri">
            <v:imagedata r:id="rId13" o:title="" chromakey="white"/>
          </v:shape>
        </w:pict>
      </w:r>
      <w:r w:rsidRPr="00740526">
        <w:rPr>
          <w:rFonts w:ascii="Times New Roman" w:hAnsi="Times New Roman" w:cs="Times New Roman"/>
          <w:position w:val="-12"/>
        </w:rPr>
        <w:fldChar w:fldCharType="end"/>
      </w:r>
      <w:r>
        <w:rPr>
          <w:rFonts w:ascii="Times New Roman" w:hAnsi="Times New Roman" w:cs="Times New Roman"/>
          <w:position w:val="-12"/>
        </w:rPr>
        <w:t xml:space="preserve"> denotes the individual trading fraction; </w:t>
      </w:r>
      <w:r w:rsidRPr="00740526">
        <w:rPr>
          <w:rFonts w:ascii="Times New Roman" w:hAnsi="Times New Roman" w:cs="Times New Roman"/>
          <w:position w:val="-12"/>
        </w:rPr>
        <w:fldChar w:fldCharType="begin"/>
      </w:r>
      <w:r w:rsidRPr="00740526">
        <w:rPr>
          <w:rFonts w:ascii="Times New Roman" w:hAnsi="Times New Roman" w:cs="Times New Roman"/>
          <w:position w:val="-12"/>
        </w:rPr>
        <w:instrText xml:space="preserve"> QUOTE </w:instrText>
      </w:r>
      <w:r w:rsidRPr="00740526">
        <w:pict>
          <v:shape id="_x0000_i1031" type="#_x0000_t75" style="width:342.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2&lt;/o:Version&gt;&lt;/o:DocumentProperties&gt;&lt;w:docOleData&gt;&lt;w:binData w:name=&quot;oledata.mso&quot; xml:space=&quot;preserve&quot;&gt;0M8R4KGxGuEAAAAAAAAAAAAAAAAAAAAAPgADAP7/CQAGAAAAAAAAAAAAAAABAAAAAQAAAAAAAAAA&#10;&#10;EAAAAgAAAAEAAAD+////AAAAAAAAAAD/////////////////////////////////////////////&#10;&#10;////////////////////////////////////////////////////////////////////////////&#10;&#10;////////////////////////////////////////////////////////////////////////////&#10;&#10;////////////////////////////////////////////////////////////////////////////&#10;&#10;////////////////////////////////////////////////////////////////////////////&#10;&#10;////////////////////////////////////////////////////////////////////////////&#10;&#10;////////////////////////////////////////////////////////////////////////////&#10;&#10;///////////////////////////////////////////////////////////////////////////9&#10;&#10;/////v////7///8EAAAA/v//////////////////////////////////////////////////////&#10;&#10;////////////////////////////////////////////////////////////////////////////&#10;&#10;////////////////////////////////////////////////////////////////////////////&#10;&#10;////////////////////////////////////////////////////////////////////////////&#10;&#10;////////////////////////////////////////////////////////////////////////////&#10;&#10;////////////////////////////////////////////////////////////////////////////&#10;&#10;////////////////////////////////////////////////////////////////////////////&#10;&#10;////////////////////////////////////////////////////////////////////////////&#10;&#10;/////////////////////////////////////////////////////////////////////////1IA&#10;&#10;bwBvAHQAIABFAG4AdAByAHkAAAAAAAAAAAAAAAAAAAAAAAAAAAAAAAAAAAAAAAAAAAAAAAAAAAAA&#10;&#10;AAAAAAAWAAUA//////////8BAAAAAAAAAAAAAAAAAAAAAAAAAAAAAAAAAAAAAAAAAKAHozzafs0B&#10;&#10;AwAAAIACAAAAAAAAXwAxADQAMAA3ADAAMAA0ADMANgA0AAAAAAAAAAAAAAAAAAAAAAAAAAAAAAAA&#10;&#10;AAAAAAAAAAAAAAAAAAAAAAAAABgAAgH///////////////8AAAAAAAAAAAAAAAAAAAAAAAAAAAAA&#10;&#10;AAAAAAAAAAAAAAAAAAAAAAAAbAIAAAAAAAAAAAAAAAAAAAAAAAAAAAAAAAAAAAAAAAAAAAAAAAAA&#10;&#10;AAAAAAAAAAAAAAAAAAAAAAAAAAAAAAAAAAAAAAAAAAAAAAAAAP///////////////wAAAAAAAAAA&#10;&#10;AAAAAAAAAAAAAAAAAAAAAAAAAAAAAAAAAAAAAAAAAAAAAAAAAAAAAAAAAAAAAAAAAAAAAAAAAAAA&#10;&#10;AAAAAAAAAAAAAAAAAAAAAAAAAAAAAAAAAAAAAAAAAAAAAAAAAAAAAAAAAAAAAAAAAAAA////////&#10;&#10;////////AAAAAAAAAAAAAAAAAAAAAAAAAAAAAAAAAAAAAAAAAAAAAAAAAAAAAAAAAAAAAAAAAQAA&#10;&#10;AAIAAAADAAAABAAAAAUAAAAGAAAABwAAAAgAAAAJAAAA/v//////////////////////////////&#10;&#10;////////////////////////////////////////////////////////////////////////////&#10;&#10;////////////////////////////////////////////////////////////////////////////&#10;&#10;////////////////////////////////////////////////////////////////////////////&#10;&#10;////////////////////////////////////////////////////////////////////////////&#10;&#10;////////////////////////////////////////////////////////////////////////////&#10;&#10;////////////////////////////////////////////////////////////////////////////&#10;&#10;////////////////////////////////////////////////////////////////////////////&#10;&#10;//////////////////////////////////////////////////////////////////////8ADgAA&#10;&#10;eJztVs1rE0EUf7ObpGka2MSPgh/oehC0YPUgBUHETbI1oqkhDXophK2udSXJNl9qLiqteM2/oHjy&#10;&#10;aEG8iuDRD/DmyR57lb0omPibzawuAWVTRa3kl8ybN/Nm572ZefPbffsm+eHhk93rNIBTJFO3N04R&#10;&#10;Xx8TxUWCSBLtbq/X87p7I2wpfEEJiTMMi7r7l2Ma4c+hQDZ+TVJJpyrqOrUHqeCnmKTwtzvP+UB+&#10;&#10;Lbn9z/vmWf/YB2OPTr6//YrJ0O9KHqdcoDKZQ/n0I0YS868n6HM7yPOfxvortIw4Fun60P63wT/n&#10;&#10;QL6moP75eEvosvB7Frt/FZFsxj/3GxrCP4/V4/WuODfv3oeFbQwlijIubCP8n0AuStGB/MimdgXO&#10;&#10;P4bskGP93Bu8+5MQOaN5rdheNtWZ6WOqXmsZTcuuUtxv0WdJQdszTmfmc8Xj5JxYqwWKQP7+TbIJ&#10;&#10;7CX+HfPpxTlMskArUuJ+we2PQw8zXAUezQyx7ZesqlYup4yGdTltXzHzxpLZoGS4aFXMhjpn3lQL&#10;&#10;dsWoUlKeb1cW7TJMabtVt8w6N1IylCuq+q1m3SAxk2+SyLPG2rvHn19uHMGIFK509ICidzJHtbyT&#10;&#10;UM6UtPzH/fug71Q0cnTnoNNJlaAllDSvOrozVco6HbfnNOo7WSjaVClT0h3+15Q4wxYxCcBSGeiK&#10;&#10;b1kIxB1jYP0atcgA81tgnyreA3OidSMQK6uY0p9PQfacc9XSrxzaAIb1/7uxlf3LNBFBNki0epEL&#10;&#10;g4s6xMohkkL3nsom1MP0oxG0WsAMe4gm3AFZLnJcnMcjjGL9h0f4d/EVN6ptpg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10;&#10;&lt;/w:binData&gt;&lt;/w:docOleData&gt;&lt;w:docPr&gt;&lt;w:view w:val=&quot;print&quot;/&gt;&lt;w:zoom w:percent=&quot;170&quot;/&gt;&lt;w:bordersDontSurroundHeader/&gt;&lt;w:bordersDontSurroundFooter/&gt;&lt;w:defaultTabStop w:val=&quot;480&quot;/&gt;&lt;w:doNotHyphenateCaps/&gt;&lt;w:drawingGridHorizontalSpacing w:val=&quot;120&quot;/&gt;&lt;w:displayHorizontalDrawingGridEvery w:val=&quot;0&quot;/&gt;&lt;w:displayVerticalDrawingGridEvery w:val=&quot;2&quot;/&gt;&lt;w:punctuationKerning/&gt;&lt;w:characterSpacingControl w:val=&quot;CompressPunctuation&quot;/&gt;&lt;w:noLineBreaksAfter w:lang=&quot;ZH-TW&quot; w:val=&quot;([{瞿瞼ri">
            <v:imagedata r:id="rId12" o:title="" chromakey="white"/>
          </v:shape>
        </w:pict>
      </w:r>
      <w:r w:rsidRPr="00740526">
        <w:rPr>
          <w:rFonts w:ascii="Times New Roman" w:hAnsi="Times New Roman" w:cs="Times New Roman"/>
          <w:position w:val="-12"/>
        </w:rPr>
        <w:instrText xml:space="preserve"> </w:instrText>
      </w:r>
      <w:r w:rsidRPr="00740526">
        <w:rPr>
          <w:rFonts w:ascii="Times New Roman" w:hAnsi="Times New Roman" w:cs="Times New Roman"/>
          <w:position w:val="-12"/>
        </w:rPr>
        <w:fldChar w:fldCharType="separate"/>
      </w:r>
      <w:r w:rsidRPr="00740526">
        <w:pict>
          <v:shape id="_x0000_i1032" type="#_x0000_t75" style="width:342.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2&lt;/o:Version&gt;&lt;/o:DocumentProperties&gt;&lt;w:docOleData&gt;&lt;w:binData w:name=&quot;oledata.mso&quot; xml:space=&quot;preserve&quot;&gt;0M8R4KGxGuEAAAAAAAAAAAAAAAAAAAAAPgADAP7/CQAGAAAAAAAAAAAAAAABAAAAAQAAAAAAAAAA&#10;&#10;EAAAAgAAAAEAAAD+////AAAAAAAAAAD/////////////////////////////////////////////&#10;&#10;////////////////////////////////////////////////////////////////////////////&#10;&#10;////////////////////////////////////////////////////////////////////////////&#10;&#10;////////////////////////////////////////////////////////////////////////////&#10;&#10;////////////////////////////////////////////////////////////////////////////&#10;&#10;////////////////////////////////////////////////////////////////////////////&#10;&#10;////////////////////////////////////////////////////////////////////////////&#10;&#10;///////////////////////////////////////////////////////////////////////////9&#10;&#10;/////v////7///8EAAAA/v//////////////////////////////////////////////////////&#10;&#10;////////////////////////////////////////////////////////////////////////////&#10;&#10;////////////////////////////////////////////////////////////////////////////&#10;&#10;////////////////////////////////////////////////////////////////////////////&#10;&#10;////////////////////////////////////////////////////////////////////////////&#10;&#10;////////////////////////////////////////////////////////////////////////////&#10;&#10;////////////////////////////////////////////////////////////////////////////&#10;&#10;////////////////////////////////////////////////////////////////////////////&#10;&#10;/////////////////////////////////////////////////////////////////////////1IA&#10;&#10;bwBvAHQAIABFAG4AdAByAHkAAAAAAAAAAAAAAAAAAAAAAAAAAAAAAAAAAAAAAAAAAAAAAAAAAAAA&#10;&#10;AAAAAAAWAAUA//////////8BAAAAAAAAAAAAAAAAAAAAAAAAAAAAAAAAAAAAAAAAAKAHozzafs0B&#10;&#10;AwAAAIACAAAAAAAAXwAxADQAMAA3ADAAMAA0ADMANgA0AAAAAAAAAAAAAAAAAAAAAAAAAAAAAAAA&#10;&#10;AAAAAAAAAAAAAAAAAAAAAAAAABgAAgH///////////////8AAAAAAAAAAAAAAAAAAAAAAAAAAAAA&#10;&#10;AAAAAAAAAAAAAAAAAAAAAAAAbAIAAAAAAAAAAAAAAAAAAAAAAAAAAAAAAAAAAAAAAAAAAAAAAAAA&#10;&#10;AAAAAAAAAAAAAAAAAAAAAAAAAAAAAAAAAAAAAAAAAAAAAAAAAP///////////////wAAAAAAAAAA&#10;&#10;AAAAAAAAAAAAAAAAAAAAAAAAAAAAAAAAAAAAAAAAAAAAAAAAAAAAAAAAAAAAAAAAAAAAAAAAAAAA&#10;&#10;AAAAAAAAAAAAAAAAAAAAAAAAAAAAAAAAAAAAAAAAAAAAAAAAAAAAAAAAAAAAAAAAAAAA////////&#10;&#10;////////AAAAAAAAAAAAAAAAAAAAAAAAAAAAAAAAAAAAAAAAAAAAAAAAAAAAAAAAAAAAAAAAAQAA&#10;&#10;AAIAAAADAAAABAAAAAUAAAAGAAAABwAAAAgAAAAJAAAA/v//////////////////////////////&#10;&#10;////////////////////////////////////////////////////////////////////////////&#10;&#10;////////////////////////////////////////////////////////////////////////////&#10;&#10;////////////////////////////////////////////////////////////////////////////&#10;&#10;////////////////////////////////////////////////////////////////////////////&#10;&#10;////////////////////////////////////////////////////////////////////////////&#10;&#10;////////////////////////////////////////////////////////////////////////////&#10;&#10;////////////////////////////////////////////////////////////////////////////&#10;&#10;//////////////////////////////////////////////////////////////////////8ADgAA&#10;&#10;eJztVs1rE0EUf7ObpGka2MSPgh/oehC0YPUgBUHETbI1oqkhDXophK2udSXJNl9qLiqteM2/oHjy&#10;&#10;aEG8iuDRD/DmyR57lb0omPibzawuAWVTRa3kl8ybN/Nm572ZefPbffsm+eHhk93rNIBTJFO3N04R&#10;&#10;Xx8TxUWCSBLtbq/X87p7I2wpfEEJiTMMi7r7l2Ma4c+hQDZ+TVJJpyrqOrUHqeCnmKTwtzvP+UB+&#10;&#10;Lbn9z/vmWf/YB2OPTr6//YrJ0O9KHqdcoDKZQ/n0I0YS868n6HM7yPOfxvortIw4Fun60P63wT/n&#10;&#10;QL6moP75eEvosvB7Frt/FZFsxj/3GxrCP4/V4/WuODfv3oeFbQwlijIubCP8n0AuStGB/MimdgXO&#10;&#10;P4bskGP93Bu8+5MQOaN5rdheNtWZ6WOqXmsZTcuuUtxv0WdJQdszTmfmc8Xj5JxYqwWKQP7+TbIJ&#10;&#10;7CX+HfPpxTlMskArUuJ+we2PQw8zXAUezQyx7ZesqlYup4yGdTltXzHzxpLZoGS4aFXMhjpn3lQL&#10;&#10;dsWoUlKeb1cW7TJMabtVt8w6N1IylCuq+q1m3SAxk2+SyLPG2rvHn19uHMGIFK509ICidzJHtbyT&#10;&#10;UM6UtPzH/fug71Q0cnTnoNNJlaAllDSvOrozVco6HbfnNOo7WSjaVClT0h3+15Q4wxYxCcBSGeiK&#10;&#10;b1kIxB1jYP0atcgA81tgnyreA3OidSMQK6uY0p9PQfacc9XSrxzaAIb1/7uxlf3LNBFBNki0epEL&#10;&#10;g4s6xMohkkL3nsom1MP0oxG0WsAMe4gm3AFZLnJcnMcjjGL9h0f4d/EVN6ptpg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10;&#10;&lt;/w:binData&gt;&lt;/w:docOleData&gt;&lt;w:docPr&gt;&lt;w:view w:val=&quot;print&quot;/&gt;&lt;w:zoom w:percent=&quot;170&quot;/&gt;&lt;w:bordersDontSurroundHeader/&gt;&lt;w:bordersDontSurroundFooter/&gt;&lt;w:defaultTabStop w:val=&quot;480&quot;/&gt;&lt;w:doNotHyphenateCaps/&gt;&lt;w:drawingGridHorizontalSpacing w:val=&quot;120&quot;/&gt;&lt;w:displayHorizontalDrawingGridEvery w:val=&quot;0&quot;/&gt;&lt;w:displayVerticalDrawingGridEvery w:val=&quot;2&quot;/&gt;&lt;w:punctuationKerning/&gt;&lt;w:characterSpacingControl w:val=&quot;CompressPunctuation&quot;/&gt;&lt;w:noLineBreaksAfter w:lang=&quot;ZH-TW&quot; w:val=&quot;([{瞿瞼ri">
            <v:imagedata r:id="rId12" o:title="" chromakey="white"/>
          </v:shape>
        </w:pict>
      </w:r>
      <w:r w:rsidRPr="00740526">
        <w:rPr>
          <w:rFonts w:ascii="Times New Roman" w:hAnsi="Times New Roman" w:cs="Times New Roman"/>
          <w:position w:val="-12"/>
        </w:rPr>
        <w:fldChar w:fldCharType="end"/>
      </w:r>
      <w:r>
        <w:rPr>
          <w:rFonts w:ascii="Times New Roman" w:hAnsi="Times New Roman" w:cs="Times New Roman"/>
          <w:position w:val="-12"/>
        </w:rPr>
        <w:t>denotes the idiosyncratic fraction. The decomposition of the variance of size premium (</w:t>
      </w:r>
      <w:r w:rsidRPr="00D06C24">
        <w:rPr>
          <w:rFonts w:ascii="Times New Roman" w:hAnsi="Times New Roman" w:cs="Times New Roman"/>
          <w:i/>
          <w:position w:val="-12"/>
        </w:rPr>
        <w:t>R</w:t>
      </w:r>
      <w:r w:rsidRPr="00D06C24">
        <w:rPr>
          <w:rFonts w:ascii="Times New Roman" w:hAnsi="Times New Roman" w:cs="Times New Roman"/>
          <w:i/>
          <w:position w:val="-12"/>
          <w:vertAlign w:val="subscript"/>
        </w:rPr>
        <w:t>SMB</w:t>
      </w:r>
      <w:r>
        <w:rPr>
          <w:rFonts w:ascii="Times New Roman" w:hAnsi="Times New Roman" w:cs="Times New Roman"/>
          <w:position w:val="-12"/>
        </w:rPr>
        <w:t xml:space="preserve">) is defined similarly. </w:t>
      </w:r>
    </w:p>
    <w:p w:rsidR="00523FB7" w:rsidRPr="003410DE" w:rsidRDefault="00523FB7" w:rsidP="000B1234">
      <w:pPr>
        <w:snapToGrid w:val="0"/>
        <w:spacing w:line="480" w:lineRule="auto"/>
        <w:ind w:firstLine="480"/>
        <w:jc w:val="both"/>
        <w:rPr>
          <w:rFonts w:ascii="Times New Roman" w:hAnsi="Times New Roman" w:cs="Times New Roman"/>
        </w:rPr>
      </w:pPr>
      <w:r w:rsidRPr="00E93AFD">
        <w:rPr>
          <w:rFonts w:ascii="TimesNewRomanPSMT" w:hAnsi="TimesNewRomanPSMT" w:cs="TimesNewRomanPSMT"/>
          <w:kern w:val="0"/>
        </w:rPr>
        <w:t xml:space="preserve">Panel A of Table 12 indicates that the </w:t>
      </w:r>
      <w:r w:rsidRPr="00E93AFD">
        <w:rPr>
          <w:rFonts w:ascii="Times New Roman" w:hAnsi="Times New Roman" w:cs="Times New Roman"/>
        </w:rPr>
        <w:t>institutional trading</w:t>
      </w:r>
      <w:r w:rsidRPr="00E93AFD">
        <w:rPr>
          <w:rFonts w:ascii="TimesNewRomanPSMT" w:hAnsi="TimesNewRomanPSMT" w:cs="TimesNewRomanPSMT"/>
          <w:kern w:val="0"/>
        </w:rPr>
        <w:t xml:space="preserve"> (</w:t>
      </w:r>
      <w:r w:rsidRPr="00E93AFD">
        <w:rPr>
          <w:rFonts w:ascii="Times New Roman" w:hAnsi="Times New Roman" w:cs="Times New Roman"/>
        </w:rPr>
        <w:t>individual trading</w:t>
      </w:r>
      <w:r w:rsidRPr="00E93AFD">
        <w:rPr>
          <w:rFonts w:ascii="TimesNewRomanPSMT" w:hAnsi="TimesNewRomanPSMT" w:cs="TimesNewRomanPSMT"/>
          <w:kern w:val="0"/>
        </w:rPr>
        <w:t xml:space="preserve">) beta is 0.42 (-0.26) for the equal-weighted </w:t>
      </w:r>
      <w:r w:rsidRPr="00E93AFD">
        <w:rPr>
          <w:rFonts w:ascii="Times New Roman" w:hAnsi="Times New Roman" w:cs="Times New Roman"/>
          <w:i/>
        </w:rPr>
        <w:t>BE/ME</w:t>
      </w:r>
      <w:r w:rsidRPr="00E93AFD">
        <w:rPr>
          <w:rFonts w:ascii="TimesNewRomanPSMT" w:hAnsi="TimesNewRomanPSMT" w:cs="TimesNewRomanPSMT"/>
          <w:kern w:val="0"/>
        </w:rPr>
        <w:t xml:space="preserve"> premium, -0.76 (-0.33) for the equal-weighted size premium, 0.37 (0.07) for the value-weighted value premium, and -0.33 (-0.27) for the value-weighted size premium.</w:t>
      </w:r>
      <w:r>
        <w:rPr>
          <w:rFonts w:ascii="TimesNewRomanPSMT" w:hAnsi="TimesNewRomanPSMT" w:cs="TimesNewRomanPSMT"/>
          <w:kern w:val="0"/>
        </w:rPr>
        <w:t xml:space="preserve"> Except for the coefficient of </w:t>
      </w:r>
      <w:r w:rsidRPr="00E93AFD">
        <w:rPr>
          <w:rFonts w:ascii="TimesNewRomanPSMT" w:hAnsi="TimesNewRomanPSMT" w:cs="TimesNewRomanPSMT"/>
          <w:i/>
          <w:kern w:val="0"/>
        </w:rPr>
        <w:t>AdjDIND</w:t>
      </w:r>
      <w:r>
        <w:rPr>
          <w:rFonts w:ascii="TimesNewRomanPSMT" w:hAnsi="TimesNewRomanPSMT" w:cs="TimesNewRomanPSMT"/>
          <w:kern w:val="0"/>
        </w:rPr>
        <w:t xml:space="preserve"> on value-weighted </w:t>
      </w:r>
      <w:r w:rsidRPr="00185637">
        <w:rPr>
          <w:rFonts w:ascii="Times New Roman" w:hAnsi="Times New Roman" w:cs="Times New Roman"/>
          <w:i/>
        </w:rPr>
        <w:t>BE/ME</w:t>
      </w:r>
      <w:r>
        <w:rPr>
          <w:rFonts w:ascii="TimesNewRomanPSMT" w:hAnsi="TimesNewRomanPSMT" w:cs="TimesNewRomanPSMT"/>
          <w:kern w:val="0"/>
        </w:rPr>
        <w:t xml:space="preserve"> premium, all coefficients are significant at the 1% level. </w:t>
      </w:r>
      <w:r>
        <w:rPr>
          <w:rFonts w:ascii="Times New Roman" w:hAnsi="Times New Roman" w:cs="Times New Roman"/>
        </w:rPr>
        <w:t xml:space="preserve">The explanatory power of the two factor model is little, with adjusted </w:t>
      </w:r>
      <w:r w:rsidRPr="00590E58">
        <w:rPr>
          <w:rFonts w:ascii="Times New Roman" w:hAnsi="Times New Roman" w:cs="Times New Roman"/>
          <w:i/>
        </w:rPr>
        <w:t>R</w:t>
      </w:r>
      <w:r w:rsidRPr="00590E58">
        <w:rPr>
          <w:rFonts w:ascii="Times New Roman" w:hAnsi="Times New Roman" w:cs="Times New Roman"/>
          <w:vertAlign w:val="superscript"/>
        </w:rPr>
        <w:t>2</w:t>
      </w:r>
      <w:r>
        <w:rPr>
          <w:rFonts w:ascii="Times New Roman" w:hAnsi="Times New Roman" w:cs="Times New Roman"/>
        </w:rPr>
        <w:t xml:space="preserve">s of 9% (2.1%) and 16.4% (4.5%) for equal-weighted (value-weighted) </w:t>
      </w:r>
      <w:r w:rsidRPr="00185637">
        <w:rPr>
          <w:rFonts w:ascii="Times New Roman" w:hAnsi="Times New Roman" w:cs="Times New Roman"/>
          <w:i/>
        </w:rPr>
        <w:t>BE/ME</w:t>
      </w:r>
      <w:r>
        <w:rPr>
          <w:rFonts w:ascii="Times New Roman" w:hAnsi="Times New Roman" w:cs="Times New Roman"/>
        </w:rPr>
        <w:t xml:space="preserve"> premium and size premium, respectively. </w:t>
      </w:r>
      <w:r w:rsidRPr="007B579A">
        <w:rPr>
          <w:rFonts w:ascii="Times New Roman" w:hAnsi="Times New Roman" w:cs="Times New Roman"/>
        </w:rPr>
        <w:t xml:space="preserve">Our results show that idiosyncratic volatility accounts for </w:t>
      </w:r>
      <w:r>
        <w:rPr>
          <w:rFonts w:ascii="Times New Roman" w:hAnsi="Times New Roman" w:cs="Times New Roman"/>
        </w:rPr>
        <w:t xml:space="preserve">about 90.48% (97.28%) and 83.07% (94.92%) </w:t>
      </w:r>
      <w:r w:rsidRPr="007B579A">
        <w:rPr>
          <w:rFonts w:ascii="Times New Roman" w:hAnsi="Times New Roman" w:cs="Times New Roman"/>
        </w:rPr>
        <w:t xml:space="preserve">of the variance in the </w:t>
      </w:r>
      <w:r>
        <w:rPr>
          <w:rFonts w:ascii="Times New Roman" w:hAnsi="Times New Roman" w:cs="Times New Roman"/>
        </w:rPr>
        <w:t xml:space="preserve">equal-weighted (value-weighted) </w:t>
      </w:r>
      <w:r w:rsidRPr="00185637">
        <w:rPr>
          <w:rFonts w:ascii="Times New Roman" w:hAnsi="Times New Roman" w:cs="Times New Roman"/>
          <w:i/>
        </w:rPr>
        <w:t>BE/ME</w:t>
      </w:r>
      <w:r>
        <w:rPr>
          <w:rFonts w:ascii="Times New Roman" w:hAnsi="Times New Roman" w:cs="Times New Roman"/>
        </w:rPr>
        <w:t xml:space="preserve"> premium and size premium, respectively. Both</w:t>
      </w:r>
      <w:r w:rsidRPr="007B579A">
        <w:rPr>
          <w:rFonts w:ascii="Times New Roman" w:hAnsi="Times New Roman" w:cs="Times New Roman"/>
        </w:rPr>
        <w:t xml:space="preserve"> weak explanatory power of the two</w:t>
      </w:r>
      <w:r>
        <w:rPr>
          <w:rFonts w:ascii="Times New Roman" w:hAnsi="Times New Roman" w:cs="Times New Roman"/>
        </w:rPr>
        <w:t xml:space="preserve"> </w:t>
      </w:r>
      <w:r w:rsidRPr="007B579A">
        <w:rPr>
          <w:rFonts w:ascii="Times New Roman" w:hAnsi="Times New Roman" w:cs="Times New Roman"/>
        </w:rPr>
        <w:t>factor</w:t>
      </w:r>
      <w:r>
        <w:rPr>
          <w:rFonts w:ascii="Times New Roman" w:hAnsi="Times New Roman" w:cs="Times New Roman"/>
        </w:rPr>
        <w:t xml:space="preserve"> </w:t>
      </w:r>
      <w:r w:rsidRPr="007B579A">
        <w:rPr>
          <w:rFonts w:ascii="Times New Roman" w:hAnsi="Times New Roman" w:cs="Times New Roman"/>
        </w:rPr>
        <w:t>model and the high proportion of variance accounted for by</w:t>
      </w:r>
      <w:r>
        <w:rPr>
          <w:rFonts w:ascii="Times New Roman" w:hAnsi="Times New Roman" w:cs="Times New Roman"/>
        </w:rPr>
        <w:t xml:space="preserve"> </w:t>
      </w:r>
      <w:r w:rsidRPr="007B579A">
        <w:rPr>
          <w:rFonts w:ascii="Times New Roman" w:hAnsi="Times New Roman" w:cs="Times New Roman"/>
        </w:rPr>
        <w:t>idiosyncratic volatil</w:t>
      </w:r>
      <w:r>
        <w:rPr>
          <w:rFonts w:ascii="Times New Roman" w:hAnsi="Times New Roman" w:cs="Times New Roman"/>
        </w:rPr>
        <w:t xml:space="preserve">ity seems to indicate that the </w:t>
      </w:r>
      <w:r w:rsidRPr="00185637">
        <w:rPr>
          <w:rFonts w:ascii="Times New Roman" w:hAnsi="Times New Roman" w:cs="Times New Roman"/>
          <w:i/>
        </w:rPr>
        <w:t>BE/ME</w:t>
      </w:r>
      <w:r>
        <w:rPr>
          <w:rFonts w:ascii="Times New Roman" w:hAnsi="Times New Roman" w:cs="Times New Roman"/>
        </w:rPr>
        <w:t xml:space="preserve"> premium and size premium are not driven by institutional trading and individual trading. This is inconsistent with the argument that value and size premiums are driven by investor’s trading behavior.  </w:t>
      </w:r>
    </w:p>
    <w:p w:rsidR="00523FB7" w:rsidRPr="00741707" w:rsidRDefault="00523FB7" w:rsidP="00FB5F69">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&lt;Insert Table</w:t>
      </w:r>
      <w:r>
        <w:rPr>
          <w:rFonts w:ascii="Times New Roman" w:hAnsi="Times New Roman" w:cs="Times New Roman"/>
          <w:bCs/>
          <w:kern w:val="0"/>
          <w:sz w:val="28"/>
          <w:szCs w:val="28"/>
        </w:rPr>
        <w:t xml:space="preserve"> 12</w:t>
      </w:r>
      <w:r w:rsidRPr="00741707">
        <w:rPr>
          <w:rFonts w:ascii="Times New Roman" w:hAnsi="Times New Roman" w:cs="Times New Roman"/>
          <w:bCs/>
          <w:kern w:val="0"/>
          <w:sz w:val="28"/>
          <w:szCs w:val="28"/>
        </w:rPr>
        <w:t xml:space="preserve"> about here&gt;</w:t>
      </w:r>
    </w:p>
    <w:p w:rsidR="00523FB7" w:rsidRPr="003410DE" w:rsidRDefault="00523FB7" w:rsidP="00CC31B9">
      <w:pPr>
        <w:numPr>
          <w:ilvl w:val="0"/>
          <w:numId w:val="2"/>
        </w:numPr>
        <w:snapToGrid w:val="0"/>
        <w:spacing w:line="480" w:lineRule="auto"/>
        <w:rPr>
          <w:rFonts w:ascii="Times New Roman" w:hAnsi="Times New Roman" w:cs="Times New Roman"/>
          <w:b/>
          <w:bCs/>
          <w:sz w:val="28"/>
          <w:szCs w:val="28"/>
        </w:rPr>
      </w:pPr>
      <w:r>
        <w:rPr>
          <w:rFonts w:ascii="Times New Roman" w:hAnsi="Times New Roman" w:cs="Times New Roman"/>
          <w:b/>
          <w:bCs/>
          <w:kern w:val="0"/>
          <w:sz w:val="28"/>
          <w:szCs w:val="28"/>
        </w:rPr>
        <w:t>V</w:t>
      </w:r>
      <w:r w:rsidRPr="003410DE">
        <w:rPr>
          <w:rFonts w:ascii="Times New Roman" w:hAnsi="Times New Roman" w:cs="Times New Roman"/>
          <w:b/>
          <w:bCs/>
          <w:kern w:val="0"/>
          <w:sz w:val="28"/>
          <w:szCs w:val="28"/>
        </w:rPr>
        <w:t xml:space="preserve">alue and size strategies </w:t>
      </w:r>
      <w:r>
        <w:rPr>
          <w:rFonts w:ascii="Times New Roman" w:hAnsi="Times New Roman" w:cs="Times New Roman"/>
          <w:b/>
          <w:bCs/>
          <w:kern w:val="0"/>
          <w:sz w:val="28"/>
          <w:szCs w:val="28"/>
        </w:rPr>
        <w:t>with</w:t>
      </w:r>
      <w:r w:rsidRPr="003410DE">
        <w:rPr>
          <w:rFonts w:ascii="Times New Roman" w:hAnsi="Times New Roman" w:cs="Times New Roman"/>
          <w:b/>
          <w:bCs/>
          <w:kern w:val="0"/>
          <w:sz w:val="28"/>
          <w:szCs w:val="28"/>
        </w:rPr>
        <w:t xml:space="preserve"> institutional and individual trading </w:t>
      </w:r>
    </w:p>
    <w:p w:rsidR="00523FB7" w:rsidRPr="00235F5B" w:rsidRDefault="00523FB7" w:rsidP="00CC31B9">
      <w:pPr>
        <w:snapToGrid w:val="0"/>
        <w:spacing w:line="480" w:lineRule="auto"/>
        <w:jc w:val="both"/>
        <w:rPr>
          <w:rFonts w:ascii="Times New Roman" w:hAnsi="Times New Roman" w:cs="Times New Roman"/>
          <w:kern w:val="0"/>
        </w:rPr>
      </w:pPr>
      <w:r>
        <w:rPr>
          <w:rFonts w:ascii="Times New Roman" w:hAnsi="Times New Roman" w:cs="Times New Roman"/>
          <w:kern w:val="0"/>
        </w:rPr>
        <w:t>According to t</w:t>
      </w:r>
      <w:r w:rsidRPr="003410DE">
        <w:rPr>
          <w:rFonts w:ascii="Times New Roman" w:hAnsi="Times New Roman" w:cs="Times New Roman"/>
          <w:kern w:val="0"/>
        </w:rPr>
        <w:t xml:space="preserve">he </w:t>
      </w:r>
      <w:r>
        <w:rPr>
          <w:rFonts w:ascii="Times New Roman" w:hAnsi="Times New Roman" w:cs="Times New Roman"/>
          <w:kern w:val="0"/>
        </w:rPr>
        <w:t xml:space="preserve">previous </w:t>
      </w:r>
      <w:r w:rsidRPr="003410DE">
        <w:rPr>
          <w:rFonts w:ascii="Times New Roman" w:hAnsi="Times New Roman" w:cs="Times New Roman"/>
          <w:kern w:val="0"/>
        </w:rPr>
        <w:t>section</w:t>
      </w:r>
      <w:r>
        <w:rPr>
          <w:rFonts w:ascii="Times New Roman" w:hAnsi="Times New Roman" w:cs="Times New Roman"/>
          <w:kern w:val="0"/>
        </w:rPr>
        <w:t>, the</w:t>
      </w:r>
      <w:r w:rsidRPr="003410DE">
        <w:rPr>
          <w:rFonts w:ascii="Times New Roman" w:hAnsi="Times New Roman" w:cs="Times New Roman"/>
          <w:kern w:val="0"/>
        </w:rPr>
        <w:t xml:space="preserve">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spread (i.e., returns on stocks </w:t>
      </w:r>
      <w:r>
        <w:rPr>
          <w:rFonts w:ascii="Times New Roman" w:hAnsi="Times New Roman" w:cs="Times New Roman"/>
          <w:kern w:val="0"/>
        </w:rPr>
        <w:t>with</w:t>
      </w:r>
      <w:r w:rsidRPr="003410DE">
        <w:rPr>
          <w:rFonts w:ascii="Times New Roman" w:hAnsi="Times New Roman" w:cs="Times New Roman"/>
          <w:kern w:val="0"/>
        </w:rPr>
        <w:t xml:space="preserve"> heavy institutional </w:t>
      </w:r>
      <w:r>
        <w:rPr>
          <w:rFonts w:ascii="Times New Roman" w:hAnsi="Times New Roman" w:cs="Times New Roman"/>
          <w:kern w:val="0"/>
        </w:rPr>
        <w:t>net-</w:t>
      </w:r>
      <w:r w:rsidRPr="003410DE">
        <w:rPr>
          <w:rFonts w:ascii="Times New Roman" w:hAnsi="Times New Roman" w:cs="Times New Roman"/>
          <w:kern w:val="0"/>
        </w:rPr>
        <w:t xml:space="preserve">selling minus returns on stocks </w:t>
      </w:r>
      <w:r>
        <w:rPr>
          <w:rFonts w:ascii="Times New Roman" w:hAnsi="Times New Roman" w:cs="Times New Roman"/>
          <w:kern w:val="0"/>
        </w:rPr>
        <w:t>with</w:t>
      </w:r>
      <w:r w:rsidRPr="003410DE">
        <w:rPr>
          <w:rFonts w:ascii="Times New Roman" w:hAnsi="Times New Roman" w:cs="Times New Roman"/>
          <w:kern w:val="0"/>
        </w:rPr>
        <w:t xml:space="preserve"> heavy institutional </w:t>
      </w:r>
      <w:r>
        <w:rPr>
          <w:rFonts w:ascii="Times New Roman" w:hAnsi="Times New Roman" w:cs="Times New Roman"/>
          <w:kern w:val="0"/>
        </w:rPr>
        <w:t>net-</w:t>
      </w:r>
      <w:r w:rsidRPr="003410DE">
        <w:rPr>
          <w:rFonts w:ascii="Times New Roman" w:hAnsi="Times New Roman" w:cs="Times New Roman"/>
          <w:kern w:val="0"/>
        </w:rPr>
        <w:t xml:space="preserve">buying) and </w:t>
      </w:r>
      <w:r w:rsidRPr="00D5561B">
        <w:rPr>
          <w:rFonts w:ascii="Times New Roman" w:hAnsi="Times New Roman" w:cs="Times New Roman"/>
          <w:i/>
          <w:kern w:val="0"/>
        </w:rPr>
        <w:t>AdjDIND</w:t>
      </w:r>
      <w:r w:rsidRPr="003410DE">
        <w:rPr>
          <w:rFonts w:ascii="Times New Roman" w:hAnsi="Times New Roman" w:cs="Times New Roman"/>
          <w:kern w:val="0"/>
        </w:rPr>
        <w:t xml:space="preserve"> spread (i.e., returns on stocks </w:t>
      </w:r>
      <w:r>
        <w:rPr>
          <w:rFonts w:ascii="Times New Roman" w:hAnsi="Times New Roman" w:cs="Times New Roman"/>
          <w:kern w:val="0"/>
        </w:rPr>
        <w:t>with</w:t>
      </w:r>
      <w:r w:rsidRPr="003410DE">
        <w:rPr>
          <w:rFonts w:ascii="Times New Roman" w:hAnsi="Times New Roman" w:cs="Times New Roman"/>
          <w:kern w:val="0"/>
        </w:rPr>
        <w:t xml:space="preserve"> heavy individual </w:t>
      </w:r>
      <w:r>
        <w:rPr>
          <w:rFonts w:ascii="Times New Roman" w:hAnsi="Times New Roman" w:cs="Times New Roman"/>
          <w:kern w:val="0"/>
        </w:rPr>
        <w:t>net-</w:t>
      </w:r>
      <w:r w:rsidRPr="003410DE">
        <w:rPr>
          <w:rFonts w:ascii="Times New Roman" w:hAnsi="Times New Roman" w:cs="Times New Roman"/>
          <w:kern w:val="0"/>
        </w:rPr>
        <w:t xml:space="preserve">buying minus returns on stocks </w:t>
      </w:r>
      <w:r>
        <w:rPr>
          <w:rFonts w:ascii="Times New Roman" w:hAnsi="Times New Roman" w:cs="Times New Roman"/>
          <w:kern w:val="0"/>
        </w:rPr>
        <w:t>with</w:t>
      </w:r>
      <w:r w:rsidRPr="003410DE">
        <w:rPr>
          <w:rFonts w:ascii="Times New Roman" w:hAnsi="Times New Roman" w:cs="Times New Roman"/>
          <w:kern w:val="0"/>
        </w:rPr>
        <w:t xml:space="preserve"> heavy individual </w:t>
      </w:r>
      <w:r>
        <w:rPr>
          <w:rFonts w:ascii="Times New Roman" w:hAnsi="Times New Roman" w:cs="Times New Roman"/>
          <w:kern w:val="0"/>
        </w:rPr>
        <w:t>net-selling) have little</w:t>
      </w:r>
      <w:r w:rsidRPr="003410DE">
        <w:rPr>
          <w:rFonts w:ascii="Times New Roman" w:hAnsi="Times New Roman" w:cs="Times New Roman"/>
          <w:kern w:val="0"/>
        </w:rPr>
        <w:t xml:space="preserve"> association </w:t>
      </w:r>
      <w:r>
        <w:rPr>
          <w:rFonts w:ascii="Times New Roman" w:hAnsi="Times New Roman" w:cs="Times New Roman"/>
          <w:kern w:val="0"/>
        </w:rPr>
        <w:t>with</w:t>
      </w:r>
      <w:r w:rsidRPr="003410DE">
        <w:rPr>
          <w:rFonts w:ascii="Times New Roman" w:hAnsi="Times New Roman" w:cs="Times New Roman"/>
          <w:kern w:val="0"/>
        </w:rPr>
        <w:t xml:space="preserve"> </w:t>
      </w:r>
      <w:r w:rsidRPr="004713B0">
        <w:rPr>
          <w:rFonts w:ascii="Times New Roman" w:hAnsi="Times New Roman" w:cs="Times New Roman"/>
          <w:kern w:val="0"/>
        </w:rPr>
        <w:t xml:space="preserve">value </w:t>
      </w:r>
      <w:r w:rsidRPr="003410DE">
        <w:rPr>
          <w:rFonts w:ascii="Times New Roman" w:hAnsi="Times New Roman" w:cs="Times New Roman"/>
          <w:kern w:val="0"/>
        </w:rPr>
        <w:t xml:space="preserve">and size premiums. </w:t>
      </w:r>
      <w:r>
        <w:rPr>
          <w:rFonts w:ascii="Times New Roman" w:hAnsi="Times New Roman" w:cs="Times New Roman"/>
          <w:kern w:val="0"/>
        </w:rPr>
        <w:t>Thus, w</w:t>
      </w:r>
      <w:r w:rsidRPr="003410DE">
        <w:rPr>
          <w:rFonts w:ascii="Times New Roman" w:hAnsi="Times New Roman" w:cs="Times New Roman"/>
          <w:kern w:val="0"/>
        </w:rPr>
        <w:t xml:space="preserve">e attempt to examine whether a strategy that buys high </w:t>
      </w:r>
      <w:r w:rsidRPr="00D5561B">
        <w:rPr>
          <w:rFonts w:ascii="Times New Roman" w:hAnsi="Times New Roman" w:cs="Times New Roman"/>
          <w:i/>
          <w:kern w:val="0"/>
        </w:rPr>
        <w:t>BE/ME</w:t>
      </w:r>
      <w:r w:rsidRPr="003410DE">
        <w:rPr>
          <w:rFonts w:ascii="Times New Roman" w:hAnsi="Times New Roman" w:cs="Times New Roman"/>
          <w:kern w:val="0"/>
        </w:rPr>
        <w:t xml:space="preserve"> (or small</w:t>
      </w:r>
      <w:r>
        <w:rPr>
          <w:rFonts w:ascii="Times New Roman" w:hAnsi="Times New Roman" w:cs="Times New Roman"/>
          <w:kern w:val="0"/>
        </w:rPr>
        <w:t xml:space="preserve"> </w:t>
      </w:r>
      <w:r w:rsidRPr="003410DE">
        <w:rPr>
          <w:rFonts w:ascii="Times New Roman" w:hAnsi="Times New Roman" w:cs="Times New Roman"/>
          <w:kern w:val="0"/>
        </w:rPr>
        <w:t xml:space="preserve">size) stocks </w:t>
      </w:r>
      <w:r>
        <w:rPr>
          <w:rFonts w:ascii="Times New Roman" w:hAnsi="Times New Roman" w:cs="Times New Roman"/>
          <w:kern w:val="0"/>
        </w:rPr>
        <w:t>with</w:t>
      </w:r>
      <w:r w:rsidRPr="003410DE">
        <w:rPr>
          <w:rFonts w:ascii="Times New Roman" w:hAnsi="Times New Roman" w:cs="Times New Roman"/>
          <w:kern w:val="0"/>
        </w:rPr>
        <w:t xml:space="preserve"> heavy institutional </w:t>
      </w:r>
      <w:r>
        <w:rPr>
          <w:rFonts w:ascii="Times New Roman" w:hAnsi="Times New Roman" w:cs="Times New Roman"/>
          <w:kern w:val="0"/>
        </w:rPr>
        <w:t>net-</w:t>
      </w:r>
      <w:r w:rsidRPr="003410DE">
        <w:rPr>
          <w:rFonts w:ascii="Times New Roman" w:hAnsi="Times New Roman" w:cs="Times New Roman"/>
          <w:kern w:val="0"/>
        </w:rPr>
        <w:t xml:space="preserve">selling (or individual </w:t>
      </w:r>
      <w:r>
        <w:rPr>
          <w:rFonts w:ascii="Times New Roman" w:hAnsi="Times New Roman" w:cs="Times New Roman"/>
          <w:kern w:val="0"/>
        </w:rPr>
        <w:t>net-</w:t>
      </w:r>
      <w:r w:rsidRPr="003410DE">
        <w:rPr>
          <w:rFonts w:ascii="Times New Roman" w:hAnsi="Times New Roman" w:cs="Times New Roman"/>
          <w:kern w:val="0"/>
        </w:rPr>
        <w:t xml:space="preserve">buying) and sells short low </w:t>
      </w:r>
      <w:r w:rsidRPr="00D5561B">
        <w:rPr>
          <w:rFonts w:ascii="Times New Roman" w:hAnsi="Times New Roman" w:cs="Times New Roman"/>
          <w:i/>
          <w:kern w:val="0"/>
        </w:rPr>
        <w:t>BE/ME</w:t>
      </w:r>
      <w:r w:rsidRPr="003410DE">
        <w:rPr>
          <w:rFonts w:ascii="Times New Roman" w:hAnsi="Times New Roman" w:cs="Times New Roman"/>
          <w:kern w:val="0"/>
        </w:rPr>
        <w:t xml:space="preserve"> (or </w:t>
      </w:r>
      <w:r>
        <w:rPr>
          <w:rFonts w:ascii="Times New Roman" w:hAnsi="Times New Roman" w:cs="Times New Roman"/>
          <w:kern w:val="0"/>
        </w:rPr>
        <w:t xml:space="preserve">large </w:t>
      </w:r>
      <w:r w:rsidRPr="003410DE">
        <w:rPr>
          <w:rFonts w:ascii="Times New Roman" w:hAnsi="Times New Roman" w:cs="Times New Roman"/>
          <w:kern w:val="0"/>
        </w:rPr>
        <w:t xml:space="preserve">size) stocks </w:t>
      </w:r>
      <w:r>
        <w:rPr>
          <w:rFonts w:ascii="Times New Roman" w:hAnsi="Times New Roman" w:cs="Times New Roman"/>
          <w:kern w:val="0"/>
        </w:rPr>
        <w:t>with</w:t>
      </w:r>
      <w:r w:rsidRPr="003410DE">
        <w:rPr>
          <w:rFonts w:ascii="Times New Roman" w:hAnsi="Times New Roman" w:cs="Times New Roman"/>
          <w:kern w:val="0"/>
        </w:rPr>
        <w:t xml:space="preserve"> heavy institutional </w:t>
      </w:r>
      <w:r>
        <w:rPr>
          <w:rFonts w:ascii="Times New Roman" w:hAnsi="Times New Roman" w:cs="Times New Roman"/>
          <w:kern w:val="0"/>
        </w:rPr>
        <w:t>net-</w:t>
      </w:r>
      <w:r w:rsidRPr="003410DE">
        <w:rPr>
          <w:rFonts w:ascii="Times New Roman" w:hAnsi="Times New Roman" w:cs="Times New Roman"/>
          <w:kern w:val="0"/>
        </w:rPr>
        <w:t xml:space="preserve">buying (or individual </w:t>
      </w:r>
      <w:r>
        <w:rPr>
          <w:rFonts w:ascii="Times New Roman" w:hAnsi="Times New Roman" w:cs="Times New Roman"/>
          <w:kern w:val="0"/>
        </w:rPr>
        <w:t>net-</w:t>
      </w:r>
      <w:r w:rsidRPr="003410DE">
        <w:rPr>
          <w:rFonts w:ascii="Times New Roman" w:hAnsi="Times New Roman" w:cs="Times New Roman"/>
          <w:kern w:val="0"/>
        </w:rPr>
        <w:t xml:space="preserve">buying) </w:t>
      </w:r>
      <w:r>
        <w:rPr>
          <w:rFonts w:ascii="Times New Roman" w:hAnsi="Times New Roman" w:cs="Times New Roman"/>
          <w:kern w:val="0"/>
        </w:rPr>
        <w:t xml:space="preserve">can </w:t>
      </w:r>
      <w:r w:rsidRPr="003410DE">
        <w:rPr>
          <w:rFonts w:ascii="Times New Roman" w:hAnsi="Times New Roman" w:cs="Times New Roman"/>
          <w:kern w:val="0"/>
        </w:rPr>
        <w:t xml:space="preserve">experience high returns. </w:t>
      </w:r>
      <w:r>
        <w:rPr>
          <w:rFonts w:ascii="Times New Roman" w:hAnsi="Times New Roman" w:cs="Times New Roman"/>
          <w:kern w:val="0"/>
        </w:rPr>
        <w:t xml:space="preserve">Moreover, we can use two </w:t>
      </w:r>
      <w:r>
        <w:rPr>
          <w:rFonts w:ascii="TimesNewRomanPSMT" w:hAnsi="TimesNewRomanPSMT" w:cs="TimesNewRomanPSMT"/>
          <w:kern w:val="0"/>
          <w:lang w:eastAsia="en-US"/>
        </w:rPr>
        <w:t>dimensions</w:t>
      </w:r>
      <w:r>
        <w:rPr>
          <w:rFonts w:ascii="TimesNewRomanPSMT" w:hAnsi="TimesNewRomanPSMT" w:cs="TimesNewRomanPSMT"/>
          <w:kern w:val="0"/>
        </w:rPr>
        <w:t xml:space="preserve"> sorts to further examine whether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spread</w:t>
      </w:r>
      <w:r>
        <w:rPr>
          <w:rFonts w:ascii="Times New Roman" w:hAnsi="Times New Roman" w:cs="Times New Roman"/>
          <w:kern w:val="0"/>
        </w:rPr>
        <w:t xml:space="preserve"> and value premium (or size premium) is independent of each other. The intuition is: If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spread</w:t>
      </w:r>
      <w:r>
        <w:rPr>
          <w:rFonts w:ascii="Times New Roman" w:hAnsi="Times New Roman" w:cs="Times New Roman"/>
          <w:kern w:val="0"/>
        </w:rPr>
        <w:t xml:space="preserve"> and value premium (or size premium) are the same, the stock performance based on </w:t>
      </w:r>
      <w:r w:rsidRPr="00D5561B">
        <w:rPr>
          <w:rFonts w:ascii="Times New Roman" w:hAnsi="Times New Roman" w:cs="Times New Roman"/>
          <w:i/>
          <w:kern w:val="0"/>
        </w:rPr>
        <w:t>AdjD</w:t>
      </w:r>
      <w:r w:rsidRPr="0017025B">
        <w:rPr>
          <w:rFonts w:ascii="Times New Roman" w:hAnsi="Times New Roman" w:cs="Times New Roman"/>
          <w:i/>
          <w:kern w:val="0"/>
        </w:rPr>
        <w:t>ITH</w:t>
      </w:r>
      <w:r>
        <w:rPr>
          <w:rFonts w:ascii="Times New Roman" w:hAnsi="Times New Roman" w:cs="Times New Roman"/>
          <w:kern w:val="0"/>
        </w:rPr>
        <w:t xml:space="preserve"> and </w:t>
      </w:r>
      <w:r w:rsidRPr="00F25534">
        <w:rPr>
          <w:rFonts w:ascii="Times New Roman" w:hAnsi="Times New Roman" w:cs="Times New Roman"/>
          <w:i/>
          <w:kern w:val="0"/>
        </w:rPr>
        <w:t>BE/ME</w:t>
      </w:r>
      <w:r>
        <w:rPr>
          <w:rFonts w:ascii="Times New Roman" w:hAnsi="Times New Roman" w:cs="Times New Roman"/>
          <w:kern w:val="0"/>
        </w:rPr>
        <w:t xml:space="preserve"> (or size) two-</w:t>
      </w:r>
      <w:r>
        <w:rPr>
          <w:rFonts w:ascii="TimesNewRomanPSMT" w:hAnsi="TimesNewRomanPSMT" w:cs="TimesNewRomanPSMT"/>
          <w:kern w:val="0"/>
          <w:lang w:eastAsia="en-US"/>
        </w:rPr>
        <w:t>dimensions</w:t>
      </w:r>
      <w:r>
        <w:rPr>
          <w:rFonts w:ascii="TimesNewRomanPSMT" w:hAnsi="TimesNewRomanPSMT" w:cs="TimesNewRomanPSMT"/>
          <w:kern w:val="0"/>
        </w:rPr>
        <w:t xml:space="preserve"> sorts should be indifferent to that of </w:t>
      </w:r>
      <w:r w:rsidRPr="00D50A1B">
        <w:rPr>
          <w:rFonts w:ascii="Times New Roman" w:hAnsi="Times New Roman" w:cs="Times New Roman"/>
          <w:i/>
          <w:kern w:val="0"/>
        </w:rPr>
        <w:t>BE/ME</w:t>
      </w:r>
      <w:r>
        <w:rPr>
          <w:rFonts w:ascii="Times New Roman" w:hAnsi="Times New Roman" w:cs="Times New Roman"/>
          <w:kern w:val="0"/>
        </w:rPr>
        <w:t xml:space="preserve"> (or size) single-</w:t>
      </w:r>
      <w:r>
        <w:rPr>
          <w:rFonts w:ascii="TimesNewRomanPSMT" w:hAnsi="TimesNewRomanPSMT" w:cs="TimesNewRomanPSMT"/>
          <w:kern w:val="0"/>
          <w:lang w:eastAsia="en-US"/>
        </w:rPr>
        <w:t>dimension</w:t>
      </w:r>
      <w:r>
        <w:rPr>
          <w:rFonts w:ascii="TimesNewRomanPSMT" w:hAnsi="TimesNewRomanPSMT" w:cs="TimesNewRomanPSMT"/>
          <w:kern w:val="0"/>
        </w:rPr>
        <w:t xml:space="preserve"> sort. On the other hand, if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spread</w:t>
      </w:r>
      <w:r>
        <w:rPr>
          <w:rFonts w:ascii="Times New Roman" w:hAnsi="Times New Roman" w:cs="Times New Roman"/>
          <w:kern w:val="0"/>
        </w:rPr>
        <w:t xml:space="preserve"> i</w:t>
      </w:r>
      <w:r w:rsidRPr="00856E6B">
        <w:rPr>
          <w:rFonts w:ascii="Times New Roman" w:hAnsi="Times New Roman" w:cs="Times New Roman"/>
          <w:kern w:val="0"/>
        </w:rPr>
        <w:t>s not a manifestation of</w:t>
      </w:r>
      <w:r>
        <w:rPr>
          <w:rFonts w:ascii="Times New Roman" w:hAnsi="Times New Roman" w:cs="Times New Roman"/>
          <w:kern w:val="0"/>
        </w:rPr>
        <w:t xml:space="preserve"> </w:t>
      </w:r>
      <w:r w:rsidRPr="00D50A1B">
        <w:rPr>
          <w:rFonts w:ascii="Times New Roman" w:hAnsi="Times New Roman" w:cs="Times New Roman"/>
          <w:i/>
          <w:kern w:val="0"/>
        </w:rPr>
        <w:t>BE/ME</w:t>
      </w:r>
      <w:r>
        <w:rPr>
          <w:rFonts w:ascii="Times New Roman" w:hAnsi="Times New Roman" w:cs="Times New Roman"/>
          <w:kern w:val="0"/>
        </w:rPr>
        <w:t xml:space="preserve"> or size premium, then we might see that </w:t>
      </w:r>
      <w:r w:rsidRPr="00D5561B">
        <w:rPr>
          <w:rFonts w:ascii="Times New Roman" w:hAnsi="Times New Roman" w:cs="Times New Roman"/>
          <w:i/>
          <w:kern w:val="0"/>
        </w:rPr>
        <w:t>AdjD</w:t>
      </w:r>
      <w:r w:rsidRPr="0017025B">
        <w:rPr>
          <w:rFonts w:ascii="Times New Roman" w:hAnsi="Times New Roman" w:cs="Times New Roman"/>
          <w:i/>
          <w:kern w:val="0"/>
        </w:rPr>
        <w:t>ITH</w:t>
      </w:r>
      <w:r>
        <w:rPr>
          <w:rFonts w:ascii="Times New Roman" w:hAnsi="Times New Roman" w:cs="Times New Roman"/>
          <w:kern w:val="0"/>
        </w:rPr>
        <w:t xml:space="preserve"> could provide additional information to improve the performance of value (or size) strategy. </w:t>
      </w:r>
    </w:p>
    <w:p w:rsidR="00523FB7" w:rsidRPr="003410DE" w:rsidRDefault="00523FB7" w:rsidP="00311EB8">
      <w:pPr>
        <w:snapToGrid w:val="0"/>
        <w:spacing w:line="480" w:lineRule="auto"/>
        <w:jc w:val="both"/>
        <w:rPr>
          <w:rFonts w:ascii="Times New Roman" w:hAnsi="Times New Roman" w:cs="Times New Roman"/>
          <w:kern w:val="0"/>
        </w:rPr>
      </w:pPr>
      <w:r w:rsidRPr="003410DE">
        <w:rPr>
          <w:rFonts w:ascii="Times New Roman" w:hAnsi="Times New Roman" w:cs="Times New Roman"/>
          <w:kern w:val="0"/>
        </w:rPr>
        <w:tab/>
        <w:t xml:space="preserve">We adopt independent double sorts on </w:t>
      </w:r>
      <w:r w:rsidRPr="00D5561B">
        <w:rPr>
          <w:rFonts w:ascii="Times New Roman" w:hAnsi="Times New Roman" w:cs="Times New Roman"/>
          <w:i/>
          <w:kern w:val="0"/>
        </w:rPr>
        <w:t>BE/ME</w:t>
      </w:r>
      <w:r w:rsidRPr="003410DE">
        <w:rPr>
          <w:rFonts w:ascii="Times New Roman" w:hAnsi="Times New Roman" w:cs="Times New Roman"/>
          <w:kern w:val="0"/>
        </w:rPr>
        <w:t xml:space="preserve"> (or size) and </w:t>
      </w:r>
      <w:r w:rsidRPr="00D5561B">
        <w:rPr>
          <w:rFonts w:ascii="Times New Roman" w:hAnsi="Times New Roman" w:cs="Times New Roman"/>
          <w:i/>
          <w:kern w:val="0"/>
        </w:rPr>
        <w:t>AdjD</w:t>
      </w:r>
      <w:r w:rsidRPr="0017025B">
        <w:rPr>
          <w:rFonts w:ascii="Times New Roman" w:hAnsi="Times New Roman" w:cs="Times New Roman"/>
          <w:i/>
          <w:kern w:val="0"/>
        </w:rPr>
        <w:t>ITH</w:t>
      </w:r>
      <w:r w:rsidRPr="003410DE">
        <w:rPr>
          <w:rFonts w:ascii="Times New Roman" w:hAnsi="Times New Roman" w:cs="Times New Roman"/>
          <w:kern w:val="0"/>
        </w:rPr>
        <w:t xml:space="preserve"> (</w:t>
      </w:r>
      <w:r w:rsidRPr="00D5561B">
        <w:rPr>
          <w:rFonts w:ascii="Times New Roman" w:hAnsi="Times New Roman" w:cs="Times New Roman"/>
          <w:i/>
          <w:kern w:val="0"/>
        </w:rPr>
        <w:t>AdjDIND</w:t>
      </w:r>
      <w:r w:rsidRPr="003410DE">
        <w:rPr>
          <w:rFonts w:ascii="Times New Roman" w:hAnsi="Times New Roman" w:cs="Times New Roman"/>
          <w:kern w:val="0"/>
        </w:rPr>
        <w:t xml:space="preserve">) to examine the profitability of the investing strategies. </w:t>
      </w:r>
      <w:r>
        <w:rPr>
          <w:rFonts w:ascii="Times New Roman" w:hAnsi="Times New Roman" w:cs="Times New Roman"/>
          <w:kern w:val="0"/>
        </w:rPr>
        <w:t>F</w:t>
      </w:r>
      <w:r w:rsidRPr="003410DE">
        <w:rPr>
          <w:rFonts w:ascii="Times New Roman" w:hAnsi="Times New Roman" w:cs="Times New Roman"/>
        </w:rPr>
        <w:t xml:space="preserve">irst, five portfolios are formed </w:t>
      </w:r>
      <w:r>
        <w:rPr>
          <w:rFonts w:ascii="Times New Roman" w:hAnsi="Times New Roman" w:cs="Times New Roman"/>
        </w:rPr>
        <w:t xml:space="preserve">based </w:t>
      </w:r>
      <w:r w:rsidRPr="003410DE">
        <w:rPr>
          <w:rFonts w:ascii="Times New Roman" w:hAnsi="Times New Roman" w:cs="Times New Roman"/>
        </w:rPr>
        <w:t xml:space="preserve">on </w:t>
      </w:r>
      <w:r w:rsidRPr="00D5561B">
        <w:rPr>
          <w:rFonts w:ascii="Times New Roman" w:hAnsi="Times New Roman" w:cs="Times New Roman"/>
          <w:i/>
        </w:rPr>
        <w:t>BE/ME</w:t>
      </w:r>
      <w:r w:rsidRPr="003410DE">
        <w:rPr>
          <w:rFonts w:ascii="Times New Roman" w:hAnsi="Times New Roman" w:cs="Times New Roman"/>
        </w:rPr>
        <w:t xml:space="preserve"> or size, and five portfolios are formed </w:t>
      </w:r>
      <w:r>
        <w:rPr>
          <w:rFonts w:ascii="Times New Roman" w:hAnsi="Times New Roman" w:cs="Times New Roman"/>
        </w:rPr>
        <w:t xml:space="preserve">based </w:t>
      </w:r>
      <w:r w:rsidRPr="003410DE">
        <w:rPr>
          <w:rFonts w:ascii="Times New Roman" w:hAnsi="Times New Roman" w:cs="Times New Roman"/>
        </w:rPr>
        <w:t xml:space="preserve">on </w:t>
      </w:r>
      <w:r w:rsidRPr="00D5561B">
        <w:rPr>
          <w:rFonts w:ascii="Times New Roman" w:hAnsi="Times New Roman" w:cs="Times New Roman"/>
          <w:i/>
        </w:rPr>
        <w:t>AdjD</w:t>
      </w:r>
      <w:r w:rsidRPr="0017025B">
        <w:rPr>
          <w:rFonts w:ascii="Times New Roman" w:hAnsi="Times New Roman" w:cs="Times New Roman"/>
          <w:i/>
        </w:rPr>
        <w:t>ITH</w:t>
      </w:r>
      <w:r w:rsidRPr="003410DE">
        <w:rPr>
          <w:rFonts w:ascii="Times New Roman" w:hAnsi="Times New Roman" w:cs="Times New Roman"/>
        </w:rPr>
        <w:t xml:space="preserve"> or </w:t>
      </w:r>
      <w:r w:rsidRPr="00D5561B">
        <w:rPr>
          <w:rFonts w:ascii="Times New Roman" w:hAnsi="Times New Roman" w:cs="Times New Roman"/>
          <w:i/>
        </w:rPr>
        <w:t>AdjDIND</w:t>
      </w:r>
      <w:r w:rsidRPr="003410DE">
        <w:rPr>
          <w:rFonts w:ascii="Times New Roman" w:hAnsi="Times New Roman" w:cs="Times New Roman"/>
        </w:rPr>
        <w:t xml:space="preserve">. Second, </w:t>
      </w:r>
      <w:r>
        <w:rPr>
          <w:rFonts w:ascii="Times New Roman" w:hAnsi="Times New Roman" w:cs="Times New Roman"/>
        </w:rPr>
        <w:t xml:space="preserve">25 </w:t>
      </w:r>
      <w:r w:rsidRPr="003410DE">
        <w:rPr>
          <w:rFonts w:ascii="Times New Roman" w:hAnsi="Times New Roman" w:cs="Times New Roman"/>
        </w:rPr>
        <w:t xml:space="preserve">portfolios </w:t>
      </w:r>
      <w:r>
        <w:rPr>
          <w:rFonts w:ascii="Times New Roman" w:hAnsi="Times New Roman" w:cs="Times New Roman"/>
        </w:rPr>
        <w:t xml:space="preserve">are produced </w:t>
      </w:r>
      <w:r w:rsidRPr="003410DE">
        <w:rPr>
          <w:rFonts w:ascii="Times New Roman" w:hAnsi="Times New Roman" w:cs="Times New Roman"/>
        </w:rPr>
        <w:t xml:space="preserve">from the four types of intersections, </w:t>
      </w:r>
      <w:r>
        <w:rPr>
          <w:rFonts w:ascii="Times New Roman" w:hAnsi="Times New Roman" w:cs="Times New Roman"/>
        </w:rPr>
        <w:t>namely</w:t>
      </w:r>
      <w:r w:rsidRPr="003410DE">
        <w:rPr>
          <w:rFonts w:ascii="Times New Roman" w:hAnsi="Times New Roman" w:cs="Times New Roman"/>
        </w:rPr>
        <w:t xml:space="preserve">, the intersection between </w:t>
      </w:r>
      <w:r w:rsidRPr="00D5561B">
        <w:rPr>
          <w:rFonts w:ascii="Times New Roman" w:hAnsi="Times New Roman" w:cs="Times New Roman"/>
          <w:i/>
        </w:rPr>
        <w:t>BE/ME</w:t>
      </w:r>
      <w:r w:rsidRPr="003410DE">
        <w:rPr>
          <w:rFonts w:ascii="Times New Roman" w:hAnsi="Times New Roman" w:cs="Times New Roman"/>
        </w:rPr>
        <w:t xml:space="preserve"> </w:t>
      </w:r>
      <w:r>
        <w:rPr>
          <w:rFonts w:ascii="Times New Roman" w:hAnsi="Times New Roman" w:cs="Times New Roman"/>
        </w:rPr>
        <w:t>vs.</w:t>
      </w:r>
      <w:r w:rsidRPr="003410DE">
        <w:rPr>
          <w:rFonts w:ascii="Times New Roman" w:hAnsi="Times New Roman" w:cs="Times New Roman"/>
        </w:rPr>
        <w:t xml:space="preserve"> </w:t>
      </w:r>
      <w:r w:rsidRPr="00D5561B">
        <w:rPr>
          <w:rFonts w:ascii="Times New Roman" w:hAnsi="Times New Roman" w:cs="Times New Roman"/>
          <w:i/>
        </w:rPr>
        <w:t>AdjD</w:t>
      </w:r>
      <w:r w:rsidRPr="0017025B">
        <w:rPr>
          <w:rFonts w:ascii="Times New Roman" w:hAnsi="Times New Roman" w:cs="Times New Roman"/>
          <w:i/>
        </w:rPr>
        <w:t>ITH</w:t>
      </w:r>
      <w:r w:rsidRPr="003410DE">
        <w:rPr>
          <w:rFonts w:ascii="Times New Roman" w:hAnsi="Times New Roman" w:cs="Times New Roman"/>
        </w:rPr>
        <w:t xml:space="preserve">, </w:t>
      </w:r>
      <w:r w:rsidRPr="00D5561B">
        <w:rPr>
          <w:rFonts w:ascii="Times New Roman" w:hAnsi="Times New Roman" w:cs="Times New Roman"/>
          <w:i/>
        </w:rPr>
        <w:t>BE/ME</w:t>
      </w:r>
      <w:r w:rsidRPr="003410DE">
        <w:rPr>
          <w:rFonts w:ascii="Times New Roman" w:hAnsi="Times New Roman" w:cs="Times New Roman"/>
        </w:rPr>
        <w:t xml:space="preserve"> </w:t>
      </w:r>
      <w:r>
        <w:rPr>
          <w:rFonts w:ascii="Times New Roman" w:hAnsi="Times New Roman" w:cs="Times New Roman"/>
        </w:rPr>
        <w:t>vs.</w:t>
      </w:r>
      <w:r w:rsidRPr="003410DE">
        <w:rPr>
          <w:rFonts w:ascii="Times New Roman" w:hAnsi="Times New Roman" w:cs="Times New Roman"/>
        </w:rPr>
        <w:t xml:space="preserve"> </w:t>
      </w:r>
      <w:r w:rsidRPr="00D5561B">
        <w:rPr>
          <w:rFonts w:ascii="Times New Roman" w:hAnsi="Times New Roman" w:cs="Times New Roman"/>
          <w:i/>
        </w:rPr>
        <w:t>AdjDIND</w:t>
      </w:r>
      <w:r>
        <w:rPr>
          <w:rFonts w:ascii="Times New Roman" w:hAnsi="Times New Roman" w:cs="Times New Roman"/>
        </w:rPr>
        <w:t>,</w:t>
      </w:r>
      <w:r w:rsidRPr="003410DE">
        <w:rPr>
          <w:rFonts w:ascii="Times New Roman" w:hAnsi="Times New Roman" w:cs="Times New Roman"/>
        </w:rPr>
        <w:t xml:space="preserve"> size </w:t>
      </w:r>
      <w:r>
        <w:rPr>
          <w:rFonts w:ascii="Times New Roman" w:hAnsi="Times New Roman" w:cs="Times New Roman"/>
        </w:rPr>
        <w:t>vs.</w:t>
      </w:r>
      <w:r w:rsidRPr="003410DE">
        <w:rPr>
          <w:rFonts w:ascii="Times New Roman" w:hAnsi="Times New Roman" w:cs="Times New Roman"/>
        </w:rPr>
        <w:t xml:space="preserve"> </w:t>
      </w:r>
      <w:r w:rsidRPr="00D5561B">
        <w:rPr>
          <w:rFonts w:ascii="Times New Roman" w:hAnsi="Times New Roman" w:cs="Times New Roman"/>
          <w:i/>
        </w:rPr>
        <w:t>AdjD</w:t>
      </w:r>
      <w:r w:rsidRPr="0017025B">
        <w:rPr>
          <w:rFonts w:ascii="Times New Roman" w:hAnsi="Times New Roman" w:cs="Times New Roman"/>
          <w:i/>
        </w:rPr>
        <w:t>ITH</w:t>
      </w:r>
      <w:r w:rsidRPr="003410DE">
        <w:rPr>
          <w:rFonts w:ascii="Times New Roman" w:hAnsi="Times New Roman" w:cs="Times New Roman"/>
        </w:rPr>
        <w:t xml:space="preserve">, and size </w:t>
      </w:r>
      <w:r>
        <w:rPr>
          <w:rFonts w:ascii="Times New Roman" w:hAnsi="Times New Roman" w:cs="Times New Roman"/>
        </w:rPr>
        <w:t>vs.</w:t>
      </w:r>
      <w:r w:rsidRPr="003410DE">
        <w:rPr>
          <w:rFonts w:ascii="Times New Roman" w:hAnsi="Times New Roman" w:cs="Times New Roman"/>
        </w:rPr>
        <w:t xml:space="preserve"> </w:t>
      </w:r>
      <w:r w:rsidRPr="00D5561B">
        <w:rPr>
          <w:rFonts w:ascii="Times New Roman" w:hAnsi="Times New Roman" w:cs="Times New Roman"/>
          <w:i/>
        </w:rPr>
        <w:t>AdjDIND</w:t>
      </w:r>
      <w:r>
        <w:rPr>
          <w:rFonts w:ascii="Times New Roman" w:hAnsi="Times New Roman" w:cs="Times New Roman"/>
          <w:i/>
        </w:rPr>
        <w:t>,</w:t>
      </w:r>
      <w:r w:rsidRPr="003410DE">
        <w:rPr>
          <w:rFonts w:ascii="Times New Roman" w:hAnsi="Times New Roman" w:cs="Times New Roman"/>
        </w:rPr>
        <w:t xml:space="preserve"> </w:t>
      </w:r>
      <w:r>
        <w:rPr>
          <w:rFonts w:ascii="Times New Roman" w:hAnsi="Times New Roman" w:cs="Times New Roman"/>
        </w:rPr>
        <w:t>as</w:t>
      </w:r>
      <w:r w:rsidRPr="003410DE">
        <w:rPr>
          <w:rFonts w:ascii="Times New Roman" w:hAnsi="Times New Roman" w:cs="Times New Roman"/>
        </w:rPr>
        <w:t xml:space="preserve"> shown in Panels A to D, respectively. The investing strategy “(Small, Sell)</w:t>
      </w:r>
      <w:r w:rsidRPr="003410DE">
        <w:rPr>
          <w:rFonts w:ascii="Times New Roman" w:hAnsi="Times New Roman" w:cs="Times New Roman"/>
          <w:color w:val="000000"/>
        </w:rPr>
        <w:t xml:space="preserve"> – (Large, Buy)</w:t>
      </w:r>
      <w:r w:rsidRPr="003410DE">
        <w:rPr>
          <w:rFonts w:ascii="Times New Roman" w:hAnsi="Times New Roman" w:cs="Times New Roman"/>
        </w:rPr>
        <w:t xml:space="preserve">” denotes a zero-cost portfolio that buys small stocks </w:t>
      </w:r>
      <w:r>
        <w:rPr>
          <w:rFonts w:ascii="Times New Roman" w:hAnsi="Times New Roman" w:cs="Times New Roman"/>
        </w:rPr>
        <w:t>with</w:t>
      </w:r>
      <w:r w:rsidRPr="003410DE">
        <w:rPr>
          <w:rFonts w:ascii="Times New Roman" w:hAnsi="Times New Roman" w:cs="Times New Roman"/>
        </w:rPr>
        <w:t xml:space="preserve"> institutional (or individual) net-selling and sells short large stocks </w:t>
      </w:r>
      <w:r>
        <w:rPr>
          <w:rFonts w:ascii="Times New Roman" w:hAnsi="Times New Roman" w:cs="Times New Roman"/>
        </w:rPr>
        <w:t>with</w:t>
      </w:r>
      <w:r w:rsidRPr="003410DE">
        <w:rPr>
          <w:rFonts w:ascii="Times New Roman" w:hAnsi="Times New Roman" w:cs="Times New Roman"/>
        </w:rPr>
        <w:t xml:space="preserve"> institutional (or individual) net-buying. The rest of</w:t>
      </w:r>
      <w:r>
        <w:rPr>
          <w:rFonts w:ascii="Times New Roman" w:hAnsi="Times New Roman" w:cs="Times New Roman"/>
        </w:rPr>
        <w:t xml:space="preserve"> the</w:t>
      </w:r>
      <w:r w:rsidRPr="003410DE">
        <w:rPr>
          <w:rFonts w:ascii="Times New Roman" w:hAnsi="Times New Roman" w:cs="Times New Roman"/>
        </w:rPr>
        <w:t xml:space="preserve"> strategies are defined similarly. </w:t>
      </w:r>
      <w:r w:rsidRPr="003410DE">
        <w:rPr>
          <w:rFonts w:ascii="Times New Roman" w:hAnsi="Times New Roman" w:cs="Times New Roman"/>
          <w:kern w:val="0"/>
        </w:rPr>
        <w:t>The results are shown in Table 1</w:t>
      </w:r>
      <w:r>
        <w:rPr>
          <w:rFonts w:ascii="Times New Roman" w:hAnsi="Times New Roman" w:cs="Times New Roman"/>
          <w:kern w:val="0"/>
        </w:rPr>
        <w:t>3</w:t>
      </w:r>
      <w:r w:rsidRPr="003410DE">
        <w:rPr>
          <w:rFonts w:ascii="Times New Roman" w:hAnsi="Times New Roman" w:cs="Times New Roman"/>
          <w:kern w:val="0"/>
        </w:rPr>
        <w:t xml:space="preserve">. </w:t>
      </w:r>
    </w:p>
    <w:p w:rsidR="00523FB7" w:rsidRDefault="00523FB7" w:rsidP="00CC31B9">
      <w:pPr>
        <w:snapToGrid w:val="0"/>
        <w:spacing w:line="480" w:lineRule="auto"/>
        <w:ind w:firstLine="480"/>
        <w:jc w:val="both"/>
        <w:rPr>
          <w:rFonts w:ascii="Times New Roman" w:hAnsi="Times New Roman" w:cs="Times New Roman"/>
          <w:kern w:val="0"/>
        </w:rPr>
      </w:pPr>
      <w:r w:rsidRPr="003410DE">
        <w:rPr>
          <w:rFonts w:ascii="Times New Roman" w:hAnsi="Times New Roman" w:cs="Times New Roman"/>
          <w:kern w:val="0"/>
        </w:rPr>
        <w:t xml:space="preserve">First, </w:t>
      </w:r>
      <w:r w:rsidRPr="003410DE">
        <w:rPr>
          <w:rFonts w:ascii="Times New Roman" w:hAnsi="Times New Roman" w:cs="Times New Roman"/>
          <w:color w:val="000000"/>
        </w:rPr>
        <w:t xml:space="preserve">for value strategy, Panel </w:t>
      </w:r>
      <w:r>
        <w:rPr>
          <w:rFonts w:ascii="Times New Roman" w:hAnsi="Times New Roman" w:cs="Times New Roman"/>
          <w:color w:val="000000"/>
        </w:rPr>
        <w:t>A</w:t>
      </w:r>
      <w:r w:rsidRPr="003410DE">
        <w:rPr>
          <w:rFonts w:ascii="Times New Roman" w:hAnsi="Times New Roman" w:cs="Times New Roman"/>
          <w:color w:val="000000"/>
        </w:rPr>
        <w:t xml:space="preserve"> indicates that</w:t>
      </w:r>
      <w:r w:rsidRPr="003410DE">
        <w:rPr>
          <w:rFonts w:ascii="Times New Roman" w:hAnsi="Times New Roman" w:cs="Times New Roman"/>
        </w:rPr>
        <w:t xml:space="preserve"> </w:t>
      </w:r>
      <w:r>
        <w:rPr>
          <w:rFonts w:ascii="Times New Roman" w:hAnsi="Times New Roman" w:cs="Times New Roman"/>
        </w:rPr>
        <w:t xml:space="preserve">the enhanced </w:t>
      </w:r>
      <w:r w:rsidRPr="003410DE">
        <w:rPr>
          <w:rFonts w:ascii="Times New Roman" w:hAnsi="Times New Roman" w:cs="Times New Roman"/>
        </w:rPr>
        <w:t xml:space="preserve">strategy (3) </w:t>
      </w:r>
      <w:r>
        <w:rPr>
          <w:rFonts w:ascii="Times New Roman" w:hAnsi="Times New Roman" w:cs="Times New Roman"/>
        </w:rPr>
        <w:t>(</w:t>
      </w:r>
      <w:r w:rsidRPr="003410DE">
        <w:rPr>
          <w:rFonts w:ascii="Times New Roman" w:hAnsi="Times New Roman" w:cs="Times New Roman"/>
        </w:rPr>
        <w:t xml:space="preserve">i.e., buys </w:t>
      </w:r>
      <w:r>
        <w:rPr>
          <w:rFonts w:ascii="Times New Roman" w:hAnsi="Times New Roman" w:cs="Times New Roman"/>
        </w:rPr>
        <w:t xml:space="preserve">value (high </w:t>
      </w:r>
      <w:r w:rsidRPr="0024280F">
        <w:rPr>
          <w:rFonts w:ascii="Times New Roman" w:hAnsi="Times New Roman" w:cs="Times New Roman"/>
          <w:i/>
        </w:rPr>
        <w:t>BE/ME</w:t>
      </w:r>
      <w:r>
        <w:rPr>
          <w:rFonts w:ascii="Times New Roman" w:hAnsi="Times New Roman" w:cs="Times New Roman"/>
        </w:rPr>
        <w:t>)</w:t>
      </w:r>
      <w:r w:rsidRPr="003410DE">
        <w:rPr>
          <w:rFonts w:ascii="Times New Roman" w:hAnsi="Times New Roman" w:cs="Times New Roman"/>
        </w:rPr>
        <w:t xml:space="preserve"> stocks </w:t>
      </w:r>
      <w:r>
        <w:rPr>
          <w:rFonts w:ascii="Times New Roman" w:hAnsi="Times New Roman" w:cs="Times New Roman"/>
        </w:rPr>
        <w:t>with</w:t>
      </w:r>
      <w:r w:rsidRPr="003410DE">
        <w:rPr>
          <w:rFonts w:ascii="Times New Roman" w:hAnsi="Times New Roman" w:cs="Times New Roman"/>
        </w:rPr>
        <w:t xml:space="preserve"> institutional net-selling and sells short </w:t>
      </w:r>
      <w:r>
        <w:rPr>
          <w:rFonts w:ascii="Times New Roman" w:hAnsi="Times New Roman" w:cs="Times New Roman"/>
        </w:rPr>
        <w:t xml:space="preserve">growth (low </w:t>
      </w:r>
      <w:r w:rsidRPr="0024280F">
        <w:rPr>
          <w:rFonts w:ascii="Times New Roman" w:hAnsi="Times New Roman" w:cs="Times New Roman"/>
          <w:i/>
        </w:rPr>
        <w:t>BE/ME</w:t>
      </w:r>
      <w:r>
        <w:rPr>
          <w:rFonts w:ascii="Times New Roman" w:hAnsi="Times New Roman" w:cs="Times New Roman"/>
        </w:rPr>
        <w:t>)</w:t>
      </w:r>
      <w:r w:rsidRPr="003410DE">
        <w:rPr>
          <w:rFonts w:ascii="Times New Roman" w:hAnsi="Times New Roman" w:cs="Times New Roman"/>
        </w:rPr>
        <w:t xml:space="preserve"> stocks </w:t>
      </w:r>
      <w:r>
        <w:rPr>
          <w:rFonts w:ascii="Times New Roman" w:hAnsi="Times New Roman" w:cs="Times New Roman"/>
        </w:rPr>
        <w:t>with</w:t>
      </w:r>
      <w:r w:rsidRPr="003410DE">
        <w:rPr>
          <w:rFonts w:ascii="Times New Roman" w:hAnsi="Times New Roman" w:cs="Times New Roman"/>
        </w:rPr>
        <w:t xml:space="preserve"> institutional net-buying [(Value, Sell)</w:t>
      </w:r>
      <w:r w:rsidRPr="003410DE">
        <w:rPr>
          <w:rFonts w:ascii="Times New Roman" w:hAnsi="Times New Roman" w:cs="Times New Roman"/>
          <w:color w:val="000000"/>
        </w:rPr>
        <w:t xml:space="preserve"> – (Growth, Buy)] experience the largest </w:t>
      </w:r>
      <w:r>
        <w:rPr>
          <w:rFonts w:ascii="Times New Roman" w:hAnsi="Times New Roman" w:cs="Times New Roman"/>
          <w:color w:val="000000"/>
        </w:rPr>
        <w:t xml:space="preserve">mean monthly </w:t>
      </w:r>
      <w:r w:rsidRPr="003410DE">
        <w:rPr>
          <w:rFonts w:ascii="Times New Roman" w:hAnsi="Times New Roman" w:cs="Times New Roman"/>
          <w:color w:val="000000"/>
        </w:rPr>
        <w:t>equal-weighted</w:t>
      </w:r>
      <w:r w:rsidRPr="003410DE">
        <w:rPr>
          <w:rFonts w:ascii="Times New Roman" w:hAnsi="Times New Roman" w:cs="Times New Roman"/>
        </w:rPr>
        <w:t xml:space="preserve"> (</w:t>
      </w:r>
      <w:r w:rsidRPr="003410DE">
        <w:rPr>
          <w:rFonts w:ascii="Times New Roman" w:hAnsi="Times New Roman" w:cs="Times New Roman"/>
          <w:color w:val="000000"/>
        </w:rPr>
        <w:t>value-weighted</w:t>
      </w:r>
      <w:r w:rsidRPr="003410D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 xml:space="preserve">raw return of </w:t>
      </w:r>
      <w:r w:rsidRPr="003410DE">
        <w:rPr>
          <w:rFonts w:ascii="Times New Roman" w:hAnsi="Times New Roman" w:cs="Times New Roman"/>
          <w:color w:val="000000"/>
        </w:rPr>
        <w:t>085% (0.98%)</w:t>
      </w:r>
      <w:r>
        <w:rPr>
          <w:rFonts w:ascii="Times New Roman" w:hAnsi="Times New Roman" w:cs="Times New Roman"/>
          <w:color w:val="000000"/>
        </w:rPr>
        <w:t>, and a Carhart’s alpha of 0.28% (0.33%)</w:t>
      </w:r>
      <w:r w:rsidRPr="003410DE">
        <w:rPr>
          <w:rFonts w:ascii="Times New Roman" w:hAnsi="Times New Roman" w:cs="Times New Roman"/>
          <w:color w:val="000000"/>
        </w:rPr>
        <w:t xml:space="preserve">. </w:t>
      </w:r>
      <w:r>
        <w:rPr>
          <w:rFonts w:ascii="TimesNewRomanPSMT" w:hAnsi="TimesNewRomanPSMT" w:cs="TimesNewRomanPSMT"/>
          <w:kern w:val="0"/>
        </w:rPr>
        <w:t xml:space="preserve">The raw return and Carhart’s </w:t>
      </w:r>
      <w:r>
        <w:rPr>
          <w:rFonts w:ascii="Times New Roman" w:hAnsi="Times New Roman" w:cs="Times New Roman"/>
          <w:color w:val="000000"/>
        </w:rPr>
        <w:t>alpha</w:t>
      </w:r>
      <w:r>
        <w:rPr>
          <w:rFonts w:ascii="TimesNewRomanPS-ItalicMT" w:eastAsia="TimesNewRomanPS-ItalicMT" w:hAnsi="TimesNewRomanPSMT" w:cs="TimesNewRomanPS-ItalicMT"/>
          <w:i/>
          <w:iCs/>
          <w:kern w:val="0"/>
        </w:rPr>
        <w:t xml:space="preserve"> </w:t>
      </w:r>
      <w:r>
        <w:rPr>
          <w:rFonts w:ascii="TimesNewRomanPSMT" w:hAnsi="TimesNewRomanPSMT" w:cs="TimesNewRomanPSMT"/>
          <w:kern w:val="0"/>
        </w:rPr>
        <w:t xml:space="preserve">are significant at the 10% level or better. </w:t>
      </w:r>
      <w:r w:rsidRPr="003410DE">
        <w:rPr>
          <w:rFonts w:ascii="Times New Roman" w:hAnsi="Times New Roman" w:cs="Times New Roman"/>
          <w:color w:val="000000"/>
        </w:rPr>
        <w:t xml:space="preserve">Particularly, </w:t>
      </w:r>
      <w:r w:rsidRPr="003410DE">
        <w:rPr>
          <w:rFonts w:ascii="Times New Roman" w:hAnsi="Times New Roman" w:cs="Times New Roman"/>
        </w:rPr>
        <w:t xml:space="preserve">strategy (3) </w:t>
      </w:r>
      <w:r>
        <w:rPr>
          <w:rFonts w:ascii="Times New Roman" w:hAnsi="Times New Roman" w:cs="Times New Roman"/>
        </w:rPr>
        <w:t>has</w:t>
      </w:r>
      <w:r w:rsidRPr="003410DE">
        <w:rPr>
          <w:rFonts w:ascii="Times New Roman" w:hAnsi="Times New Roman" w:cs="Times New Roman"/>
        </w:rPr>
        <w:t xml:space="preserve"> the highest profits among strategies (1) to (4). That is, strategy (3) significantly dominates the rest of</w:t>
      </w:r>
      <w:r>
        <w:rPr>
          <w:rFonts w:ascii="Times New Roman" w:hAnsi="Times New Roman" w:cs="Times New Roman"/>
        </w:rPr>
        <w:t xml:space="preserve"> the</w:t>
      </w:r>
      <w:r w:rsidRPr="003410DE">
        <w:rPr>
          <w:rFonts w:ascii="Times New Roman" w:hAnsi="Times New Roman" w:cs="Times New Roman"/>
        </w:rPr>
        <w:t xml:space="preserve"> strategies. This</w:t>
      </w:r>
      <w:r>
        <w:rPr>
          <w:rFonts w:ascii="Times New Roman" w:hAnsi="Times New Roman" w:cs="Times New Roman"/>
        </w:rPr>
        <w:t xml:space="preserve"> finding</w:t>
      </w:r>
      <w:r w:rsidRPr="003410DE">
        <w:rPr>
          <w:rFonts w:ascii="Times New Roman" w:hAnsi="Times New Roman" w:cs="Times New Roman"/>
        </w:rPr>
        <w:t xml:space="preserve"> suggests that</w:t>
      </w:r>
      <w:r>
        <w:rPr>
          <w:rFonts w:ascii="Times New Roman" w:hAnsi="Times New Roman" w:cs="Times New Roman"/>
        </w:rPr>
        <w:t>,</w:t>
      </w:r>
      <w:r w:rsidRPr="003410DE">
        <w:rPr>
          <w:rFonts w:ascii="Times New Roman" w:hAnsi="Times New Roman" w:cs="Times New Roman"/>
        </w:rPr>
        <w:t xml:space="preserve"> by including the information about institutional trading </w:t>
      </w:r>
      <w:r>
        <w:rPr>
          <w:rFonts w:ascii="Times New Roman" w:hAnsi="Times New Roman" w:cs="Times New Roman"/>
        </w:rPr>
        <w:t>behavior</w:t>
      </w:r>
      <w:r w:rsidRPr="003410DE">
        <w:rPr>
          <w:rFonts w:ascii="Times New Roman" w:hAnsi="Times New Roman" w:cs="Times New Roman"/>
        </w:rPr>
        <w:t xml:space="preserve">, one can </w:t>
      </w:r>
      <w:r>
        <w:rPr>
          <w:rFonts w:ascii="Times New Roman" w:hAnsi="Times New Roman" w:cs="Times New Roman"/>
        </w:rPr>
        <w:t xml:space="preserve">significantly </w:t>
      </w:r>
      <w:r w:rsidRPr="003410DE">
        <w:rPr>
          <w:rFonts w:ascii="Times New Roman" w:hAnsi="Times New Roman" w:cs="Times New Roman"/>
        </w:rPr>
        <w:t xml:space="preserve">improve the profitability of the value strategy. Panel </w:t>
      </w:r>
      <w:r>
        <w:rPr>
          <w:rFonts w:ascii="Times New Roman" w:hAnsi="Times New Roman" w:cs="Times New Roman"/>
        </w:rPr>
        <w:t>B</w:t>
      </w:r>
      <w:r w:rsidRPr="003410DE">
        <w:rPr>
          <w:rFonts w:ascii="Times New Roman" w:hAnsi="Times New Roman" w:cs="Times New Roman"/>
        </w:rPr>
        <w:t xml:space="preserve"> indicates that information about individual trading </w:t>
      </w:r>
      <w:r>
        <w:rPr>
          <w:rFonts w:ascii="Times New Roman" w:hAnsi="Times New Roman" w:cs="Times New Roman"/>
        </w:rPr>
        <w:t>behavior</w:t>
      </w:r>
      <w:r w:rsidRPr="003410DE">
        <w:rPr>
          <w:rFonts w:ascii="Times New Roman" w:hAnsi="Times New Roman" w:cs="Times New Roman"/>
        </w:rPr>
        <w:t xml:space="preserve"> has limited ability in improving value strategy.</w:t>
      </w:r>
      <w:r>
        <w:rPr>
          <w:rFonts w:ascii="Times New Roman" w:hAnsi="Times New Roman" w:cs="Times New Roman"/>
        </w:rPr>
        <w:t xml:space="preserve"> That is, </w:t>
      </w:r>
      <w:r w:rsidRPr="003410DE">
        <w:rPr>
          <w:rFonts w:ascii="Times New Roman" w:hAnsi="Times New Roman" w:cs="Times New Roman"/>
          <w:color w:val="000000"/>
        </w:rPr>
        <w:t xml:space="preserve">strategy (2) </w:t>
      </w:r>
      <w:r>
        <w:rPr>
          <w:rFonts w:ascii="Times New Roman" w:hAnsi="Times New Roman" w:cs="Times New Roman"/>
          <w:color w:val="000000"/>
        </w:rPr>
        <w:t>(</w:t>
      </w:r>
      <w:r w:rsidRPr="003410DE">
        <w:rPr>
          <w:rFonts w:ascii="Times New Roman" w:hAnsi="Times New Roman" w:cs="Times New Roman"/>
        </w:rPr>
        <w:t xml:space="preserve">i.e., buys </w:t>
      </w:r>
      <w:r>
        <w:rPr>
          <w:rFonts w:ascii="Times New Roman" w:hAnsi="Times New Roman" w:cs="Times New Roman"/>
        </w:rPr>
        <w:t>high BE/ME</w:t>
      </w:r>
      <w:r w:rsidRPr="003410DE">
        <w:rPr>
          <w:rFonts w:ascii="Times New Roman" w:hAnsi="Times New Roman" w:cs="Times New Roman"/>
        </w:rPr>
        <w:t xml:space="preserve"> stocks </w:t>
      </w:r>
      <w:r>
        <w:rPr>
          <w:rFonts w:ascii="Times New Roman" w:hAnsi="Times New Roman" w:cs="Times New Roman"/>
        </w:rPr>
        <w:t>with</w:t>
      </w:r>
      <w:r w:rsidRPr="003410DE">
        <w:rPr>
          <w:rFonts w:ascii="Times New Roman" w:hAnsi="Times New Roman" w:cs="Times New Roman"/>
        </w:rPr>
        <w:t xml:space="preserve"> individual net-buying and sells short </w:t>
      </w:r>
      <w:r>
        <w:rPr>
          <w:rFonts w:ascii="Times New Roman" w:hAnsi="Times New Roman" w:cs="Times New Roman"/>
        </w:rPr>
        <w:t xml:space="preserve">low </w:t>
      </w:r>
      <w:r w:rsidRPr="0024280F">
        <w:rPr>
          <w:rFonts w:ascii="Times New Roman" w:hAnsi="Times New Roman" w:cs="Times New Roman"/>
          <w:i/>
        </w:rPr>
        <w:t>BE/ME</w:t>
      </w:r>
      <w:r w:rsidRPr="003410DE">
        <w:rPr>
          <w:rFonts w:ascii="Times New Roman" w:hAnsi="Times New Roman" w:cs="Times New Roman"/>
        </w:rPr>
        <w:t xml:space="preserve"> stocks </w:t>
      </w:r>
      <w:r>
        <w:rPr>
          <w:rFonts w:ascii="Times New Roman" w:hAnsi="Times New Roman" w:cs="Times New Roman"/>
        </w:rPr>
        <w:t>with</w:t>
      </w:r>
      <w:r w:rsidRPr="003410DE">
        <w:rPr>
          <w:rFonts w:ascii="Times New Roman" w:hAnsi="Times New Roman" w:cs="Times New Roman"/>
        </w:rPr>
        <w:t xml:space="preserve"> individual net-selling [(</w:t>
      </w:r>
      <w:r>
        <w:rPr>
          <w:rFonts w:ascii="Times New Roman" w:hAnsi="Times New Roman" w:cs="Times New Roman"/>
        </w:rPr>
        <w:t>Value</w:t>
      </w:r>
      <w:r w:rsidRPr="003410DE">
        <w:rPr>
          <w:rFonts w:ascii="Times New Roman" w:hAnsi="Times New Roman" w:cs="Times New Roman"/>
        </w:rPr>
        <w:t>, Buy)</w:t>
      </w:r>
      <w:r w:rsidRPr="003410DE">
        <w:rPr>
          <w:rFonts w:ascii="Times New Roman" w:hAnsi="Times New Roman" w:cs="Times New Roman"/>
          <w:color w:val="000000"/>
        </w:rPr>
        <w:t xml:space="preserve"> – (</w:t>
      </w:r>
      <w:r>
        <w:rPr>
          <w:rFonts w:ascii="Times New Roman" w:hAnsi="Times New Roman" w:cs="Times New Roman"/>
          <w:color w:val="000000"/>
        </w:rPr>
        <w:t>Growth</w:t>
      </w:r>
      <w:r w:rsidRPr="003410DE">
        <w:rPr>
          <w:rFonts w:ascii="Times New Roman" w:hAnsi="Times New Roman" w:cs="Times New Roman"/>
          <w:color w:val="000000"/>
        </w:rPr>
        <w:t>, Sell)]</w:t>
      </w:r>
      <w:r>
        <w:rPr>
          <w:rFonts w:ascii="Times New Roman" w:hAnsi="Times New Roman" w:cs="Times New Roman"/>
          <w:color w:val="000000"/>
        </w:rPr>
        <w:t>)</w:t>
      </w:r>
      <w:r w:rsidRPr="003410DE">
        <w:rPr>
          <w:rFonts w:ascii="Times New Roman" w:hAnsi="Times New Roman" w:cs="Times New Roman"/>
          <w:color w:val="000000"/>
        </w:rPr>
        <w:t xml:space="preserve"> do</w:t>
      </w:r>
      <w:r>
        <w:rPr>
          <w:rFonts w:ascii="Times New Roman" w:hAnsi="Times New Roman" w:cs="Times New Roman"/>
          <w:color w:val="000000"/>
        </w:rPr>
        <w:t>es</w:t>
      </w:r>
      <w:r w:rsidRPr="003410DE">
        <w:rPr>
          <w:rFonts w:ascii="Times New Roman" w:hAnsi="Times New Roman" w:cs="Times New Roman"/>
          <w:color w:val="000000"/>
        </w:rPr>
        <w:t xml:space="preserve"> not </w:t>
      </w:r>
      <w:r>
        <w:rPr>
          <w:rFonts w:ascii="Times New Roman" w:hAnsi="Times New Roman" w:cs="Times New Roman"/>
          <w:color w:val="000000"/>
        </w:rPr>
        <w:t xml:space="preserve">significantly </w:t>
      </w:r>
      <w:r w:rsidRPr="003410DE">
        <w:rPr>
          <w:rFonts w:ascii="Times New Roman" w:hAnsi="Times New Roman" w:cs="Times New Roman"/>
          <w:color w:val="000000"/>
        </w:rPr>
        <w:t>experience higher returns</w:t>
      </w:r>
      <w:r>
        <w:rPr>
          <w:rFonts w:ascii="Times New Roman" w:hAnsi="Times New Roman" w:cs="Times New Roman"/>
          <w:color w:val="000000"/>
        </w:rPr>
        <w:t xml:space="preserve"> compared with</w:t>
      </w:r>
      <w:r w:rsidRPr="003410DE">
        <w:rPr>
          <w:rFonts w:ascii="Times New Roman" w:hAnsi="Times New Roman" w:cs="Times New Roman"/>
          <w:color w:val="000000"/>
        </w:rPr>
        <w:t xml:space="preserve"> other strategies.</w:t>
      </w:r>
      <w:r>
        <w:rPr>
          <w:rFonts w:ascii="Times New Roman" w:hAnsi="Times New Roman" w:cs="Times New Roman"/>
          <w:color w:val="000000"/>
        </w:rPr>
        <w:t xml:space="preserve"> </w:t>
      </w:r>
    </w:p>
    <w:p w:rsidR="00523FB7" w:rsidRPr="003410DE" w:rsidRDefault="00523FB7" w:rsidP="00CC31B9">
      <w:pPr>
        <w:snapToGrid w:val="0"/>
        <w:spacing w:line="480" w:lineRule="auto"/>
        <w:ind w:firstLine="480"/>
        <w:jc w:val="both"/>
        <w:rPr>
          <w:rFonts w:ascii="Times New Roman" w:hAnsi="Times New Roman" w:cs="Times New Roman"/>
          <w:kern w:val="0"/>
        </w:rPr>
      </w:pPr>
      <w:r>
        <w:rPr>
          <w:rFonts w:ascii="Times New Roman" w:hAnsi="Times New Roman" w:cs="Times New Roman"/>
          <w:kern w:val="0"/>
        </w:rPr>
        <w:t>Second, P</w:t>
      </w:r>
      <w:r w:rsidRPr="003410DE">
        <w:rPr>
          <w:rFonts w:ascii="Times New Roman" w:hAnsi="Times New Roman" w:cs="Times New Roman"/>
          <w:kern w:val="0"/>
        </w:rPr>
        <w:t xml:space="preserve">anels </w:t>
      </w:r>
      <w:r>
        <w:rPr>
          <w:rFonts w:ascii="Times New Roman" w:hAnsi="Times New Roman" w:cs="Times New Roman"/>
          <w:kern w:val="0"/>
        </w:rPr>
        <w:t>C</w:t>
      </w:r>
      <w:r w:rsidRPr="003410DE">
        <w:rPr>
          <w:rFonts w:ascii="Times New Roman" w:hAnsi="Times New Roman" w:cs="Times New Roman"/>
          <w:kern w:val="0"/>
        </w:rPr>
        <w:t xml:space="preserve"> and </w:t>
      </w:r>
      <w:r>
        <w:rPr>
          <w:rFonts w:ascii="Times New Roman" w:hAnsi="Times New Roman" w:cs="Times New Roman"/>
          <w:kern w:val="0"/>
        </w:rPr>
        <w:t>D</w:t>
      </w:r>
      <w:r w:rsidRPr="003410DE">
        <w:rPr>
          <w:rFonts w:ascii="Times New Roman" w:hAnsi="Times New Roman" w:cs="Times New Roman"/>
          <w:kern w:val="0"/>
        </w:rPr>
        <w:t xml:space="preserve"> indicate that, for size strategy, </w:t>
      </w:r>
      <w:r w:rsidRPr="00EC3483">
        <w:rPr>
          <w:rFonts w:ascii="Times New Roman" w:hAnsi="Times New Roman" w:cs="Times New Roman"/>
          <w:kern w:val="0"/>
        </w:rPr>
        <w:t>neithe</w:t>
      </w:r>
      <w:r w:rsidRPr="003410DE">
        <w:rPr>
          <w:rFonts w:ascii="Times New Roman" w:hAnsi="Times New Roman" w:cs="Times New Roman"/>
          <w:kern w:val="0"/>
        </w:rPr>
        <w:t xml:space="preserve">r institutional trading nor individual trading can significantly improve the size strategy. For example, we expect a size strategy that </w:t>
      </w:r>
      <w:r w:rsidRPr="003410DE">
        <w:rPr>
          <w:rFonts w:ascii="Times New Roman" w:hAnsi="Times New Roman" w:cs="Times New Roman"/>
        </w:rPr>
        <w:t xml:space="preserve">buys small stocks </w:t>
      </w:r>
      <w:r>
        <w:rPr>
          <w:rFonts w:ascii="Times New Roman" w:hAnsi="Times New Roman" w:cs="Times New Roman"/>
        </w:rPr>
        <w:t>with</w:t>
      </w:r>
      <w:r w:rsidRPr="003410DE">
        <w:rPr>
          <w:rFonts w:ascii="Times New Roman" w:hAnsi="Times New Roman" w:cs="Times New Roman"/>
        </w:rPr>
        <w:t xml:space="preserve"> institutional net-selling (or individual net-buying) and sells short large stocks </w:t>
      </w:r>
      <w:r>
        <w:rPr>
          <w:rFonts w:ascii="Times New Roman" w:hAnsi="Times New Roman" w:cs="Times New Roman"/>
        </w:rPr>
        <w:t>with</w:t>
      </w:r>
      <w:r w:rsidRPr="003410DE">
        <w:rPr>
          <w:rFonts w:ascii="Times New Roman" w:hAnsi="Times New Roman" w:cs="Times New Roman"/>
        </w:rPr>
        <w:t xml:space="preserve"> institutional net-buying (or individual net-selling) </w:t>
      </w:r>
      <w:r>
        <w:rPr>
          <w:rFonts w:ascii="Times New Roman" w:hAnsi="Times New Roman" w:cs="Times New Roman"/>
        </w:rPr>
        <w:t xml:space="preserve">to </w:t>
      </w:r>
      <w:r w:rsidRPr="003410DE">
        <w:rPr>
          <w:rFonts w:ascii="Times New Roman" w:hAnsi="Times New Roman" w:cs="Times New Roman"/>
        </w:rPr>
        <w:t xml:space="preserve">experience the largest returns among all strategies. Panel </w:t>
      </w:r>
      <w:r>
        <w:rPr>
          <w:rFonts w:ascii="Times New Roman" w:hAnsi="Times New Roman" w:cs="Times New Roman"/>
        </w:rPr>
        <w:t>C</w:t>
      </w:r>
      <w:r w:rsidRPr="003410DE">
        <w:rPr>
          <w:rFonts w:ascii="Times New Roman" w:hAnsi="Times New Roman" w:cs="Times New Roman"/>
        </w:rPr>
        <w:t xml:space="preserve"> shows that</w:t>
      </w:r>
      <w:r>
        <w:rPr>
          <w:rFonts w:ascii="Times New Roman" w:hAnsi="Times New Roman" w:cs="Times New Roman"/>
        </w:rPr>
        <w:t xml:space="preserve"> the</w:t>
      </w:r>
      <w:r w:rsidRPr="003410DE">
        <w:rPr>
          <w:rFonts w:ascii="Times New Roman" w:hAnsi="Times New Roman" w:cs="Times New Roman"/>
        </w:rPr>
        <w:t xml:space="preserve"> </w:t>
      </w:r>
      <w:r w:rsidRPr="003410DE">
        <w:rPr>
          <w:rFonts w:ascii="Times New Roman" w:hAnsi="Times New Roman" w:cs="Times New Roman"/>
          <w:color w:val="000000"/>
        </w:rPr>
        <w:t>equal-weighted</w:t>
      </w:r>
      <w:r w:rsidRPr="003410DE">
        <w:rPr>
          <w:rFonts w:ascii="Times New Roman" w:hAnsi="Times New Roman" w:cs="Times New Roman"/>
        </w:rPr>
        <w:t xml:space="preserve"> (</w:t>
      </w:r>
      <w:r w:rsidRPr="003410DE">
        <w:rPr>
          <w:rFonts w:ascii="Times New Roman" w:hAnsi="Times New Roman" w:cs="Times New Roman"/>
          <w:color w:val="000000"/>
        </w:rPr>
        <w:t>value-weighted</w:t>
      </w:r>
      <w:r w:rsidRPr="003410DE">
        <w:rPr>
          <w:rFonts w:ascii="Times New Roman" w:hAnsi="Times New Roman" w:cs="Times New Roman"/>
        </w:rPr>
        <w:t xml:space="preserve">) </w:t>
      </w:r>
      <w:r>
        <w:rPr>
          <w:rFonts w:ascii="Times New Roman" w:hAnsi="Times New Roman" w:cs="Times New Roman"/>
        </w:rPr>
        <w:t xml:space="preserve">mean monthly raw </w:t>
      </w:r>
      <w:r w:rsidRPr="003410DE">
        <w:rPr>
          <w:rFonts w:ascii="Times New Roman" w:hAnsi="Times New Roman" w:cs="Times New Roman"/>
        </w:rPr>
        <w:t>returns</w:t>
      </w:r>
      <w:r>
        <w:rPr>
          <w:rFonts w:ascii="Times New Roman" w:hAnsi="Times New Roman" w:cs="Times New Roman"/>
        </w:rPr>
        <w:t xml:space="preserve"> and </w:t>
      </w:r>
      <w:r>
        <w:rPr>
          <w:rFonts w:ascii="TimesNewRomanPSMT" w:hAnsi="TimesNewRomanPSMT" w:cs="TimesNewRomanPSMT"/>
          <w:kern w:val="0"/>
        </w:rPr>
        <w:t xml:space="preserve">Carhart’s </w:t>
      </w:r>
      <w:r>
        <w:rPr>
          <w:rFonts w:ascii="Times New Roman" w:hAnsi="Times New Roman" w:cs="Times New Roman"/>
          <w:color w:val="000000"/>
        </w:rPr>
        <w:t>alpha</w:t>
      </w:r>
      <w:r w:rsidRPr="003410DE">
        <w:rPr>
          <w:rFonts w:ascii="Times New Roman" w:hAnsi="Times New Roman" w:cs="Times New Roman"/>
        </w:rPr>
        <w:t xml:space="preserve"> on strategy (3) </w:t>
      </w:r>
      <w:r>
        <w:rPr>
          <w:rFonts w:ascii="Times New Roman" w:hAnsi="Times New Roman" w:cs="Times New Roman"/>
        </w:rPr>
        <w:t>(</w:t>
      </w:r>
      <w:r w:rsidRPr="003410DE">
        <w:rPr>
          <w:rFonts w:ascii="Times New Roman" w:hAnsi="Times New Roman" w:cs="Times New Roman"/>
        </w:rPr>
        <w:t xml:space="preserve">i.e., buys small stocks </w:t>
      </w:r>
      <w:r>
        <w:rPr>
          <w:rFonts w:ascii="Times New Roman" w:hAnsi="Times New Roman" w:cs="Times New Roman"/>
        </w:rPr>
        <w:t>with</w:t>
      </w:r>
      <w:r w:rsidRPr="003410DE">
        <w:rPr>
          <w:rFonts w:ascii="Times New Roman" w:hAnsi="Times New Roman" w:cs="Times New Roman"/>
        </w:rPr>
        <w:t xml:space="preserve"> institutional net-selling and sells short large stocks </w:t>
      </w:r>
      <w:r>
        <w:rPr>
          <w:rFonts w:ascii="Times New Roman" w:hAnsi="Times New Roman" w:cs="Times New Roman"/>
        </w:rPr>
        <w:t>with</w:t>
      </w:r>
      <w:r w:rsidRPr="003410DE">
        <w:rPr>
          <w:rFonts w:ascii="Times New Roman" w:hAnsi="Times New Roman" w:cs="Times New Roman"/>
        </w:rPr>
        <w:t xml:space="preserve"> institutional net-buying [(Small, Sell)</w:t>
      </w:r>
      <w:r w:rsidRPr="003410DE">
        <w:rPr>
          <w:rFonts w:ascii="Times New Roman" w:hAnsi="Times New Roman" w:cs="Times New Roman"/>
          <w:color w:val="000000"/>
        </w:rPr>
        <w:t xml:space="preserve"> – (Large, Buy)]</w:t>
      </w:r>
      <w:r>
        <w:rPr>
          <w:rFonts w:ascii="Times New Roman" w:hAnsi="Times New Roman" w:cs="Times New Roman"/>
          <w:color w:val="000000"/>
        </w:rPr>
        <w:t>)</w:t>
      </w:r>
      <w:r w:rsidRPr="003410DE">
        <w:rPr>
          <w:rFonts w:ascii="Times New Roman" w:hAnsi="Times New Roman" w:cs="Times New Roman"/>
          <w:color w:val="000000"/>
        </w:rPr>
        <w:t xml:space="preserve"> yields the highest</w:t>
      </w:r>
      <w:r>
        <w:rPr>
          <w:rFonts w:ascii="Times New Roman" w:hAnsi="Times New Roman" w:cs="Times New Roman"/>
          <w:color w:val="000000"/>
        </w:rPr>
        <w:t xml:space="preserve"> at</w:t>
      </w:r>
      <w:r w:rsidRPr="003410DE">
        <w:rPr>
          <w:rFonts w:ascii="Times New Roman" w:hAnsi="Times New Roman" w:cs="Times New Roman"/>
          <w:color w:val="000000"/>
        </w:rPr>
        <w:t xml:space="preserve"> 084% (0.86%)</w:t>
      </w:r>
      <w:r>
        <w:rPr>
          <w:rFonts w:ascii="Times New Roman" w:hAnsi="Times New Roman" w:cs="Times New Roman"/>
          <w:color w:val="000000"/>
        </w:rPr>
        <w:t xml:space="preserve"> and 0.42% (0.40%)</w:t>
      </w:r>
      <w:r w:rsidRPr="003410DE">
        <w:rPr>
          <w:rFonts w:ascii="Times New Roman" w:hAnsi="Times New Roman" w:cs="Times New Roman"/>
          <w:color w:val="000000"/>
        </w:rPr>
        <w:t xml:space="preserve"> at</w:t>
      </w:r>
      <w:r>
        <w:rPr>
          <w:rFonts w:ascii="Times New Roman" w:hAnsi="Times New Roman" w:cs="Times New Roman"/>
          <w:color w:val="000000"/>
        </w:rPr>
        <w:t xml:space="preserve"> a</w:t>
      </w:r>
      <w:r w:rsidRPr="003410DE">
        <w:rPr>
          <w:rFonts w:ascii="Times New Roman" w:hAnsi="Times New Roman" w:cs="Times New Roman"/>
          <w:color w:val="000000"/>
        </w:rPr>
        <w:t xml:space="preserve"> 5% significance level. However, when we compare the performance among strategies (1) to (4), </w:t>
      </w:r>
      <w:r>
        <w:rPr>
          <w:rFonts w:ascii="Times New Roman" w:hAnsi="Times New Roman" w:cs="Times New Roman"/>
          <w:color w:val="000000"/>
        </w:rPr>
        <w:t>al</w:t>
      </w:r>
      <w:r w:rsidRPr="003410DE">
        <w:rPr>
          <w:rFonts w:ascii="Times New Roman" w:hAnsi="Times New Roman" w:cs="Times New Roman"/>
          <w:color w:val="000000"/>
        </w:rPr>
        <w:t>though strategy (3) indeed earns higher returns than</w:t>
      </w:r>
      <w:r>
        <w:rPr>
          <w:rFonts w:ascii="Times New Roman" w:hAnsi="Times New Roman" w:cs="Times New Roman"/>
          <w:color w:val="000000"/>
        </w:rPr>
        <w:t xml:space="preserve"> do the</w:t>
      </w:r>
      <w:r w:rsidRPr="003410DE">
        <w:rPr>
          <w:rFonts w:ascii="Times New Roman" w:hAnsi="Times New Roman" w:cs="Times New Roman"/>
          <w:color w:val="000000"/>
        </w:rPr>
        <w:t xml:space="preserve"> other strategies, it is not significantly positive. </w:t>
      </w:r>
      <w:r>
        <w:rPr>
          <w:rFonts w:ascii="Times New Roman" w:hAnsi="Times New Roman" w:cs="Times New Roman"/>
          <w:color w:val="000000"/>
        </w:rPr>
        <w:t>P</w:t>
      </w:r>
      <w:r w:rsidRPr="003410DE">
        <w:rPr>
          <w:rFonts w:ascii="Times New Roman" w:hAnsi="Times New Roman" w:cs="Times New Roman"/>
          <w:color w:val="000000"/>
        </w:rPr>
        <w:t xml:space="preserve">anel </w:t>
      </w:r>
      <w:r>
        <w:rPr>
          <w:rFonts w:ascii="Times New Roman" w:hAnsi="Times New Roman" w:cs="Times New Roman"/>
          <w:color w:val="000000"/>
        </w:rPr>
        <w:t>D</w:t>
      </w:r>
      <w:r w:rsidRPr="003410DE">
        <w:rPr>
          <w:rFonts w:ascii="Times New Roman" w:hAnsi="Times New Roman" w:cs="Times New Roman"/>
          <w:color w:val="000000"/>
        </w:rPr>
        <w:t xml:space="preserve"> also suggests that strategy (2) </w:t>
      </w:r>
      <w:r>
        <w:rPr>
          <w:rFonts w:ascii="Times New Roman" w:hAnsi="Times New Roman" w:cs="Times New Roman"/>
          <w:color w:val="000000"/>
        </w:rPr>
        <w:t>(</w:t>
      </w:r>
      <w:r w:rsidRPr="003410DE">
        <w:rPr>
          <w:rFonts w:ascii="Times New Roman" w:hAnsi="Times New Roman" w:cs="Times New Roman"/>
        </w:rPr>
        <w:t xml:space="preserve">i.e., buys small stocks </w:t>
      </w:r>
      <w:r>
        <w:rPr>
          <w:rFonts w:ascii="Times New Roman" w:hAnsi="Times New Roman" w:cs="Times New Roman"/>
        </w:rPr>
        <w:t>with</w:t>
      </w:r>
      <w:r w:rsidRPr="003410DE">
        <w:rPr>
          <w:rFonts w:ascii="Times New Roman" w:hAnsi="Times New Roman" w:cs="Times New Roman"/>
        </w:rPr>
        <w:t xml:space="preserve"> individual net-buying and sells short large stocks </w:t>
      </w:r>
      <w:r>
        <w:rPr>
          <w:rFonts w:ascii="Times New Roman" w:hAnsi="Times New Roman" w:cs="Times New Roman"/>
        </w:rPr>
        <w:t>with</w:t>
      </w:r>
      <w:r w:rsidRPr="003410DE">
        <w:rPr>
          <w:rFonts w:ascii="Times New Roman" w:hAnsi="Times New Roman" w:cs="Times New Roman"/>
        </w:rPr>
        <w:t xml:space="preserve"> individual net-selling [(Small, Buy)</w:t>
      </w:r>
      <w:r w:rsidRPr="003410DE">
        <w:rPr>
          <w:rFonts w:ascii="Times New Roman" w:hAnsi="Times New Roman" w:cs="Times New Roman"/>
          <w:color w:val="000000"/>
        </w:rPr>
        <w:t xml:space="preserve"> – (Large, Sell)]</w:t>
      </w:r>
      <w:r>
        <w:rPr>
          <w:rFonts w:ascii="Times New Roman" w:hAnsi="Times New Roman" w:cs="Times New Roman"/>
          <w:color w:val="000000"/>
        </w:rPr>
        <w:t>)</w:t>
      </w:r>
      <w:r w:rsidRPr="003410DE">
        <w:rPr>
          <w:rFonts w:ascii="Times New Roman" w:hAnsi="Times New Roman" w:cs="Times New Roman"/>
          <w:color w:val="000000"/>
        </w:rPr>
        <w:t xml:space="preserve"> do</w:t>
      </w:r>
      <w:r>
        <w:rPr>
          <w:rFonts w:ascii="Times New Roman" w:hAnsi="Times New Roman" w:cs="Times New Roman"/>
          <w:color w:val="000000"/>
        </w:rPr>
        <w:t>es</w:t>
      </w:r>
      <w:r w:rsidRPr="003410DE">
        <w:rPr>
          <w:rFonts w:ascii="Times New Roman" w:hAnsi="Times New Roman" w:cs="Times New Roman"/>
          <w:color w:val="000000"/>
        </w:rPr>
        <w:t xml:space="preserve"> not experience higher returns</w:t>
      </w:r>
      <w:r>
        <w:rPr>
          <w:rFonts w:ascii="Times New Roman" w:hAnsi="Times New Roman" w:cs="Times New Roman"/>
          <w:color w:val="000000"/>
        </w:rPr>
        <w:t xml:space="preserve"> compared with</w:t>
      </w:r>
      <w:r w:rsidRPr="003410DE">
        <w:rPr>
          <w:rFonts w:ascii="Times New Roman" w:hAnsi="Times New Roman" w:cs="Times New Roman"/>
          <w:color w:val="000000"/>
        </w:rPr>
        <w:t xml:space="preserve"> other strategies. </w:t>
      </w:r>
      <w:r>
        <w:rPr>
          <w:rFonts w:ascii="Times New Roman" w:hAnsi="Times New Roman" w:cs="Times New Roman"/>
          <w:color w:val="000000"/>
        </w:rPr>
        <w:t>Overall</w:t>
      </w:r>
      <w:r w:rsidRPr="003410DE">
        <w:rPr>
          <w:rFonts w:ascii="Times New Roman" w:hAnsi="Times New Roman" w:cs="Times New Roman"/>
          <w:color w:val="000000"/>
        </w:rPr>
        <w:t>, we argue that enhanc</w:t>
      </w:r>
      <w:r>
        <w:rPr>
          <w:rFonts w:ascii="Times New Roman" w:hAnsi="Times New Roman" w:cs="Times New Roman"/>
          <w:color w:val="000000"/>
        </w:rPr>
        <w:t>ing</w:t>
      </w:r>
      <w:r w:rsidRPr="003410DE">
        <w:rPr>
          <w:rFonts w:ascii="Times New Roman" w:hAnsi="Times New Roman" w:cs="Times New Roman"/>
          <w:color w:val="000000"/>
        </w:rPr>
        <w:t xml:space="preserve"> the size strategy by incorporating</w:t>
      </w:r>
      <w:r>
        <w:rPr>
          <w:rFonts w:ascii="Times New Roman" w:hAnsi="Times New Roman" w:cs="Times New Roman"/>
          <w:color w:val="000000"/>
        </w:rPr>
        <w:t xml:space="preserve"> the</w:t>
      </w:r>
      <w:r w:rsidRPr="003410DE">
        <w:rPr>
          <w:rFonts w:ascii="Times New Roman" w:hAnsi="Times New Roman" w:cs="Times New Roman"/>
          <w:color w:val="000000"/>
        </w:rPr>
        <w:t xml:space="preserve"> </w:t>
      </w:r>
      <w:r>
        <w:rPr>
          <w:rFonts w:ascii="Times New Roman" w:hAnsi="Times New Roman" w:cs="Times New Roman"/>
          <w:color w:val="000000"/>
        </w:rPr>
        <w:t xml:space="preserve">information of </w:t>
      </w:r>
      <w:r w:rsidRPr="003410DE">
        <w:rPr>
          <w:rFonts w:ascii="Times New Roman" w:hAnsi="Times New Roman" w:cs="Times New Roman"/>
          <w:color w:val="000000"/>
        </w:rPr>
        <w:t xml:space="preserve">institutional and individual trading </w:t>
      </w:r>
      <w:r>
        <w:rPr>
          <w:rFonts w:ascii="Times New Roman" w:hAnsi="Times New Roman" w:cs="Times New Roman"/>
        </w:rPr>
        <w:t>behavior</w:t>
      </w:r>
      <w:r>
        <w:rPr>
          <w:rFonts w:ascii="Times New Roman" w:hAnsi="Times New Roman" w:cs="Times New Roman"/>
          <w:color w:val="000000"/>
        </w:rPr>
        <w:t xml:space="preserve"> is limited</w:t>
      </w:r>
      <w:r w:rsidRPr="003410DE">
        <w:rPr>
          <w:rFonts w:ascii="Times New Roman" w:hAnsi="Times New Roman" w:cs="Times New Roman"/>
          <w:color w:val="000000"/>
        </w:rPr>
        <w:t>.</w:t>
      </w:r>
      <w:r w:rsidRPr="003410DE">
        <w:rPr>
          <w:rFonts w:ascii="Times New Roman" w:hAnsi="Times New Roman" w:cs="Times New Roman"/>
        </w:rPr>
        <w:t xml:space="preserve">  </w:t>
      </w:r>
    </w:p>
    <w:p w:rsidR="00523FB7" w:rsidRPr="00741707" w:rsidRDefault="00523FB7" w:rsidP="00CC31B9">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&lt;Insert Table 1</w:t>
      </w:r>
      <w:r>
        <w:rPr>
          <w:rFonts w:ascii="Times New Roman" w:hAnsi="Times New Roman" w:cs="Times New Roman"/>
          <w:bCs/>
          <w:kern w:val="0"/>
          <w:sz w:val="28"/>
          <w:szCs w:val="28"/>
        </w:rPr>
        <w:t>3</w:t>
      </w:r>
      <w:r w:rsidRPr="00741707">
        <w:rPr>
          <w:rFonts w:ascii="Times New Roman" w:hAnsi="Times New Roman" w:cs="Times New Roman"/>
          <w:bCs/>
          <w:kern w:val="0"/>
          <w:sz w:val="28"/>
          <w:szCs w:val="28"/>
        </w:rPr>
        <w:t xml:space="preserve"> about here&gt;</w:t>
      </w:r>
    </w:p>
    <w:p w:rsidR="00523FB7" w:rsidRPr="000524FB" w:rsidRDefault="00523FB7" w:rsidP="00D45F4D">
      <w:pPr>
        <w:snapToGrid w:val="0"/>
        <w:spacing w:line="480" w:lineRule="auto"/>
        <w:ind w:firstLine="480"/>
        <w:jc w:val="both"/>
        <w:rPr>
          <w:rFonts w:ascii="Times New Roman" w:hAnsi="Times New Roman" w:cs="Times New Roman"/>
          <w:kern w:val="0"/>
        </w:rPr>
      </w:pPr>
      <w:r>
        <w:rPr>
          <w:rFonts w:ascii="Times New Roman" w:hAnsi="Times New Roman" w:cs="Times New Roman"/>
          <w:kern w:val="0"/>
        </w:rPr>
        <w:t xml:space="preserve">Moreover, </w:t>
      </w:r>
      <w:r w:rsidRPr="00233720">
        <w:rPr>
          <w:rFonts w:ascii="Times New Roman" w:hAnsi="Times New Roman" w:cs="Times New Roman"/>
          <w:kern w:val="0"/>
        </w:rPr>
        <w:t>Bekaert and Urias (1996) suggest that one can assess the economic significance of the shift in the mean-variance frontier by evaluating the change in the Sharpe ratio.</w:t>
      </w:r>
      <w:r>
        <w:rPr>
          <w:rFonts w:ascii="Times New Roman" w:hAnsi="Times New Roman" w:cs="Times New Roman"/>
          <w:kern w:val="0"/>
        </w:rPr>
        <w:t xml:space="preserve"> We argue that if the enhanced strategy dominates other strategies, then </w:t>
      </w:r>
      <w:r w:rsidRPr="00233720">
        <w:rPr>
          <w:rFonts w:ascii="Times New Roman" w:hAnsi="Times New Roman" w:cs="Times New Roman"/>
          <w:kern w:val="0"/>
        </w:rPr>
        <w:t xml:space="preserve">the </w:t>
      </w:r>
      <w:r>
        <w:rPr>
          <w:rFonts w:ascii="Times New Roman" w:hAnsi="Times New Roman" w:cs="Times New Roman"/>
          <w:kern w:val="0"/>
        </w:rPr>
        <w:t xml:space="preserve">percentage changes in the </w:t>
      </w:r>
      <w:r w:rsidRPr="00233720">
        <w:rPr>
          <w:rFonts w:ascii="Times New Roman" w:hAnsi="Times New Roman" w:cs="Times New Roman"/>
          <w:kern w:val="0"/>
        </w:rPr>
        <w:t xml:space="preserve">Sharpe ratio </w:t>
      </w:r>
      <w:r>
        <w:rPr>
          <w:rFonts w:ascii="Times New Roman" w:hAnsi="Times New Roman" w:cs="Times New Roman"/>
          <w:kern w:val="0"/>
        </w:rPr>
        <w:t>between the enhanced strategy and other strategies should be positive. The Sharpe ratio for each zero-</w:t>
      </w:r>
      <w:r w:rsidRPr="00233720">
        <w:rPr>
          <w:rFonts w:ascii="Times New Roman" w:hAnsi="Times New Roman" w:cs="Times New Roman"/>
          <w:kern w:val="0"/>
        </w:rPr>
        <w:t xml:space="preserve">investment </w:t>
      </w:r>
      <w:r>
        <w:rPr>
          <w:rFonts w:ascii="Times New Roman" w:hAnsi="Times New Roman" w:cs="Times New Roman"/>
          <w:kern w:val="0"/>
        </w:rPr>
        <w:t>return</w:t>
      </w:r>
      <w:r w:rsidRPr="00233720">
        <w:rPr>
          <w:rFonts w:ascii="Times New Roman" w:hAnsi="Times New Roman" w:cs="Times New Roman"/>
          <w:kern w:val="0"/>
        </w:rPr>
        <w:t xml:space="preserve"> is calculated as the ratio of excess return to standard deviation.</w:t>
      </w:r>
      <w:r>
        <w:rPr>
          <w:rFonts w:ascii="Times New Roman" w:hAnsi="Times New Roman" w:cs="Times New Roman"/>
          <w:kern w:val="0"/>
        </w:rPr>
        <w:t xml:space="preserve"> Panel A of Table 14 indicates that </w:t>
      </w:r>
      <w:r w:rsidRPr="003410DE">
        <w:rPr>
          <w:rFonts w:ascii="Times New Roman" w:hAnsi="Times New Roman" w:cs="Times New Roman"/>
        </w:rPr>
        <w:t xml:space="preserve">strategy (3) </w:t>
      </w:r>
      <w:r>
        <w:rPr>
          <w:rFonts w:ascii="Times New Roman" w:hAnsi="Times New Roman" w:cs="Times New Roman"/>
        </w:rPr>
        <w:t>(</w:t>
      </w:r>
      <w:r w:rsidRPr="003410DE">
        <w:rPr>
          <w:rFonts w:ascii="Times New Roman" w:hAnsi="Times New Roman" w:cs="Times New Roman"/>
        </w:rPr>
        <w:t xml:space="preserve">i.e., buys </w:t>
      </w:r>
      <w:r>
        <w:rPr>
          <w:rFonts w:ascii="Times New Roman" w:hAnsi="Times New Roman" w:cs="Times New Roman"/>
        </w:rPr>
        <w:t>value</w:t>
      </w:r>
      <w:r w:rsidRPr="003410DE">
        <w:rPr>
          <w:rFonts w:ascii="Times New Roman" w:hAnsi="Times New Roman" w:cs="Times New Roman"/>
        </w:rPr>
        <w:t xml:space="preserve"> stocks </w:t>
      </w:r>
      <w:r>
        <w:rPr>
          <w:rFonts w:ascii="Times New Roman" w:hAnsi="Times New Roman" w:cs="Times New Roman"/>
        </w:rPr>
        <w:t>with</w:t>
      </w:r>
      <w:r w:rsidRPr="003410DE">
        <w:rPr>
          <w:rFonts w:ascii="Times New Roman" w:hAnsi="Times New Roman" w:cs="Times New Roman"/>
        </w:rPr>
        <w:t xml:space="preserve"> institutional net-selling and sells short </w:t>
      </w:r>
      <w:r>
        <w:rPr>
          <w:rFonts w:ascii="Times New Roman" w:hAnsi="Times New Roman" w:cs="Times New Roman"/>
        </w:rPr>
        <w:t>growth</w:t>
      </w:r>
      <w:r w:rsidRPr="003410DE">
        <w:rPr>
          <w:rFonts w:ascii="Times New Roman" w:hAnsi="Times New Roman" w:cs="Times New Roman"/>
        </w:rPr>
        <w:t xml:space="preserve"> stocks </w:t>
      </w:r>
      <w:r>
        <w:rPr>
          <w:rFonts w:ascii="Times New Roman" w:hAnsi="Times New Roman" w:cs="Times New Roman"/>
        </w:rPr>
        <w:t>with</w:t>
      </w:r>
      <w:r w:rsidRPr="003410DE">
        <w:rPr>
          <w:rFonts w:ascii="Times New Roman" w:hAnsi="Times New Roman" w:cs="Times New Roman"/>
        </w:rPr>
        <w:t xml:space="preserve"> institutional net-buying [(</w:t>
      </w:r>
      <w:r>
        <w:rPr>
          <w:rFonts w:ascii="Times New Roman" w:hAnsi="Times New Roman" w:cs="Times New Roman"/>
        </w:rPr>
        <w:t>Value</w:t>
      </w:r>
      <w:r w:rsidRPr="003410DE">
        <w:rPr>
          <w:rFonts w:ascii="Times New Roman" w:hAnsi="Times New Roman" w:cs="Times New Roman"/>
        </w:rPr>
        <w:t>, Sell)</w:t>
      </w:r>
      <w:r w:rsidRPr="003410DE">
        <w:rPr>
          <w:rFonts w:ascii="Times New Roman" w:hAnsi="Times New Roman" w:cs="Times New Roman"/>
          <w:color w:val="000000"/>
        </w:rPr>
        <w:t xml:space="preserve"> – (</w:t>
      </w:r>
      <w:r>
        <w:rPr>
          <w:rFonts w:ascii="Times New Roman" w:hAnsi="Times New Roman" w:cs="Times New Roman"/>
          <w:color w:val="000000"/>
        </w:rPr>
        <w:t>Growth</w:t>
      </w:r>
      <w:r w:rsidRPr="003410DE">
        <w:rPr>
          <w:rFonts w:ascii="Times New Roman" w:hAnsi="Times New Roman" w:cs="Times New Roman"/>
          <w:color w:val="000000"/>
        </w:rPr>
        <w:t>, Buy)]</w:t>
      </w:r>
      <w:r>
        <w:rPr>
          <w:rFonts w:ascii="Times New Roman" w:hAnsi="Times New Roman" w:cs="Times New Roman"/>
          <w:color w:val="000000"/>
        </w:rPr>
        <w:t>)</w:t>
      </w:r>
      <w:r w:rsidRPr="003410DE">
        <w:rPr>
          <w:rFonts w:ascii="Times New Roman" w:hAnsi="Times New Roman" w:cs="Times New Roman"/>
          <w:color w:val="000000"/>
        </w:rPr>
        <w:t xml:space="preserve"> yields the highest</w:t>
      </w:r>
      <w:r>
        <w:rPr>
          <w:rFonts w:ascii="Times New Roman" w:hAnsi="Times New Roman" w:cs="Times New Roman"/>
          <w:color w:val="000000"/>
        </w:rPr>
        <w:t xml:space="preserve"> Sharpe ratio among all strategies. </w:t>
      </w:r>
      <w:r>
        <w:rPr>
          <w:rFonts w:ascii="Times New Roman" w:hAnsi="Times New Roman" w:cs="Times New Roman"/>
        </w:rPr>
        <w:t>In sum, w</w:t>
      </w:r>
      <w:r w:rsidRPr="003410DE">
        <w:rPr>
          <w:rFonts w:ascii="Times New Roman" w:hAnsi="Times New Roman" w:cs="Times New Roman"/>
        </w:rPr>
        <w:t xml:space="preserve">e find that incorporating information about the institutional trading </w:t>
      </w:r>
      <w:r>
        <w:rPr>
          <w:rFonts w:ascii="Times New Roman" w:hAnsi="Times New Roman" w:cs="Times New Roman"/>
        </w:rPr>
        <w:t>behavior</w:t>
      </w:r>
      <w:r w:rsidRPr="003410DE">
        <w:rPr>
          <w:rFonts w:ascii="Times New Roman" w:hAnsi="Times New Roman" w:cs="Times New Roman"/>
        </w:rPr>
        <w:t xml:space="preserve"> can </w:t>
      </w:r>
      <w:r>
        <w:rPr>
          <w:rFonts w:ascii="Times New Roman" w:hAnsi="Times New Roman" w:cs="Times New Roman"/>
        </w:rPr>
        <w:t>significantly enhance</w:t>
      </w:r>
      <w:r w:rsidRPr="003410DE">
        <w:rPr>
          <w:rFonts w:ascii="Times New Roman" w:hAnsi="Times New Roman" w:cs="Times New Roman"/>
        </w:rPr>
        <w:t xml:space="preserve"> the value strategy</w:t>
      </w:r>
      <w:r>
        <w:rPr>
          <w:rFonts w:ascii="Times New Roman" w:hAnsi="Times New Roman" w:cs="Times New Roman"/>
        </w:rPr>
        <w:t xml:space="preserve"> but not the size strategy</w:t>
      </w:r>
      <w:r w:rsidRPr="003410DE">
        <w:rPr>
          <w:rFonts w:ascii="Times New Roman" w:hAnsi="Times New Roman" w:cs="Times New Roman"/>
        </w:rPr>
        <w:t>.</w:t>
      </w:r>
      <w:r>
        <w:rPr>
          <w:rFonts w:ascii="Times New Roman" w:hAnsi="Times New Roman" w:cs="Times New Roman"/>
        </w:rPr>
        <w:t xml:space="preserve"> </w:t>
      </w:r>
      <w:r w:rsidRPr="003410DE">
        <w:rPr>
          <w:rFonts w:ascii="Times New Roman" w:hAnsi="Times New Roman" w:cs="Times New Roman"/>
        </w:rPr>
        <w:t xml:space="preserve">However, information about individual trading </w:t>
      </w:r>
      <w:r>
        <w:rPr>
          <w:rFonts w:ascii="Times New Roman" w:hAnsi="Times New Roman" w:cs="Times New Roman"/>
        </w:rPr>
        <w:t>behavior</w:t>
      </w:r>
      <w:r w:rsidRPr="003410DE">
        <w:rPr>
          <w:rFonts w:ascii="Times New Roman" w:hAnsi="Times New Roman" w:cs="Times New Roman"/>
        </w:rPr>
        <w:t xml:space="preserve"> </w:t>
      </w:r>
      <w:r>
        <w:rPr>
          <w:rFonts w:ascii="Times New Roman" w:hAnsi="Times New Roman" w:cs="Times New Roman"/>
        </w:rPr>
        <w:t>can</w:t>
      </w:r>
      <w:r w:rsidRPr="003410DE">
        <w:rPr>
          <w:rFonts w:ascii="Times New Roman" w:hAnsi="Times New Roman" w:cs="Times New Roman"/>
        </w:rPr>
        <w:t xml:space="preserve">not enhance </w:t>
      </w:r>
      <w:r w:rsidRPr="00EC3483">
        <w:rPr>
          <w:rFonts w:ascii="Times New Roman" w:hAnsi="Times New Roman" w:cs="Times New Roman"/>
        </w:rPr>
        <w:t>either</w:t>
      </w:r>
      <w:r w:rsidRPr="003410DE">
        <w:rPr>
          <w:rFonts w:ascii="Times New Roman" w:hAnsi="Times New Roman" w:cs="Times New Roman"/>
        </w:rPr>
        <w:t xml:space="preserve"> value strategy or size strategy.</w:t>
      </w:r>
    </w:p>
    <w:p w:rsidR="00523FB7" w:rsidRPr="00895485" w:rsidRDefault="00523FB7" w:rsidP="00895485">
      <w:pPr>
        <w:autoSpaceDE w:val="0"/>
        <w:autoSpaceDN w:val="0"/>
        <w:adjustRightInd w:val="0"/>
        <w:snapToGrid w:val="0"/>
        <w:spacing w:line="480" w:lineRule="auto"/>
        <w:jc w:val="center"/>
        <w:rPr>
          <w:rFonts w:ascii="Times New Roman" w:hAnsi="Times New Roman" w:cs="Times New Roman"/>
          <w:bCs/>
          <w:kern w:val="0"/>
          <w:sz w:val="28"/>
          <w:szCs w:val="28"/>
        </w:rPr>
      </w:pPr>
      <w:r w:rsidRPr="00741707">
        <w:rPr>
          <w:rFonts w:ascii="Times New Roman" w:hAnsi="Times New Roman" w:cs="Times New Roman"/>
          <w:bCs/>
          <w:kern w:val="0"/>
          <w:sz w:val="28"/>
          <w:szCs w:val="28"/>
        </w:rPr>
        <w:t>&lt;Insert Table 1</w:t>
      </w:r>
      <w:r>
        <w:rPr>
          <w:rFonts w:ascii="Times New Roman" w:hAnsi="Times New Roman" w:cs="Times New Roman"/>
          <w:bCs/>
          <w:kern w:val="0"/>
          <w:sz w:val="28"/>
          <w:szCs w:val="28"/>
        </w:rPr>
        <w:t>4</w:t>
      </w:r>
      <w:r w:rsidRPr="00741707">
        <w:rPr>
          <w:rFonts w:ascii="Times New Roman" w:hAnsi="Times New Roman" w:cs="Times New Roman"/>
          <w:bCs/>
          <w:kern w:val="0"/>
          <w:sz w:val="28"/>
          <w:szCs w:val="28"/>
        </w:rPr>
        <w:t xml:space="preserve"> about here&gt;</w:t>
      </w:r>
    </w:p>
    <w:p w:rsidR="00523FB7" w:rsidRPr="003410DE" w:rsidRDefault="00523FB7" w:rsidP="00CC31B9">
      <w:pPr>
        <w:numPr>
          <w:ilvl w:val="0"/>
          <w:numId w:val="2"/>
        </w:numPr>
        <w:snapToGrid w:val="0"/>
        <w:spacing w:line="480" w:lineRule="auto"/>
        <w:rPr>
          <w:rFonts w:ascii="Times New Roman" w:hAnsi="Times New Roman" w:cs="Times New Roman"/>
          <w:b/>
          <w:bCs/>
          <w:sz w:val="28"/>
          <w:szCs w:val="28"/>
        </w:rPr>
      </w:pPr>
      <w:r w:rsidRPr="003410DE">
        <w:rPr>
          <w:rFonts w:ascii="Times New Roman" w:hAnsi="Times New Roman" w:cs="Times New Roman"/>
          <w:b/>
          <w:bCs/>
          <w:kern w:val="0"/>
          <w:sz w:val="28"/>
          <w:szCs w:val="28"/>
        </w:rPr>
        <w:t>Conclusions</w:t>
      </w:r>
    </w:p>
    <w:p w:rsidR="00523FB7" w:rsidRPr="003410DE" w:rsidRDefault="00523FB7" w:rsidP="009C605D">
      <w:pPr>
        <w:snapToGrid w:val="0"/>
        <w:spacing w:line="480" w:lineRule="auto"/>
        <w:jc w:val="both"/>
        <w:rPr>
          <w:rFonts w:ascii="Times New Roman" w:hAnsi="Times New Roman" w:cs="Times New Roman"/>
        </w:rPr>
      </w:pPr>
      <w:r w:rsidRPr="00D5561B">
        <w:rPr>
          <w:rFonts w:ascii="Times New Roman" w:hAnsi="Times New Roman" w:cs="Times New Roman"/>
        </w:rPr>
        <w:t xml:space="preserve">This paper attempts to </w:t>
      </w:r>
      <w:r>
        <w:rPr>
          <w:rFonts w:ascii="Times New Roman" w:hAnsi="Times New Roman" w:cs="Times New Roman"/>
        </w:rPr>
        <w:t>test</w:t>
      </w:r>
      <w:r w:rsidRPr="00D5561B">
        <w:rPr>
          <w:rFonts w:ascii="Times New Roman" w:hAnsi="Times New Roman" w:cs="Times New Roman"/>
        </w:rPr>
        <w:t xml:space="preserve"> the behavioral hypothesis of Lakonishok, Shleifer, and Vishny (1994) in explaining value and size premiums. We s</w:t>
      </w:r>
      <w:r w:rsidRPr="003410DE">
        <w:rPr>
          <w:rFonts w:ascii="Times New Roman" w:hAnsi="Times New Roman" w:cs="Times New Roman"/>
        </w:rPr>
        <w:t xml:space="preserve">how that there is </w:t>
      </w:r>
      <w:r>
        <w:rPr>
          <w:rFonts w:ascii="Times New Roman" w:hAnsi="Times New Roman" w:cs="Times New Roman"/>
        </w:rPr>
        <w:t xml:space="preserve">a </w:t>
      </w:r>
      <w:r w:rsidRPr="003410DE">
        <w:rPr>
          <w:rFonts w:ascii="Times New Roman" w:hAnsi="Times New Roman" w:cs="Times New Roman"/>
        </w:rPr>
        <w:t xml:space="preserve">significantly and economically negative relation between </w:t>
      </w:r>
      <w:r>
        <w:rPr>
          <w:rFonts w:ascii="Times New Roman" w:hAnsi="Times New Roman" w:cs="Times New Roman"/>
        </w:rPr>
        <w:t xml:space="preserve">annual </w:t>
      </w:r>
      <w:r w:rsidRPr="003410DE">
        <w:rPr>
          <w:rFonts w:ascii="Times New Roman" w:hAnsi="Times New Roman" w:cs="Times New Roman"/>
        </w:rPr>
        <w:t xml:space="preserve">changes in institutional ownership and </w:t>
      </w:r>
      <w:r>
        <w:rPr>
          <w:rFonts w:ascii="Times New Roman" w:hAnsi="Times New Roman" w:cs="Times New Roman"/>
        </w:rPr>
        <w:t xml:space="preserve">future </w:t>
      </w:r>
      <w:r w:rsidRPr="003410DE">
        <w:rPr>
          <w:rFonts w:ascii="Times New Roman" w:hAnsi="Times New Roman" w:cs="Times New Roman"/>
        </w:rPr>
        <w:t xml:space="preserve">stocks returns. </w:t>
      </w:r>
      <w:r>
        <w:rPr>
          <w:rFonts w:ascii="Times New Roman" w:hAnsi="Times New Roman" w:cs="Times New Roman"/>
        </w:rPr>
        <w:t>Institutional investors tend to net-buy growth stocks and net-sell value stocks</w:t>
      </w:r>
      <w:r w:rsidRPr="003410DE">
        <w:rPr>
          <w:rFonts w:ascii="Times New Roman" w:hAnsi="Times New Roman" w:cs="Times New Roman"/>
        </w:rPr>
        <w:t>.</w:t>
      </w:r>
      <w:r>
        <w:rPr>
          <w:rFonts w:ascii="Times New Roman" w:hAnsi="Times New Roman" w:cs="Times New Roman"/>
        </w:rPr>
        <w:t xml:space="preserve"> </w:t>
      </w:r>
      <w:r w:rsidRPr="003410DE">
        <w:rPr>
          <w:rFonts w:ascii="Times New Roman" w:hAnsi="Times New Roman" w:cs="Times New Roman"/>
        </w:rPr>
        <w:t xml:space="preserve">However, </w:t>
      </w:r>
      <w:r>
        <w:rPr>
          <w:rFonts w:ascii="Times New Roman" w:hAnsi="Times New Roman" w:cs="Times New Roman"/>
        </w:rPr>
        <w:t xml:space="preserve">an insignificant </w:t>
      </w:r>
      <w:r w:rsidRPr="003410DE">
        <w:rPr>
          <w:rFonts w:ascii="Times New Roman" w:hAnsi="Times New Roman" w:cs="Times New Roman"/>
        </w:rPr>
        <w:t>relationship</w:t>
      </w:r>
      <w:r>
        <w:rPr>
          <w:rFonts w:ascii="Times New Roman" w:hAnsi="Times New Roman" w:cs="Times New Roman"/>
        </w:rPr>
        <w:t xml:space="preserve"> exists</w:t>
      </w:r>
      <w:r w:rsidRPr="003410DE">
        <w:rPr>
          <w:rFonts w:ascii="Times New Roman" w:hAnsi="Times New Roman" w:cs="Times New Roman"/>
        </w:rPr>
        <w:t xml:space="preserve"> between changes in institutional ownership</w:t>
      </w:r>
      <w:r>
        <w:rPr>
          <w:rFonts w:ascii="Times New Roman" w:hAnsi="Times New Roman" w:cs="Times New Roman"/>
        </w:rPr>
        <w:t xml:space="preserve"> and size, inconsistent with </w:t>
      </w:r>
      <w:r w:rsidRPr="00D5561B">
        <w:rPr>
          <w:rFonts w:ascii="Times New Roman" w:hAnsi="Times New Roman" w:cs="Times New Roman"/>
          <w:color w:val="000000"/>
        </w:rPr>
        <w:t>Gompers and Metrick (2001) who</w:t>
      </w:r>
      <w:r>
        <w:rPr>
          <w:rFonts w:ascii="Times New Roman" w:hAnsi="Times New Roman" w:cs="Times New Roman"/>
          <w:color w:val="000000"/>
        </w:rPr>
        <w:t xml:space="preserve"> attribute the disappearance of size premium to </w:t>
      </w:r>
      <w:r w:rsidRPr="00CE0C0F">
        <w:rPr>
          <w:rFonts w:ascii="Times New Roman" w:hAnsi="Times New Roman" w:cs="Times New Roman"/>
          <w:color w:val="000000"/>
        </w:rPr>
        <w:t xml:space="preserve">the substantial increase in institutional ownership </w:t>
      </w:r>
      <w:r>
        <w:rPr>
          <w:rFonts w:ascii="Times New Roman" w:hAnsi="Times New Roman" w:cs="Times New Roman"/>
          <w:color w:val="000000"/>
        </w:rPr>
        <w:t>of</w:t>
      </w:r>
      <w:r w:rsidRPr="00CE0C0F">
        <w:rPr>
          <w:rFonts w:ascii="Times New Roman" w:hAnsi="Times New Roman" w:cs="Times New Roman"/>
          <w:color w:val="000000"/>
        </w:rPr>
        <w:t xml:space="preserve"> large stocks and decrease in small stocks</w:t>
      </w:r>
      <w:r w:rsidRPr="003410DE">
        <w:rPr>
          <w:rFonts w:ascii="Times New Roman" w:hAnsi="Times New Roman" w:cs="Times New Roman"/>
        </w:rPr>
        <w:t xml:space="preserve">. </w:t>
      </w:r>
    </w:p>
    <w:p w:rsidR="00523FB7" w:rsidRDefault="00523FB7" w:rsidP="00CC31B9">
      <w:pPr>
        <w:snapToGrid w:val="0"/>
        <w:spacing w:line="480" w:lineRule="auto"/>
        <w:ind w:firstLine="480"/>
        <w:jc w:val="both"/>
        <w:rPr>
          <w:rFonts w:ascii="Times New Roman" w:hAnsi="Times New Roman" w:cs="Times New Roman"/>
        </w:rPr>
      </w:pPr>
      <w:r>
        <w:rPr>
          <w:rFonts w:ascii="Times New Roman" w:hAnsi="Times New Roman" w:cs="Times New Roman"/>
        </w:rPr>
        <w:t xml:space="preserve">Individual investors tend to net-buy small and value stocks, and net-sell large and growth stocks; that is, they are contrarian traders. The relation between annual </w:t>
      </w:r>
      <w:r w:rsidRPr="003410DE">
        <w:rPr>
          <w:rFonts w:ascii="Times New Roman" w:hAnsi="Times New Roman" w:cs="Times New Roman"/>
        </w:rPr>
        <w:t xml:space="preserve">changes in </w:t>
      </w:r>
      <w:r>
        <w:rPr>
          <w:rFonts w:ascii="Times New Roman" w:hAnsi="Times New Roman" w:cs="Times New Roman"/>
        </w:rPr>
        <w:t xml:space="preserve">individual </w:t>
      </w:r>
      <w:r w:rsidRPr="003410DE">
        <w:rPr>
          <w:rFonts w:ascii="Times New Roman" w:hAnsi="Times New Roman" w:cs="Times New Roman"/>
        </w:rPr>
        <w:t>ownership</w:t>
      </w:r>
      <w:r>
        <w:rPr>
          <w:rFonts w:ascii="Times New Roman" w:hAnsi="Times New Roman" w:cs="Times New Roman"/>
        </w:rPr>
        <w:t xml:space="preserve"> and future stock returns does not exist.</w:t>
      </w:r>
      <w:r w:rsidRPr="003410DE">
        <w:rPr>
          <w:rFonts w:ascii="Times New Roman" w:hAnsi="Times New Roman" w:cs="Times New Roman"/>
        </w:rPr>
        <w:t xml:space="preserve"> </w:t>
      </w:r>
      <w:r>
        <w:rPr>
          <w:rFonts w:ascii="Times New Roman" w:hAnsi="Times New Roman" w:cs="Times New Roman"/>
        </w:rPr>
        <w:t>A</w:t>
      </w:r>
      <w:r w:rsidRPr="003410DE">
        <w:rPr>
          <w:rFonts w:ascii="Times New Roman" w:hAnsi="Times New Roman" w:cs="Times New Roman"/>
        </w:rPr>
        <w:t xml:space="preserve">lthough institutional and individual trading seem to be associated </w:t>
      </w:r>
      <w:r>
        <w:rPr>
          <w:rFonts w:ascii="Times New Roman" w:hAnsi="Times New Roman" w:cs="Times New Roman"/>
        </w:rPr>
        <w:t>with</w:t>
      </w:r>
      <w:r w:rsidRPr="003410DE">
        <w:rPr>
          <w:rFonts w:ascii="Times New Roman" w:hAnsi="Times New Roman" w:cs="Times New Roman"/>
        </w:rPr>
        <w:t xml:space="preserve"> </w:t>
      </w:r>
      <w:r w:rsidRPr="00D5561B">
        <w:rPr>
          <w:rFonts w:ascii="Times New Roman" w:hAnsi="Times New Roman" w:cs="Times New Roman"/>
          <w:i/>
        </w:rPr>
        <w:t>BE/ME</w:t>
      </w:r>
      <w:r w:rsidRPr="003410DE">
        <w:rPr>
          <w:rFonts w:ascii="Times New Roman" w:hAnsi="Times New Roman" w:cs="Times New Roman"/>
        </w:rPr>
        <w:t xml:space="preserve"> and</w:t>
      </w:r>
      <w:r>
        <w:rPr>
          <w:rFonts w:ascii="Times New Roman" w:hAnsi="Times New Roman" w:cs="Times New Roman"/>
        </w:rPr>
        <w:t>/or</w:t>
      </w:r>
      <w:r w:rsidRPr="003410DE">
        <w:rPr>
          <w:rFonts w:ascii="Times New Roman" w:hAnsi="Times New Roman" w:cs="Times New Roman"/>
        </w:rPr>
        <w:t xml:space="preserve"> size, their</w:t>
      </w:r>
      <w:r>
        <w:rPr>
          <w:rFonts w:ascii="Times New Roman" w:hAnsi="Times New Roman" w:cs="Times New Roman"/>
        </w:rPr>
        <w:t xml:space="preserve"> effect</w:t>
      </w:r>
      <w:r w:rsidRPr="003410DE">
        <w:rPr>
          <w:rFonts w:ascii="Times New Roman" w:hAnsi="Times New Roman" w:cs="Times New Roman"/>
        </w:rPr>
        <w:t xml:space="preserve">s appear to be limited </w:t>
      </w:r>
      <w:r>
        <w:rPr>
          <w:rFonts w:ascii="Times New Roman" w:hAnsi="Times New Roman" w:cs="Times New Roman"/>
        </w:rPr>
        <w:t>on</w:t>
      </w:r>
      <w:r w:rsidRPr="003410DE">
        <w:rPr>
          <w:rFonts w:ascii="Times New Roman" w:hAnsi="Times New Roman" w:cs="Times New Roman"/>
        </w:rPr>
        <w:t xml:space="preserve"> </w:t>
      </w:r>
      <w:r w:rsidRPr="003E1954">
        <w:rPr>
          <w:rFonts w:ascii="Times New Roman" w:hAnsi="Times New Roman" w:cs="Times New Roman"/>
        </w:rPr>
        <w:t>value and size</w:t>
      </w:r>
      <w:r w:rsidRPr="003410DE">
        <w:rPr>
          <w:rFonts w:ascii="Times New Roman" w:hAnsi="Times New Roman" w:cs="Times New Roman"/>
        </w:rPr>
        <w:t xml:space="preserve"> premiums. </w:t>
      </w:r>
      <w:r>
        <w:rPr>
          <w:rFonts w:ascii="Times New Roman" w:hAnsi="Times New Roman" w:cs="Times New Roman"/>
        </w:rPr>
        <w:t xml:space="preserve">This finding is inconsistent with the behavioral explanation that value premium is driven by investors’ trading behavior </w:t>
      </w:r>
      <w:r w:rsidRPr="006D2808">
        <w:rPr>
          <w:rFonts w:ascii="Times New Roman" w:hAnsi="Times New Roman" w:cs="Times New Roman"/>
        </w:rPr>
        <w:t>(Lakonishok,</w:t>
      </w:r>
      <w:r>
        <w:rPr>
          <w:rFonts w:ascii="Times New Roman" w:hAnsi="Times New Roman" w:cs="Times New Roman"/>
        </w:rPr>
        <w:t xml:space="preserve"> et al.</w:t>
      </w:r>
      <w:r w:rsidRPr="006D2808">
        <w:rPr>
          <w:rFonts w:ascii="Times New Roman" w:hAnsi="Times New Roman" w:cs="Times New Roman"/>
        </w:rPr>
        <w:t xml:space="preserve"> 1994; Jiang,</w:t>
      </w:r>
      <w:r>
        <w:rPr>
          <w:rFonts w:ascii="Times New Roman" w:hAnsi="Times New Roman" w:cs="Times New Roman"/>
        </w:rPr>
        <w:t xml:space="preserve"> </w:t>
      </w:r>
      <w:r w:rsidRPr="003410DE">
        <w:rPr>
          <w:rFonts w:ascii="Times New Roman" w:hAnsi="Times New Roman" w:cs="Times New Roman"/>
        </w:rPr>
        <w:t>2010</w:t>
      </w:r>
      <w:r>
        <w:rPr>
          <w:rFonts w:ascii="Times New Roman" w:hAnsi="Times New Roman" w:cs="Times New Roman"/>
        </w:rPr>
        <w:t>).</w:t>
      </w:r>
    </w:p>
    <w:p w:rsidR="00523FB7" w:rsidRPr="003410DE" w:rsidRDefault="00523FB7" w:rsidP="00CC31B9">
      <w:pPr>
        <w:snapToGrid w:val="0"/>
        <w:spacing w:line="480" w:lineRule="auto"/>
        <w:ind w:firstLine="480"/>
        <w:jc w:val="both"/>
        <w:rPr>
          <w:rFonts w:ascii="Times New Roman" w:hAnsi="Times New Roman" w:cs="Times New Roman"/>
        </w:rPr>
      </w:pPr>
      <w:r w:rsidRPr="003410DE">
        <w:rPr>
          <w:rFonts w:ascii="Times New Roman" w:hAnsi="Times New Roman" w:cs="Times New Roman"/>
        </w:rPr>
        <w:t>We also find that</w:t>
      </w:r>
      <w:r>
        <w:rPr>
          <w:rFonts w:ascii="Times New Roman" w:hAnsi="Times New Roman" w:cs="Times New Roman"/>
        </w:rPr>
        <w:t>,</w:t>
      </w:r>
      <w:r w:rsidRPr="003410DE">
        <w:rPr>
          <w:rFonts w:ascii="Times New Roman" w:hAnsi="Times New Roman" w:cs="Times New Roman"/>
        </w:rPr>
        <w:t xml:space="preserve"> by including information about institutional trading </w:t>
      </w:r>
      <w:r>
        <w:rPr>
          <w:rFonts w:ascii="Times New Roman" w:hAnsi="Times New Roman" w:cs="Times New Roman"/>
        </w:rPr>
        <w:t>behavior</w:t>
      </w:r>
      <w:r w:rsidRPr="003410DE">
        <w:rPr>
          <w:rFonts w:ascii="Times New Roman" w:hAnsi="Times New Roman" w:cs="Times New Roman"/>
        </w:rPr>
        <w:t xml:space="preserve">, one can improve the profitability of the value strategy. However, information </w:t>
      </w:r>
      <w:r>
        <w:rPr>
          <w:rFonts w:ascii="Times New Roman" w:hAnsi="Times New Roman" w:cs="Times New Roman"/>
        </w:rPr>
        <w:t>about annual changes in</w:t>
      </w:r>
      <w:r w:rsidRPr="003410DE">
        <w:rPr>
          <w:rFonts w:ascii="Times New Roman" w:hAnsi="Times New Roman" w:cs="Times New Roman"/>
        </w:rPr>
        <w:t xml:space="preserve"> institutional</w:t>
      </w:r>
      <w:r>
        <w:rPr>
          <w:rFonts w:ascii="Times New Roman" w:hAnsi="Times New Roman" w:cs="Times New Roman"/>
        </w:rPr>
        <w:t xml:space="preserve"> ownership</w:t>
      </w:r>
      <w:r w:rsidRPr="003410DE">
        <w:rPr>
          <w:rFonts w:ascii="Times New Roman" w:hAnsi="Times New Roman" w:cs="Times New Roman"/>
        </w:rPr>
        <w:t xml:space="preserve"> has </w:t>
      </w:r>
      <w:r>
        <w:rPr>
          <w:rFonts w:ascii="Times New Roman" w:hAnsi="Times New Roman" w:cs="Times New Roman"/>
        </w:rPr>
        <w:t xml:space="preserve">a </w:t>
      </w:r>
      <w:r w:rsidRPr="003410DE">
        <w:rPr>
          <w:rFonts w:ascii="Times New Roman" w:hAnsi="Times New Roman" w:cs="Times New Roman"/>
        </w:rPr>
        <w:t xml:space="preserve">limited ability in improving size strategy. </w:t>
      </w:r>
      <w:r>
        <w:rPr>
          <w:rFonts w:ascii="Times New Roman" w:hAnsi="Times New Roman" w:cs="Times New Roman"/>
        </w:rPr>
        <w:t>I</w:t>
      </w:r>
      <w:r w:rsidRPr="003410DE">
        <w:rPr>
          <w:rFonts w:ascii="Times New Roman" w:hAnsi="Times New Roman" w:cs="Times New Roman"/>
        </w:rPr>
        <w:t xml:space="preserve">nformation about individual trading </w:t>
      </w:r>
      <w:r>
        <w:rPr>
          <w:rFonts w:ascii="Times New Roman" w:hAnsi="Times New Roman" w:cs="Times New Roman"/>
        </w:rPr>
        <w:t>behavior</w:t>
      </w:r>
      <w:r w:rsidRPr="003410DE">
        <w:rPr>
          <w:rFonts w:ascii="Times New Roman" w:hAnsi="Times New Roman" w:cs="Times New Roman"/>
        </w:rPr>
        <w:t xml:space="preserve"> </w:t>
      </w:r>
      <w:r>
        <w:rPr>
          <w:rFonts w:ascii="Times New Roman" w:hAnsi="Times New Roman" w:cs="Times New Roman"/>
        </w:rPr>
        <w:t xml:space="preserve">cannot </w:t>
      </w:r>
      <w:r w:rsidRPr="003410DE">
        <w:rPr>
          <w:rFonts w:ascii="Times New Roman" w:hAnsi="Times New Roman" w:cs="Times New Roman"/>
        </w:rPr>
        <w:t xml:space="preserve">enhance </w:t>
      </w:r>
      <w:r w:rsidRPr="00EC3483">
        <w:rPr>
          <w:rFonts w:ascii="Times New Roman" w:hAnsi="Times New Roman" w:cs="Times New Roman"/>
        </w:rPr>
        <w:t>eithe</w:t>
      </w:r>
      <w:r w:rsidRPr="003410DE">
        <w:rPr>
          <w:rFonts w:ascii="Times New Roman" w:hAnsi="Times New Roman" w:cs="Times New Roman"/>
        </w:rPr>
        <w:t>r value</w:t>
      </w:r>
      <w:r>
        <w:rPr>
          <w:rFonts w:ascii="Times New Roman" w:hAnsi="Times New Roman" w:cs="Times New Roman"/>
        </w:rPr>
        <w:t xml:space="preserve"> strategy</w:t>
      </w:r>
      <w:r w:rsidRPr="003410DE">
        <w:rPr>
          <w:rFonts w:ascii="Times New Roman" w:hAnsi="Times New Roman" w:cs="Times New Roman"/>
        </w:rPr>
        <w:t xml:space="preserve"> or size strateg</w:t>
      </w:r>
      <w:r>
        <w:rPr>
          <w:rFonts w:ascii="Times New Roman" w:hAnsi="Times New Roman" w:cs="Times New Roman"/>
        </w:rPr>
        <w:t>y</w:t>
      </w:r>
      <w:r w:rsidRPr="003410DE">
        <w:rPr>
          <w:rFonts w:ascii="Times New Roman" w:hAnsi="Times New Roman" w:cs="Times New Roman"/>
        </w:rPr>
        <w:t xml:space="preserve">. </w:t>
      </w:r>
    </w:p>
    <w:p w:rsidR="00523FB7" w:rsidRDefault="00523FB7">
      <w:pPr>
        <w:widowControl/>
        <w:rPr>
          <w:rFonts w:ascii="Times New Roman" w:hAnsi="Times New Roman" w:cs="Times New Roman"/>
          <w:b/>
          <w:bCs/>
          <w:sz w:val="28"/>
          <w:szCs w:val="28"/>
        </w:rPr>
      </w:pPr>
      <w:r>
        <w:rPr>
          <w:rFonts w:ascii="Times New Roman" w:hAnsi="Times New Roman" w:cs="Times New Roman"/>
          <w:b/>
          <w:bCs/>
          <w:sz w:val="28"/>
          <w:szCs w:val="28"/>
        </w:rPr>
        <w:br w:type="page"/>
      </w:r>
    </w:p>
    <w:p w:rsidR="00523FB7" w:rsidRPr="003410DE" w:rsidRDefault="00523FB7" w:rsidP="00C971CE">
      <w:pPr>
        <w:autoSpaceDE w:val="0"/>
        <w:autoSpaceDN w:val="0"/>
        <w:adjustRightInd w:val="0"/>
        <w:snapToGrid w:val="0"/>
        <w:jc w:val="both"/>
        <w:rPr>
          <w:rFonts w:ascii="Times New Roman" w:hAnsi="Times New Roman" w:cs="Times New Roman"/>
          <w:b/>
          <w:bCs/>
          <w:sz w:val="28"/>
          <w:szCs w:val="28"/>
        </w:rPr>
      </w:pPr>
      <w:r w:rsidRPr="003410DE">
        <w:rPr>
          <w:rFonts w:ascii="Times New Roman" w:hAnsi="Times New Roman" w:cs="Times New Roman"/>
          <w:b/>
          <w:bCs/>
          <w:sz w:val="28"/>
          <w:szCs w:val="28"/>
        </w:rPr>
        <w:t>References</w:t>
      </w:r>
    </w:p>
    <w:p w:rsidR="00523FB7" w:rsidRDefault="00523FB7" w:rsidP="003132FD">
      <w:pPr>
        <w:adjustRightInd w:val="0"/>
        <w:snapToGrid w:val="0"/>
        <w:ind w:left="480" w:hangingChars="200" w:hanging="480"/>
        <w:rPr>
          <w:rFonts w:ascii="Times New Roman" w:hAnsi="Times New Roman" w:cs="Times New Roman"/>
        </w:rPr>
      </w:pPr>
      <w:r>
        <w:rPr>
          <w:rFonts w:ascii="Times New Roman" w:hAnsi="Times New Roman" w:cs="Times New Roman"/>
        </w:rPr>
        <w:t xml:space="preserve">Bae, K.H. and J.B. Kim,1998, “The Usefulness of Earnings Versus Book Value for Predicting Stock Returns and Cross Corporate Ownership in Japan,” </w:t>
      </w:r>
      <w:r>
        <w:rPr>
          <w:rFonts w:ascii="Times New Roman" w:hAnsi="Times New Roman" w:cs="Times New Roman"/>
          <w:i/>
        </w:rPr>
        <w:t>Japan and the World Economy</w:t>
      </w:r>
      <w:r>
        <w:rPr>
          <w:rFonts w:ascii="Times New Roman" w:hAnsi="Times New Roman" w:cs="Times New Roman"/>
        </w:rPr>
        <w:t xml:space="preserve"> 10, 467–485.</w:t>
      </w:r>
    </w:p>
    <w:p w:rsidR="00523FB7" w:rsidRDefault="00523FB7" w:rsidP="003132FD">
      <w:pPr>
        <w:adjustRightInd w:val="0"/>
        <w:snapToGrid w:val="0"/>
        <w:ind w:left="480" w:hangingChars="200" w:hanging="480"/>
        <w:rPr>
          <w:rFonts w:ascii="Times New Roman" w:hAnsi="Times New Roman" w:cs="Times New Roman"/>
        </w:rPr>
      </w:pPr>
      <w:r>
        <w:rPr>
          <w:rFonts w:ascii="Times New Roman" w:hAnsi="Times New Roman" w:cs="Times New Roman"/>
        </w:rPr>
        <w:t xml:space="preserve">Barber, B.M. and T. Odean, 2000, “Trading is Hazardous to Your Wealth: The Common Stock Investment Performance of Individual Investors,” </w:t>
      </w:r>
      <w:r>
        <w:rPr>
          <w:rFonts w:ascii="Times New Roman" w:hAnsi="Times New Roman" w:cs="Times New Roman"/>
          <w:i/>
        </w:rPr>
        <w:t>Journal of Finance</w:t>
      </w:r>
      <w:r>
        <w:rPr>
          <w:rFonts w:ascii="Times New Roman" w:hAnsi="Times New Roman" w:cs="Times New Roman"/>
        </w:rPr>
        <w:t xml:space="preserve"> 55, 773–806.</w:t>
      </w:r>
    </w:p>
    <w:p w:rsidR="00523FB7" w:rsidRDefault="00523FB7" w:rsidP="003132FD">
      <w:pPr>
        <w:adjustRightInd w:val="0"/>
        <w:snapToGrid w:val="0"/>
        <w:ind w:left="480" w:hangingChars="200" w:hanging="480"/>
        <w:rPr>
          <w:rFonts w:ascii="Times New Roman" w:hAnsi="Times New Roman" w:cs="Times New Roman"/>
        </w:rPr>
      </w:pPr>
      <w:r>
        <w:rPr>
          <w:rFonts w:ascii="Times New Roman" w:hAnsi="Times New Roman" w:cs="Times New Roman"/>
        </w:rPr>
        <w:t>Black, F., 1993, “Beta and Return</w:t>
      </w:r>
      <w:r>
        <w:rPr>
          <w:rFonts w:ascii="Times New Roman" w:hAnsi="Times New Roman" w:cs="Times New Roman"/>
          <w:color w:val="000000"/>
        </w:rPr>
        <w:t>,”</w:t>
      </w:r>
      <w:r>
        <w:rPr>
          <w:rFonts w:ascii="Times New Roman" w:hAnsi="Times New Roman" w:cs="Times New Roman"/>
        </w:rPr>
        <w:t xml:space="preserve"> </w:t>
      </w:r>
      <w:r>
        <w:rPr>
          <w:rFonts w:ascii="Times New Roman" w:hAnsi="Times New Roman" w:cs="Times New Roman"/>
          <w:i/>
          <w:iCs/>
        </w:rPr>
        <w:t>Journal of Portfolio Management</w:t>
      </w:r>
      <w:r>
        <w:rPr>
          <w:rFonts w:ascii="Times New Roman" w:hAnsi="Times New Roman" w:cs="Times New Roman"/>
        </w:rPr>
        <w:t xml:space="preserve"> 20, 8–18.</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Bennett, J.A., R.W. Sias, and L.T. Starks, 2003, “Greener Pastures and the Impact of Dynamic Institutional Preferences,” </w:t>
      </w:r>
      <w:r>
        <w:rPr>
          <w:rFonts w:ascii="Times New Roman" w:hAnsi="Times New Roman" w:cs="Times New Roman"/>
          <w:i/>
          <w:iCs/>
          <w:color w:val="000000"/>
        </w:rPr>
        <w:t xml:space="preserve">Review of Financial Studies </w:t>
      </w:r>
      <w:r>
        <w:rPr>
          <w:rFonts w:ascii="Times New Roman" w:hAnsi="Times New Roman" w:cs="Times New Roman"/>
          <w:color w:val="000000"/>
        </w:rPr>
        <w:t>16, 1203</w:t>
      </w:r>
      <w:r>
        <w:rPr>
          <w:rFonts w:ascii="Times New Roman" w:hAnsi="Times New Roman" w:cs="Times New Roman"/>
        </w:rPr>
        <w:t>–</w:t>
      </w:r>
      <w:r>
        <w:rPr>
          <w:rFonts w:ascii="Times New Roman" w:hAnsi="Times New Roman" w:cs="Times New Roman"/>
          <w:color w:val="000000"/>
        </w:rPr>
        <w:t>1238.</w:t>
      </w:r>
    </w:p>
    <w:p w:rsidR="00523FB7" w:rsidRDefault="00523FB7" w:rsidP="003132FD">
      <w:pPr>
        <w:autoSpaceDE w:val="0"/>
        <w:autoSpaceDN w:val="0"/>
        <w:adjustRightInd w:val="0"/>
        <w:snapToGrid w:val="0"/>
        <w:ind w:left="480" w:hangingChars="200" w:hanging="480"/>
        <w:rPr>
          <w:rFonts w:ascii="Times New Roman" w:hAnsi="Times New Roman" w:cs="Times New Roman"/>
        </w:rPr>
      </w:pPr>
      <w:r>
        <w:rPr>
          <w:rFonts w:ascii="Times New Roman" w:hAnsi="Times New Roman" w:cs="Times New Roman"/>
        </w:rPr>
        <w:t>Brown, N., K. Wei, and R. Wermers, 2009, “Analyst Recommendations, Mutual Fund Herding, and Overreaction in Stock Prices</w:t>
      </w:r>
      <w:r>
        <w:rPr>
          <w:rFonts w:ascii="Times New Roman" w:hAnsi="Times New Roman" w:cs="Times New Roman"/>
          <w:color w:val="000000"/>
        </w:rPr>
        <w:t xml:space="preserve">,” </w:t>
      </w:r>
      <w:r>
        <w:rPr>
          <w:rFonts w:ascii="Times New Roman" w:hAnsi="Times New Roman" w:cs="Times New Roman"/>
        </w:rPr>
        <w:t>Working Paper.</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rPr>
        <w:t xml:space="preserve">Cai, J., 1997, “Glamour and value strategies on the Tokyo Stock Exchange,” </w:t>
      </w:r>
      <w:r>
        <w:rPr>
          <w:rFonts w:ascii="Times New Roman" w:hAnsi="Times New Roman" w:cs="Times New Roman"/>
          <w:i/>
        </w:rPr>
        <w:t>Journal of Business Fi</w:t>
      </w:r>
      <w:r>
        <w:rPr>
          <w:rFonts w:ascii="Times New Roman" w:hAnsi="Times New Roman" w:cs="Times New Roman"/>
          <w:i/>
          <w:color w:val="000000"/>
        </w:rPr>
        <w:t xml:space="preserve">nance and Accounting </w:t>
      </w:r>
      <w:r>
        <w:rPr>
          <w:rFonts w:ascii="Times New Roman" w:hAnsi="Times New Roman" w:cs="Times New Roman"/>
          <w:color w:val="000000"/>
        </w:rPr>
        <w:t>24, 1291</w:t>
      </w:r>
      <w:r>
        <w:rPr>
          <w:rFonts w:ascii="Times New Roman" w:hAnsi="Times New Roman" w:cs="Times New Roman"/>
        </w:rPr>
        <w:t>–</w:t>
      </w:r>
      <w:r>
        <w:rPr>
          <w:rFonts w:ascii="Times New Roman" w:hAnsi="Times New Roman" w:cs="Times New Roman"/>
          <w:color w:val="000000"/>
        </w:rPr>
        <w:t>1310.</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Carhart, M.M., 1997, “On Persistence in Mutual Fund Performance,” </w:t>
      </w:r>
      <w:r>
        <w:rPr>
          <w:rFonts w:ascii="Times New Roman" w:hAnsi="Times New Roman" w:cs="Times New Roman"/>
          <w:i/>
          <w:color w:val="000000"/>
        </w:rPr>
        <w:t>Journal of Finance</w:t>
      </w:r>
      <w:r>
        <w:rPr>
          <w:rFonts w:ascii="Times New Roman" w:hAnsi="Times New Roman" w:cs="Times New Roman"/>
          <w:color w:val="000000"/>
        </w:rPr>
        <w:t xml:space="preserve"> 52, 57</w:t>
      </w:r>
      <w:r>
        <w:rPr>
          <w:rFonts w:ascii="Times New Roman" w:hAnsi="Times New Roman" w:cs="Times New Roman"/>
        </w:rPr>
        <w:t>–</w:t>
      </w:r>
      <w:r>
        <w:rPr>
          <w:rFonts w:ascii="Times New Roman" w:hAnsi="Times New Roman" w:cs="Times New Roman"/>
          <w:color w:val="000000"/>
        </w:rPr>
        <w:t>82.</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rPr>
        <w:t>Chan, L.K.C., Y. Hamao, and J. Lakonishok, 1993, “Can Fundamentals Predict Japanese Stock Returns?”</w:t>
      </w:r>
      <w:r>
        <w:rPr>
          <w:rFonts w:ascii="Times New Roman" w:hAnsi="Times New Roman" w:cs="Times New Roman"/>
          <w:color w:val="000000"/>
        </w:rPr>
        <w:t xml:space="preserve"> </w:t>
      </w:r>
      <w:r>
        <w:rPr>
          <w:rFonts w:ascii="Times New Roman" w:hAnsi="Times New Roman" w:cs="Times New Roman"/>
          <w:i/>
          <w:color w:val="000000"/>
        </w:rPr>
        <w:t>Financial Analysts Journal</w:t>
      </w:r>
      <w:r>
        <w:rPr>
          <w:rFonts w:ascii="Times New Roman" w:hAnsi="Times New Roman" w:cs="Times New Roman"/>
          <w:color w:val="000000"/>
        </w:rPr>
        <w:t xml:space="preserve"> 49, 63</w:t>
      </w:r>
      <w:r>
        <w:rPr>
          <w:rFonts w:ascii="Times New Roman" w:hAnsi="Times New Roman" w:cs="Times New Roman"/>
        </w:rPr>
        <w:t>–</w:t>
      </w:r>
      <w:r>
        <w:rPr>
          <w:rFonts w:ascii="Times New Roman" w:hAnsi="Times New Roman" w:cs="Times New Roman"/>
          <w:color w:val="000000"/>
        </w:rPr>
        <w:t xml:space="preserve"> 69.</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Chan, L</w:t>
      </w:r>
      <w:r>
        <w:rPr>
          <w:rFonts w:ascii="Times New Roman" w:hAnsi="Times New Roman" w:cs="Times New Roman"/>
        </w:rPr>
        <w:t>.K.C</w:t>
      </w:r>
      <w:r>
        <w:rPr>
          <w:rFonts w:ascii="Times New Roman" w:hAnsi="Times New Roman" w:cs="Times New Roman"/>
          <w:color w:val="000000"/>
        </w:rPr>
        <w:t xml:space="preserve">., J. Lakonishok, and T. Sougiannis, 2001, “The Stock Market Valuation of Research and Development Expenditures,” </w:t>
      </w:r>
      <w:r>
        <w:rPr>
          <w:rFonts w:ascii="Times New Roman" w:hAnsi="Times New Roman" w:cs="Times New Roman"/>
          <w:i/>
          <w:iCs/>
          <w:color w:val="000000"/>
        </w:rPr>
        <w:t>Journal of Finance</w:t>
      </w:r>
      <w:r>
        <w:rPr>
          <w:rFonts w:ascii="Times New Roman" w:hAnsi="Times New Roman" w:cs="Times New Roman"/>
          <w:color w:val="000000"/>
        </w:rPr>
        <w:t xml:space="preserve"> 56, 2431</w:t>
      </w:r>
      <w:r>
        <w:rPr>
          <w:rFonts w:ascii="Times New Roman" w:hAnsi="Times New Roman" w:cs="Times New Roman"/>
        </w:rPr>
        <w:t>–</w:t>
      </w:r>
      <w:r>
        <w:rPr>
          <w:rFonts w:ascii="Times New Roman" w:hAnsi="Times New Roman" w:cs="Times New Roman"/>
          <w:color w:val="000000"/>
        </w:rPr>
        <w:t>2456.</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Chang, R.P., D.W. McLeavey, and S.G. Rhee, 1995, “Short-Term Abnormal Returns of the Contrarian Strategy in the Japanese Stock Market.” </w:t>
      </w:r>
      <w:r>
        <w:rPr>
          <w:rFonts w:ascii="Times New Roman" w:hAnsi="Times New Roman" w:cs="Times New Roman"/>
          <w:i/>
          <w:color w:val="000000"/>
        </w:rPr>
        <w:t>Journal of Business Finance and Accounting</w:t>
      </w:r>
      <w:r>
        <w:rPr>
          <w:rFonts w:ascii="Times New Roman" w:hAnsi="Times New Roman" w:cs="Times New Roman"/>
          <w:color w:val="000000"/>
        </w:rPr>
        <w:t xml:space="preserve"> 22, 1035</w:t>
      </w:r>
      <w:r>
        <w:rPr>
          <w:rFonts w:ascii="Times New Roman" w:hAnsi="Times New Roman" w:cs="Times New Roman"/>
        </w:rPr>
        <w:t>–</w:t>
      </w:r>
      <w:r>
        <w:rPr>
          <w:rFonts w:ascii="Times New Roman" w:hAnsi="Times New Roman" w:cs="Times New Roman"/>
          <w:color w:val="000000"/>
        </w:rPr>
        <w:t>1048.</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Chen, N.F., and F. Zhang, 1998, </w:t>
      </w:r>
      <w:r>
        <w:rPr>
          <w:rFonts w:ascii="Times New Roman" w:hAnsi="Times New Roman" w:cs="Times New Roman"/>
        </w:rPr>
        <w:t>“</w:t>
      </w:r>
      <w:r>
        <w:rPr>
          <w:rFonts w:ascii="Times New Roman" w:hAnsi="Times New Roman" w:cs="Times New Roman"/>
          <w:color w:val="000000"/>
        </w:rPr>
        <w:t xml:space="preserve">Risk and Return of Value Stocks,” </w:t>
      </w:r>
      <w:r>
        <w:rPr>
          <w:rFonts w:ascii="Times New Roman" w:hAnsi="Times New Roman" w:cs="Times New Roman"/>
          <w:i/>
          <w:color w:val="000000"/>
        </w:rPr>
        <w:t>Journal of Business</w:t>
      </w:r>
      <w:r>
        <w:rPr>
          <w:rFonts w:ascii="Times New Roman" w:hAnsi="Times New Roman" w:cs="Times New Roman"/>
          <w:color w:val="000000"/>
        </w:rPr>
        <w:t xml:space="preserve"> 71, 501</w:t>
      </w:r>
      <w:r>
        <w:rPr>
          <w:rFonts w:ascii="Times New Roman" w:hAnsi="Times New Roman" w:cs="Times New Roman"/>
        </w:rPr>
        <w:t>–</w:t>
      </w:r>
      <w:r>
        <w:rPr>
          <w:rFonts w:ascii="Times New Roman" w:hAnsi="Times New Roman" w:cs="Times New Roman"/>
          <w:color w:val="000000"/>
        </w:rPr>
        <w:t>535.</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Choe, H., B.C. Kho, and R.M. Stulz, 1999,</w:t>
      </w:r>
      <w:r>
        <w:rPr>
          <w:rFonts w:ascii="Times New Roman" w:hAnsi="Times New Roman" w:cs="Times New Roman"/>
        </w:rPr>
        <w:t xml:space="preserve"> “</w:t>
      </w:r>
      <w:r>
        <w:rPr>
          <w:rFonts w:ascii="Times New Roman" w:hAnsi="Times New Roman" w:cs="Times New Roman"/>
          <w:color w:val="000000"/>
        </w:rPr>
        <w:t xml:space="preserve">Do Foreign Investors Destabilize Stock Markets? The Korean Experience in 1997,” </w:t>
      </w:r>
      <w:r>
        <w:rPr>
          <w:rFonts w:ascii="Times New Roman" w:hAnsi="Times New Roman" w:cs="Times New Roman"/>
          <w:i/>
          <w:iCs/>
          <w:color w:val="000000"/>
        </w:rPr>
        <w:t>Journal of Financial Economics</w:t>
      </w:r>
      <w:r>
        <w:rPr>
          <w:rFonts w:ascii="Times New Roman" w:hAnsi="Times New Roman" w:cs="Times New Roman"/>
          <w:color w:val="000000"/>
        </w:rPr>
        <w:t xml:space="preserve"> 54, 227</w:t>
      </w:r>
      <w:r>
        <w:rPr>
          <w:rFonts w:ascii="Times New Roman" w:hAnsi="Times New Roman" w:cs="Times New Roman"/>
        </w:rPr>
        <w:t>–</w:t>
      </w:r>
      <w:r>
        <w:rPr>
          <w:rFonts w:ascii="Times New Roman" w:hAnsi="Times New Roman" w:cs="Times New Roman"/>
          <w:color w:val="000000"/>
        </w:rPr>
        <w:t>264.</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rPr>
        <w:t>Chui, A.C.W., S. Titman, and K.C.</w:t>
      </w:r>
      <w:r w:rsidRPr="00574BE4">
        <w:rPr>
          <w:rFonts w:ascii="Times New Roman" w:hAnsi="Times New Roman" w:cs="Times New Roman"/>
          <w:color w:val="000000"/>
        </w:rPr>
        <w:t xml:space="preserve"> </w:t>
      </w:r>
      <w:r>
        <w:rPr>
          <w:rFonts w:ascii="Times New Roman" w:hAnsi="Times New Roman" w:cs="Times New Roman"/>
          <w:color w:val="000000"/>
        </w:rPr>
        <w:t>J.</w:t>
      </w:r>
      <w:r>
        <w:rPr>
          <w:rFonts w:ascii="Times New Roman" w:hAnsi="Times New Roman" w:cs="Times New Roman"/>
        </w:rPr>
        <w:t xml:space="preserve"> Wei. 2010, “Individualism and Momentum around the World.” </w:t>
      </w:r>
      <w:r>
        <w:rPr>
          <w:rFonts w:ascii="Times New Roman" w:hAnsi="Times New Roman" w:cs="Times New Roman"/>
          <w:i/>
          <w:iCs/>
        </w:rPr>
        <w:t xml:space="preserve">Journal of Finance </w:t>
      </w:r>
      <w:r>
        <w:rPr>
          <w:rFonts w:ascii="Times New Roman" w:hAnsi="Times New Roman" w:cs="Times New Roman"/>
          <w:iCs/>
        </w:rPr>
        <w:t>65, 361</w:t>
      </w:r>
      <w:r>
        <w:rPr>
          <w:rFonts w:ascii="Times New Roman" w:hAnsi="Times New Roman" w:cs="Times New Roman"/>
        </w:rPr>
        <w:t>–</w:t>
      </w:r>
      <w:r>
        <w:rPr>
          <w:rFonts w:ascii="Times New Roman" w:hAnsi="Times New Roman" w:cs="Times New Roman"/>
          <w:iCs/>
        </w:rPr>
        <w:t>392.</w:t>
      </w:r>
    </w:p>
    <w:p w:rsidR="00523FB7" w:rsidRDefault="00523FB7" w:rsidP="003132FD">
      <w:pPr>
        <w:autoSpaceDE w:val="0"/>
        <w:autoSpaceDN w:val="0"/>
        <w:adjustRightInd w:val="0"/>
        <w:snapToGrid w:val="0"/>
        <w:ind w:left="480" w:hangingChars="200" w:hanging="480"/>
        <w:rPr>
          <w:rFonts w:ascii="Times New Roman" w:hAnsi="Times New Roman" w:cs="Times New Roman"/>
        </w:rPr>
      </w:pPr>
      <w:r>
        <w:rPr>
          <w:rFonts w:ascii="Times New Roman" w:hAnsi="Times New Roman" w:cs="Times New Roman"/>
        </w:rPr>
        <w:t xml:space="preserve">Dahlquist, M., and G. Robertsson, 2001, “Direct Foreign Ownership, Institutional Investors and Firm Characteristics,” </w:t>
      </w:r>
      <w:r>
        <w:rPr>
          <w:rFonts w:ascii="Times New Roman" w:hAnsi="Times New Roman" w:cs="Times New Roman"/>
          <w:i/>
        </w:rPr>
        <w:t>Journal of Financial Economics</w:t>
      </w:r>
      <w:r>
        <w:rPr>
          <w:rFonts w:ascii="Times New Roman" w:hAnsi="Times New Roman" w:cs="Times New Roman"/>
        </w:rPr>
        <w:t xml:space="preserve"> 59, 413–440.</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Daniel, K., S. Titman, and K.C.J. Wei, 2001, “Explaining the Cross-Section of Stock Return in Japan: Factors or Characteristics?” </w:t>
      </w:r>
      <w:r>
        <w:rPr>
          <w:rFonts w:ascii="Times New Roman" w:hAnsi="Times New Roman" w:cs="Times New Roman"/>
          <w:i/>
          <w:color w:val="000000"/>
        </w:rPr>
        <w:t>Journal of Finance</w:t>
      </w:r>
      <w:r>
        <w:rPr>
          <w:rFonts w:ascii="Times New Roman" w:hAnsi="Times New Roman" w:cs="Times New Roman"/>
          <w:color w:val="000000"/>
        </w:rPr>
        <w:t xml:space="preserve"> 55, 743</w:t>
      </w:r>
      <w:r>
        <w:rPr>
          <w:rFonts w:ascii="Times New Roman" w:hAnsi="Times New Roman" w:cs="Times New Roman"/>
        </w:rPr>
        <w:t>–</w:t>
      </w:r>
      <w:r>
        <w:rPr>
          <w:rFonts w:ascii="Times New Roman" w:hAnsi="Times New Roman" w:cs="Times New Roman"/>
          <w:color w:val="000000"/>
        </w:rPr>
        <w:t>766.</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Daniel, K., and S. Titman, 2006 “Market Reactions to Tangible and Intangible Information,” </w:t>
      </w:r>
      <w:r>
        <w:rPr>
          <w:rFonts w:ascii="Times New Roman" w:hAnsi="Times New Roman" w:cs="Times New Roman"/>
          <w:i/>
          <w:color w:val="000000"/>
        </w:rPr>
        <w:t>Journal of Finance</w:t>
      </w:r>
      <w:r>
        <w:rPr>
          <w:rFonts w:ascii="Times New Roman" w:hAnsi="Times New Roman" w:cs="Times New Roman"/>
          <w:color w:val="000000"/>
        </w:rPr>
        <w:t xml:space="preserve"> 61, 1605</w:t>
      </w:r>
      <w:r>
        <w:rPr>
          <w:rFonts w:ascii="Times New Roman" w:hAnsi="Times New Roman" w:cs="Times New Roman"/>
        </w:rPr>
        <w:t>–</w:t>
      </w:r>
      <w:r>
        <w:rPr>
          <w:rFonts w:ascii="Times New Roman" w:hAnsi="Times New Roman" w:cs="Times New Roman"/>
          <w:color w:val="000000"/>
        </w:rPr>
        <w:t>1643.</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Dasgupta, A., A. Prat, and M. Verardo, 2011, “Institutional Trade Persistence and Long-Term Equity Returns,” </w:t>
      </w:r>
      <w:r>
        <w:rPr>
          <w:rFonts w:ascii="Times New Roman" w:hAnsi="Times New Roman" w:cs="Times New Roman"/>
          <w:i/>
        </w:rPr>
        <w:t>Journal of Finance</w:t>
      </w:r>
      <w:r>
        <w:rPr>
          <w:rFonts w:ascii="Times New Roman" w:hAnsi="Times New Roman" w:cs="Times New Roman"/>
        </w:rPr>
        <w:t xml:space="preserve"> 66, 635–653.</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DeBondt, W.F.M., and R. Thaler, 1987, </w:t>
      </w:r>
      <w:r>
        <w:rPr>
          <w:rFonts w:ascii="Times New Roman" w:hAnsi="Times New Roman" w:cs="Times New Roman"/>
        </w:rPr>
        <w:t>“</w:t>
      </w:r>
      <w:r>
        <w:rPr>
          <w:rFonts w:ascii="Times New Roman" w:hAnsi="Times New Roman" w:cs="Times New Roman"/>
          <w:color w:val="000000"/>
        </w:rPr>
        <w:t xml:space="preserve">Further Evidence on Investor Overreaction and Stock Market Seasonality,” </w:t>
      </w:r>
      <w:r>
        <w:rPr>
          <w:rFonts w:ascii="Times New Roman" w:hAnsi="Times New Roman" w:cs="Times New Roman"/>
          <w:i/>
          <w:color w:val="000000"/>
        </w:rPr>
        <w:t>Journal of Finance</w:t>
      </w:r>
      <w:r>
        <w:rPr>
          <w:rFonts w:ascii="Times New Roman" w:hAnsi="Times New Roman" w:cs="Times New Roman"/>
          <w:color w:val="000000"/>
        </w:rPr>
        <w:t xml:space="preserve"> 42, 557</w:t>
      </w:r>
      <w:r>
        <w:rPr>
          <w:rFonts w:ascii="Times New Roman" w:hAnsi="Times New Roman" w:cs="Times New Roman"/>
        </w:rPr>
        <w:t>–</w:t>
      </w:r>
      <w:r>
        <w:rPr>
          <w:rFonts w:ascii="Times New Roman" w:hAnsi="Times New Roman" w:cs="Times New Roman"/>
          <w:color w:val="000000"/>
        </w:rPr>
        <w:t>581.</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DeLong, J. B., A. Shleifer, L. Summers, and R. Waldmann, 1990,</w:t>
      </w:r>
      <w:r>
        <w:rPr>
          <w:rFonts w:ascii="Times New Roman" w:hAnsi="Times New Roman" w:cs="Times New Roman"/>
        </w:rPr>
        <w:t xml:space="preserve"> “</w:t>
      </w:r>
      <w:r>
        <w:rPr>
          <w:rFonts w:ascii="Times New Roman" w:hAnsi="Times New Roman" w:cs="Times New Roman"/>
          <w:color w:val="000000"/>
        </w:rPr>
        <w:t xml:space="preserve">Positive Feedback Investment Strategies and Destabilizing Rational Speculation,” </w:t>
      </w:r>
      <w:r>
        <w:rPr>
          <w:rFonts w:ascii="Times New Roman" w:hAnsi="Times New Roman" w:cs="Times New Roman"/>
          <w:i/>
          <w:color w:val="000000"/>
        </w:rPr>
        <w:t>Journal of Finance</w:t>
      </w:r>
      <w:r>
        <w:rPr>
          <w:rFonts w:ascii="Times New Roman" w:hAnsi="Times New Roman" w:cs="Times New Roman"/>
          <w:color w:val="000000"/>
        </w:rPr>
        <w:t xml:space="preserve"> 45, 379</w:t>
      </w:r>
      <w:r>
        <w:rPr>
          <w:rFonts w:ascii="Times New Roman" w:hAnsi="Times New Roman" w:cs="Times New Roman"/>
        </w:rPr>
        <w:t>–</w:t>
      </w:r>
      <w:r>
        <w:rPr>
          <w:rFonts w:ascii="Times New Roman" w:hAnsi="Times New Roman" w:cs="Times New Roman"/>
          <w:color w:val="000000"/>
        </w:rPr>
        <w:t>395.</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rPr>
        <w:t>Denn</w:t>
      </w:r>
      <w:r w:rsidRPr="00CA4C09">
        <w:rPr>
          <w:rFonts w:ascii="Times New Roman" w:hAnsi="Times New Roman" w:cs="Times New Roman"/>
        </w:rPr>
        <w:t xml:space="preserve">is, P.J., and D. </w:t>
      </w:r>
      <w:r w:rsidRPr="00CA4C09">
        <w:rPr>
          <w:rFonts w:ascii="Times New Roman" w:hAnsi="Times New Roman" w:cs="Times New Roman"/>
          <w:shd w:val="clear" w:color="auto" w:fill="FFFFFF"/>
        </w:rPr>
        <w:t>Strickland</w:t>
      </w:r>
      <w:r w:rsidRPr="00CA4C09">
        <w:rPr>
          <w:rFonts w:ascii="Times New Roman" w:hAnsi="Times New Roman" w:cs="Times New Roman"/>
        </w:rPr>
        <w:t xml:space="preserve">, </w:t>
      </w:r>
      <w:r>
        <w:rPr>
          <w:rFonts w:ascii="Times New Roman" w:hAnsi="Times New Roman" w:cs="Times New Roman"/>
        </w:rPr>
        <w:t>2002, “Who Blinks in Volatile Markets, Individuals or Institutions?</w:t>
      </w:r>
      <w:r>
        <w:rPr>
          <w:rFonts w:ascii="Times New Roman" w:hAnsi="Times New Roman" w:cs="Times New Roman"/>
          <w:color w:val="000000"/>
        </w:rPr>
        <w:t xml:space="preserve">” </w:t>
      </w:r>
      <w:r>
        <w:rPr>
          <w:rFonts w:ascii="Times New Roman" w:hAnsi="Times New Roman" w:cs="Times New Roman"/>
          <w:i/>
          <w:color w:val="000000"/>
        </w:rPr>
        <w:t>Journal of Finance</w:t>
      </w:r>
      <w:r>
        <w:rPr>
          <w:rFonts w:ascii="Times New Roman" w:hAnsi="Times New Roman" w:cs="Times New Roman"/>
          <w:color w:val="000000"/>
        </w:rPr>
        <w:t xml:space="preserve"> 57, 1923</w:t>
      </w:r>
      <w:r>
        <w:rPr>
          <w:rFonts w:ascii="Times New Roman" w:hAnsi="Times New Roman" w:cs="Times New Roman"/>
        </w:rPr>
        <w:t>–</w:t>
      </w:r>
      <w:r>
        <w:rPr>
          <w:rFonts w:ascii="Times New Roman" w:hAnsi="Times New Roman" w:cs="Times New Roman"/>
          <w:color w:val="000000"/>
        </w:rPr>
        <w:t>1949.</w:t>
      </w:r>
    </w:p>
    <w:p w:rsidR="00523FB7" w:rsidRDefault="00523FB7" w:rsidP="003132FD">
      <w:pPr>
        <w:autoSpaceDE w:val="0"/>
        <w:autoSpaceDN w:val="0"/>
        <w:adjustRightInd w:val="0"/>
        <w:snapToGrid w:val="0"/>
        <w:ind w:left="480" w:hangingChars="200" w:hanging="480"/>
        <w:rPr>
          <w:rFonts w:ascii="Times New Roman" w:hAnsi="Times New Roman" w:cs="Times New Roman"/>
        </w:rPr>
      </w:pPr>
      <w:r>
        <w:rPr>
          <w:rFonts w:ascii="Times New Roman" w:hAnsi="Times New Roman" w:cs="Times New Roman"/>
        </w:rPr>
        <w:t>Dichev, L.</w:t>
      </w:r>
      <w:r>
        <w:rPr>
          <w:rFonts w:ascii="Times New Roman" w:hAnsi="Times New Roman" w:cs="Times New Roman"/>
          <w:color w:val="000000"/>
        </w:rPr>
        <w:t>D.,</w:t>
      </w:r>
      <w:r>
        <w:rPr>
          <w:rFonts w:ascii="Times New Roman" w:hAnsi="Times New Roman" w:cs="Times New Roman"/>
        </w:rPr>
        <w:t xml:space="preserve"> 1998, “Is the Risk of Bankruptcy a Systematic Risk?” </w:t>
      </w:r>
      <w:r>
        <w:rPr>
          <w:rFonts w:ascii="Times New Roman" w:hAnsi="Times New Roman" w:cs="Times New Roman"/>
          <w:i/>
        </w:rPr>
        <w:t>Journal of Finance</w:t>
      </w:r>
      <w:r>
        <w:rPr>
          <w:rFonts w:ascii="Times New Roman" w:hAnsi="Times New Roman" w:cs="Times New Roman"/>
        </w:rPr>
        <w:t xml:space="preserve"> 53, 1131–1147.</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sidRPr="00FF6079">
        <w:rPr>
          <w:rFonts w:ascii="Times New Roman" w:eastAsia="AdvGulliv-R" w:hAnsi="Times New Roman" w:cs="Times New Roman"/>
          <w:kern w:val="0"/>
        </w:rPr>
        <w:t>Eun, C.S., W.</w:t>
      </w:r>
      <w:r>
        <w:rPr>
          <w:rFonts w:ascii="Times New Roman" w:eastAsia="AdvGulliv-R" w:hAnsi="Times New Roman" w:cs="Times New Roman"/>
          <w:kern w:val="0"/>
        </w:rPr>
        <w:t xml:space="preserve"> </w:t>
      </w:r>
      <w:r w:rsidRPr="00FF6079">
        <w:rPr>
          <w:rFonts w:ascii="Times New Roman" w:eastAsia="AdvGulliv-R" w:hAnsi="Times New Roman" w:cs="Times New Roman"/>
          <w:kern w:val="0"/>
        </w:rPr>
        <w:t xml:space="preserve">Huang, </w:t>
      </w:r>
      <w:r>
        <w:rPr>
          <w:rFonts w:ascii="Times New Roman" w:eastAsia="AdvGulliv-R" w:hAnsi="Times New Roman" w:cs="Times New Roman"/>
          <w:kern w:val="0"/>
        </w:rPr>
        <w:t>and</w:t>
      </w:r>
      <w:r w:rsidRPr="00FF6079">
        <w:rPr>
          <w:rFonts w:ascii="Times New Roman" w:eastAsia="AdvGulliv-R" w:hAnsi="Times New Roman" w:cs="Times New Roman"/>
          <w:kern w:val="0"/>
        </w:rPr>
        <w:t xml:space="preserve"> S.</w:t>
      </w:r>
      <w:r>
        <w:rPr>
          <w:rFonts w:ascii="Times New Roman" w:eastAsia="AdvGulliv-R" w:hAnsi="Times New Roman" w:cs="Times New Roman"/>
          <w:kern w:val="0"/>
        </w:rPr>
        <w:t xml:space="preserve"> </w:t>
      </w:r>
      <w:r w:rsidRPr="00FF6079">
        <w:rPr>
          <w:rFonts w:ascii="Times New Roman" w:eastAsia="AdvGulliv-R" w:hAnsi="Times New Roman" w:cs="Times New Roman"/>
          <w:kern w:val="0"/>
        </w:rPr>
        <w:t>Lai, 2008</w:t>
      </w:r>
      <w:r>
        <w:rPr>
          <w:rFonts w:ascii="Times New Roman" w:eastAsia="AdvGulliv-R" w:hAnsi="Times New Roman" w:cs="Times New Roman"/>
          <w:kern w:val="0"/>
        </w:rPr>
        <w:t>,</w:t>
      </w:r>
      <w:r w:rsidRPr="00FF6079">
        <w:rPr>
          <w:rFonts w:ascii="Times New Roman" w:eastAsia="AdvGulliv-R" w:hAnsi="Times New Roman" w:cs="Times New Roman"/>
          <w:kern w:val="0"/>
        </w:rPr>
        <w:t xml:space="preserve"> </w:t>
      </w:r>
      <w:r>
        <w:rPr>
          <w:rFonts w:ascii="Times New Roman" w:eastAsia="AdvGulliv-R" w:hAnsi="Times New Roman" w:cs="Times New Roman"/>
          <w:kern w:val="0"/>
        </w:rPr>
        <w:t>“</w:t>
      </w:r>
      <w:r w:rsidRPr="00FF6079">
        <w:rPr>
          <w:rFonts w:ascii="Times New Roman" w:eastAsia="AdvGulliv-R" w:hAnsi="Times New Roman" w:cs="Times New Roman"/>
          <w:kern w:val="0"/>
        </w:rPr>
        <w:t>International diversification with large- and small-cap stocks</w:t>
      </w:r>
      <w:r>
        <w:rPr>
          <w:rFonts w:ascii="Times New Roman" w:eastAsia="AdvGulliv-R" w:hAnsi="Times New Roman" w:cs="Times New Roman"/>
          <w:kern w:val="0"/>
        </w:rPr>
        <w:t>,”</w:t>
      </w:r>
      <w:r w:rsidRPr="00FF6079">
        <w:rPr>
          <w:rFonts w:ascii="Times New Roman" w:eastAsia="AdvGulliv-R" w:hAnsi="Times New Roman" w:cs="Times New Roman"/>
          <w:kern w:val="0"/>
        </w:rPr>
        <w:t xml:space="preserve"> </w:t>
      </w:r>
      <w:r w:rsidRPr="007957F6">
        <w:rPr>
          <w:rFonts w:ascii="Times New Roman" w:eastAsia="AdvGulliv-R" w:hAnsi="Times New Roman" w:cs="Times New Roman"/>
          <w:i/>
          <w:kern w:val="0"/>
        </w:rPr>
        <w:t>Journal of Financial and Quantitative Analysis</w:t>
      </w:r>
      <w:r w:rsidRPr="00FF6079">
        <w:rPr>
          <w:rFonts w:ascii="Times New Roman" w:eastAsia="AdvGulliv-R" w:hAnsi="Times New Roman" w:cs="Times New Roman"/>
          <w:kern w:val="0"/>
        </w:rPr>
        <w:t xml:space="preserve"> 43, 489–524.</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rPr>
        <w:t>Falkenstein, E.G., 1996, “Preferences for Stock Characteristics As Revealed by Mutual Fund Portfolio Holdings</w:t>
      </w:r>
      <w:r>
        <w:rPr>
          <w:rFonts w:ascii="Times New Roman" w:hAnsi="Times New Roman" w:cs="Times New Roman"/>
          <w:color w:val="000000"/>
        </w:rPr>
        <w:t>,”</w:t>
      </w:r>
      <w:r>
        <w:rPr>
          <w:rFonts w:ascii="Times New Roman" w:hAnsi="Times New Roman" w:cs="Times New Roman"/>
          <w:i/>
          <w:color w:val="000000"/>
        </w:rPr>
        <w:t xml:space="preserve"> Journal of Finance</w:t>
      </w:r>
      <w:r>
        <w:rPr>
          <w:rFonts w:ascii="Times New Roman" w:hAnsi="Times New Roman" w:cs="Times New Roman"/>
          <w:color w:val="000000"/>
        </w:rPr>
        <w:t xml:space="preserve"> 51, 111</w:t>
      </w:r>
      <w:r>
        <w:rPr>
          <w:rFonts w:ascii="Times New Roman" w:hAnsi="Times New Roman" w:cs="Times New Roman"/>
        </w:rPr>
        <w:t>–</w:t>
      </w:r>
      <w:r>
        <w:rPr>
          <w:rFonts w:ascii="Times New Roman" w:hAnsi="Times New Roman" w:cs="Times New Roman"/>
          <w:color w:val="000000"/>
        </w:rPr>
        <w:t>135.</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Fama, E. and K. French, 1992, </w:t>
      </w:r>
      <w:r>
        <w:rPr>
          <w:rFonts w:ascii="Times New Roman" w:hAnsi="Times New Roman" w:cs="Times New Roman"/>
        </w:rPr>
        <w:t>“</w:t>
      </w:r>
      <w:r>
        <w:rPr>
          <w:rFonts w:ascii="Times New Roman" w:hAnsi="Times New Roman" w:cs="Times New Roman"/>
          <w:color w:val="000000"/>
        </w:rPr>
        <w:t xml:space="preserve">The Cross-Section of Expected Stock Returns,” </w:t>
      </w:r>
      <w:r>
        <w:rPr>
          <w:rFonts w:ascii="Times New Roman" w:hAnsi="Times New Roman" w:cs="Times New Roman"/>
          <w:i/>
          <w:color w:val="000000"/>
        </w:rPr>
        <w:t>Journal of Finance</w:t>
      </w:r>
      <w:r>
        <w:rPr>
          <w:rFonts w:ascii="Times New Roman" w:hAnsi="Times New Roman" w:cs="Times New Roman"/>
          <w:color w:val="000000"/>
        </w:rPr>
        <w:t xml:space="preserve"> 47, 427</w:t>
      </w:r>
      <w:r>
        <w:rPr>
          <w:rFonts w:ascii="Times New Roman" w:hAnsi="Times New Roman" w:cs="Times New Roman"/>
        </w:rPr>
        <w:t>–</w:t>
      </w:r>
      <w:r>
        <w:rPr>
          <w:rFonts w:ascii="Times New Roman" w:hAnsi="Times New Roman" w:cs="Times New Roman"/>
          <w:color w:val="000000"/>
        </w:rPr>
        <w:t>465.</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Fama, E. and K. French, 1993, </w:t>
      </w:r>
      <w:r>
        <w:rPr>
          <w:rFonts w:ascii="Times New Roman" w:hAnsi="Times New Roman" w:cs="Times New Roman"/>
        </w:rPr>
        <w:t>“</w:t>
      </w:r>
      <w:r>
        <w:rPr>
          <w:rFonts w:ascii="Times New Roman" w:hAnsi="Times New Roman" w:cs="Times New Roman"/>
          <w:color w:val="000000"/>
        </w:rPr>
        <w:t xml:space="preserve">Common Risk Factors in the Returns on Stocks and Bonds,” </w:t>
      </w:r>
      <w:r>
        <w:rPr>
          <w:rFonts w:ascii="Times New Roman" w:hAnsi="Times New Roman" w:cs="Times New Roman"/>
          <w:i/>
          <w:color w:val="000000"/>
        </w:rPr>
        <w:t>Journal of Financial Economics</w:t>
      </w:r>
      <w:r>
        <w:rPr>
          <w:rFonts w:ascii="Times New Roman" w:hAnsi="Times New Roman" w:cs="Times New Roman"/>
          <w:color w:val="000000"/>
        </w:rPr>
        <w:t xml:space="preserve"> 33, 3</w:t>
      </w:r>
      <w:r>
        <w:rPr>
          <w:rFonts w:ascii="Times New Roman" w:hAnsi="Times New Roman" w:cs="Times New Roman"/>
        </w:rPr>
        <w:t>–</w:t>
      </w:r>
      <w:r>
        <w:rPr>
          <w:rFonts w:ascii="Times New Roman" w:hAnsi="Times New Roman" w:cs="Times New Roman"/>
          <w:color w:val="000000"/>
        </w:rPr>
        <w:t>56.</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Fama, E. and K. French, 1995, </w:t>
      </w:r>
      <w:r>
        <w:rPr>
          <w:rFonts w:ascii="Times New Roman" w:hAnsi="Times New Roman" w:cs="Times New Roman"/>
        </w:rPr>
        <w:t>“</w:t>
      </w:r>
      <w:r>
        <w:rPr>
          <w:rFonts w:ascii="Times New Roman" w:hAnsi="Times New Roman" w:cs="Times New Roman"/>
          <w:color w:val="000000"/>
        </w:rPr>
        <w:t xml:space="preserve">Size and Book-to-Market Factors in Earnings and Returns,” </w:t>
      </w:r>
      <w:r>
        <w:rPr>
          <w:rFonts w:ascii="Times New Roman" w:hAnsi="Times New Roman" w:cs="Times New Roman"/>
          <w:i/>
          <w:color w:val="000000"/>
        </w:rPr>
        <w:t>Journal of Finance</w:t>
      </w:r>
      <w:r>
        <w:rPr>
          <w:rFonts w:ascii="Times New Roman" w:hAnsi="Times New Roman" w:cs="Times New Roman"/>
          <w:color w:val="000000"/>
        </w:rPr>
        <w:t xml:space="preserve"> 50, 131</w:t>
      </w:r>
      <w:r>
        <w:rPr>
          <w:rFonts w:ascii="Times New Roman" w:hAnsi="Times New Roman" w:cs="Times New Roman"/>
        </w:rPr>
        <w:t>–</w:t>
      </w:r>
      <w:r>
        <w:rPr>
          <w:rFonts w:ascii="Times New Roman" w:hAnsi="Times New Roman" w:cs="Times New Roman"/>
          <w:color w:val="000000"/>
        </w:rPr>
        <w:t>155.</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Fama, E. and K. French, 1996, </w:t>
      </w:r>
      <w:r>
        <w:rPr>
          <w:rFonts w:ascii="Times New Roman" w:hAnsi="Times New Roman" w:cs="Times New Roman"/>
        </w:rPr>
        <w:t>“</w:t>
      </w:r>
      <w:r>
        <w:rPr>
          <w:rFonts w:ascii="Times New Roman" w:hAnsi="Times New Roman" w:cs="Times New Roman"/>
          <w:color w:val="000000"/>
        </w:rPr>
        <w:t xml:space="preserve">Multifactor Explanations of Asset Pricing Anomalies. </w:t>
      </w:r>
      <w:r>
        <w:rPr>
          <w:rFonts w:ascii="Times New Roman" w:hAnsi="Times New Roman" w:cs="Times New Roman"/>
          <w:i/>
          <w:color w:val="000000"/>
        </w:rPr>
        <w:t>Journal of Finance</w:t>
      </w:r>
      <w:r>
        <w:rPr>
          <w:rFonts w:ascii="Times New Roman" w:hAnsi="Times New Roman" w:cs="Times New Roman"/>
          <w:color w:val="000000"/>
        </w:rPr>
        <w:t xml:space="preserve"> 51, 55</w:t>
      </w:r>
      <w:r>
        <w:rPr>
          <w:rFonts w:ascii="Times New Roman" w:hAnsi="Times New Roman" w:cs="Times New Roman"/>
        </w:rPr>
        <w:t>–</w:t>
      </w:r>
      <w:r>
        <w:rPr>
          <w:rFonts w:ascii="Times New Roman" w:hAnsi="Times New Roman" w:cs="Times New Roman"/>
          <w:color w:val="000000"/>
        </w:rPr>
        <w:t>84.</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Fama, E. and K. French, 1998, “Value Versus Growth: The International Evidence,” </w:t>
      </w:r>
      <w:r>
        <w:rPr>
          <w:rFonts w:ascii="Times New Roman" w:hAnsi="Times New Roman" w:cs="Times New Roman"/>
          <w:i/>
          <w:color w:val="000000"/>
        </w:rPr>
        <w:t>Journal of Finance</w:t>
      </w:r>
      <w:r>
        <w:rPr>
          <w:rFonts w:ascii="Times New Roman" w:hAnsi="Times New Roman" w:cs="Times New Roman"/>
          <w:color w:val="000000"/>
        </w:rPr>
        <w:t xml:space="preserve"> 53, 1975</w:t>
      </w:r>
      <w:r>
        <w:rPr>
          <w:rFonts w:ascii="Times New Roman" w:hAnsi="Times New Roman" w:cs="Times New Roman"/>
        </w:rPr>
        <w:t>–</w:t>
      </w:r>
      <w:r>
        <w:rPr>
          <w:rFonts w:ascii="Times New Roman" w:hAnsi="Times New Roman" w:cs="Times New Roman"/>
          <w:color w:val="000000"/>
        </w:rPr>
        <w:t>1999.</w:t>
      </w:r>
    </w:p>
    <w:p w:rsidR="00523FB7" w:rsidRDefault="00523FB7" w:rsidP="003132FD">
      <w:pPr>
        <w:adjustRightInd w:val="0"/>
        <w:snapToGrid w:val="0"/>
        <w:ind w:left="480" w:hangingChars="200" w:hanging="480"/>
        <w:rPr>
          <w:rFonts w:ascii="Times New Roman" w:hAnsi="Times New Roman" w:cs="Times New Roman"/>
        </w:rPr>
      </w:pPr>
      <w:r>
        <w:rPr>
          <w:rFonts w:ascii="Times New Roman" w:hAnsi="Times New Roman" w:cs="Times New Roman"/>
        </w:rPr>
        <w:t xml:space="preserve">Fama, E. and K. French, 2006, “The Value Premium and the CAPM,” </w:t>
      </w:r>
      <w:r>
        <w:rPr>
          <w:rFonts w:ascii="Times New Roman" w:hAnsi="Times New Roman" w:cs="Times New Roman"/>
          <w:i/>
        </w:rPr>
        <w:t>Journal of Finance</w:t>
      </w:r>
      <w:r>
        <w:rPr>
          <w:rFonts w:ascii="Times New Roman" w:hAnsi="Times New Roman" w:cs="Times New Roman"/>
        </w:rPr>
        <w:t xml:space="preserve"> 61, 2163–2185.</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Fama, E., and J. MacBeth, 1973, “Risk, return and equilibrium: empirical tests,” </w:t>
      </w:r>
      <w:r>
        <w:rPr>
          <w:rFonts w:ascii="Times New Roman" w:hAnsi="Times New Roman" w:cs="Times New Roman"/>
          <w:i/>
          <w:color w:val="000000"/>
        </w:rPr>
        <w:t>Journal of Political Economy</w:t>
      </w:r>
      <w:r>
        <w:rPr>
          <w:rFonts w:ascii="Times New Roman" w:hAnsi="Times New Roman" w:cs="Times New Roman"/>
          <w:color w:val="000000"/>
        </w:rPr>
        <w:t xml:space="preserve"> 81, 607</w:t>
      </w:r>
      <w:r>
        <w:rPr>
          <w:rFonts w:ascii="Times New Roman" w:hAnsi="Times New Roman" w:cs="Times New Roman"/>
        </w:rPr>
        <w:t>–</w:t>
      </w:r>
      <w:r>
        <w:rPr>
          <w:rFonts w:ascii="Times New Roman" w:hAnsi="Times New Roman" w:cs="Times New Roman"/>
          <w:color w:val="000000"/>
        </w:rPr>
        <w:t>636.</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Frazzini, A., and O. Lamont, 2008, </w:t>
      </w:r>
      <w:r>
        <w:rPr>
          <w:rFonts w:ascii="Times New Roman" w:hAnsi="Times New Roman" w:cs="Times New Roman"/>
        </w:rPr>
        <w:t>“</w:t>
      </w:r>
      <w:r>
        <w:rPr>
          <w:rFonts w:ascii="Times New Roman" w:hAnsi="Times New Roman" w:cs="Times New Roman"/>
          <w:color w:val="000000"/>
        </w:rPr>
        <w:t xml:space="preserve">Dumb Money: Mutual Fund Flows and the Cross-Section of Stock Returns,” </w:t>
      </w:r>
      <w:r>
        <w:rPr>
          <w:rFonts w:ascii="Times New Roman" w:hAnsi="Times New Roman" w:cs="Times New Roman"/>
          <w:i/>
          <w:color w:val="000000"/>
        </w:rPr>
        <w:t>Journal of Financial Economics</w:t>
      </w:r>
      <w:r>
        <w:rPr>
          <w:rFonts w:ascii="Times New Roman" w:hAnsi="Times New Roman" w:cs="Times New Roman"/>
          <w:color w:val="000000"/>
        </w:rPr>
        <w:t xml:space="preserve"> 88, 299</w:t>
      </w:r>
      <w:r>
        <w:rPr>
          <w:rFonts w:ascii="Times New Roman" w:hAnsi="Times New Roman" w:cs="Times New Roman"/>
        </w:rPr>
        <w:t>–</w:t>
      </w:r>
      <w:r>
        <w:rPr>
          <w:rFonts w:ascii="Times New Roman" w:hAnsi="Times New Roman" w:cs="Times New Roman"/>
          <w:color w:val="000000"/>
        </w:rPr>
        <w:t>322.</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rPr>
        <w:t>Goetzmann, W.N., and M. Massa, 2003, “Index Funds and Stock Market Growth,”</w:t>
      </w:r>
      <w:r>
        <w:rPr>
          <w:rFonts w:ascii="Times New Roman" w:hAnsi="Times New Roman" w:cs="Times New Roman"/>
          <w:i/>
          <w:iCs/>
        </w:rPr>
        <w:t xml:space="preserve"> Journal of Business</w:t>
      </w:r>
      <w:r>
        <w:rPr>
          <w:rFonts w:ascii="Times New Roman" w:hAnsi="Times New Roman" w:cs="Times New Roman"/>
        </w:rPr>
        <w:t>, 76, 1–28.</w:t>
      </w:r>
      <w:r>
        <w:rPr>
          <w:rFonts w:ascii="Times New Roman" w:hAnsi="Times New Roman" w:cs="Times New Roman"/>
          <w:color w:val="000000"/>
        </w:rPr>
        <w:t xml:space="preserve"> </w:t>
      </w:r>
    </w:p>
    <w:p w:rsidR="00523FB7" w:rsidRDefault="00523FB7" w:rsidP="003132FD">
      <w:pPr>
        <w:autoSpaceDE w:val="0"/>
        <w:autoSpaceDN w:val="0"/>
        <w:adjustRightInd w:val="0"/>
        <w:snapToGrid w:val="0"/>
        <w:ind w:left="480" w:hangingChars="200" w:hanging="480"/>
        <w:rPr>
          <w:rFonts w:ascii="Times New Roman" w:hAnsi="Times New Roman" w:cs="Times New Roman"/>
        </w:rPr>
      </w:pPr>
      <w:r>
        <w:rPr>
          <w:rFonts w:ascii="Times New Roman" w:hAnsi="Times New Roman" w:cs="Times New Roman"/>
          <w:color w:val="000000"/>
        </w:rPr>
        <w:t xml:space="preserve">Gompers, Paul A. and A. Metrick, 2001, “Institutional Investors and Equity Prices,” </w:t>
      </w:r>
      <w:r>
        <w:rPr>
          <w:rFonts w:ascii="Times New Roman" w:hAnsi="Times New Roman" w:cs="Times New Roman"/>
          <w:i/>
          <w:color w:val="000000"/>
        </w:rPr>
        <w:t>Quarterly Journal of Economics</w:t>
      </w:r>
      <w:r>
        <w:rPr>
          <w:rFonts w:ascii="Times New Roman" w:hAnsi="Times New Roman" w:cs="Times New Roman"/>
          <w:color w:val="000000"/>
        </w:rPr>
        <w:t xml:space="preserve"> 116, 229</w:t>
      </w:r>
      <w:r>
        <w:rPr>
          <w:rFonts w:ascii="Times New Roman" w:hAnsi="Times New Roman" w:cs="Times New Roman"/>
        </w:rPr>
        <w:t>–</w:t>
      </w:r>
      <w:r>
        <w:rPr>
          <w:rFonts w:ascii="Times New Roman" w:hAnsi="Times New Roman" w:cs="Times New Roman"/>
          <w:color w:val="000000"/>
        </w:rPr>
        <w:t>259.</w:t>
      </w:r>
    </w:p>
    <w:p w:rsidR="00523FB7" w:rsidRDefault="00523FB7" w:rsidP="003132FD">
      <w:pPr>
        <w:autoSpaceDE w:val="0"/>
        <w:autoSpaceDN w:val="0"/>
        <w:adjustRightInd w:val="0"/>
        <w:snapToGrid w:val="0"/>
        <w:ind w:left="480" w:hangingChars="200" w:hanging="480"/>
        <w:rPr>
          <w:rFonts w:ascii="Times New Roman" w:hAnsi="Times New Roman" w:cs="Times New Roman"/>
        </w:rPr>
      </w:pPr>
      <w:r>
        <w:rPr>
          <w:rFonts w:ascii="Times New Roman" w:hAnsi="Times New Roman" w:cs="Times New Roman"/>
        </w:rPr>
        <w:t xml:space="preserve">Grinblatt, M., and M. Keloharju, 2000, “The Investment Behavior and Performance of Various Types: A Study of Finland’s Unique Data Set,” </w:t>
      </w:r>
      <w:r>
        <w:rPr>
          <w:rFonts w:ascii="Times New Roman" w:hAnsi="Times New Roman" w:cs="Times New Roman"/>
          <w:i/>
        </w:rPr>
        <w:t>Journal of Financial Economics</w:t>
      </w:r>
      <w:r>
        <w:rPr>
          <w:rFonts w:ascii="Times New Roman" w:hAnsi="Times New Roman" w:cs="Times New Roman"/>
        </w:rPr>
        <w:t xml:space="preserve"> 55, 43–67.</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rPr>
        <w:t xml:space="preserve">Grinblatt, M., and M. Keloharju, 2001, “What Makes Investors Trade?” </w:t>
      </w:r>
      <w:r>
        <w:rPr>
          <w:rFonts w:ascii="Times New Roman" w:hAnsi="Times New Roman" w:cs="Times New Roman"/>
          <w:i/>
          <w:color w:val="000000"/>
        </w:rPr>
        <w:t>Journal of Finance</w:t>
      </w:r>
      <w:r>
        <w:rPr>
          <w:rFonts w:ascii="Times New Roman" w:hAnsi="Times New Roman" w:cs="Times New Roman"/>
          <w:color w:val="000000"/>
        </w:rPr>
        <w:t xml:space="preserve"> 56, 589</w:t>
      </w:r>
      <w:r>
        <w:rPr>
          <w:rFonts w:ascii="Times New Roman" w:hAnsi="Times New Roman" w:cs="Times New Roman"/>
        </w:rPr>
        <w:t>–</w:t>
      </w:r>
      <w:r>
        <w:rPr>
          <w:rFonts w:ascii="Times New Roman" w:hAnsi="Times New Roman" w:cs="Times New Roman"/>
          <w:color w:val="000000"/>
        </w:rPr>
        <w:t>616.</w:t>
      </w:r>
    </w:p>
    <w:p w:rsidR="00523FB7" w:rsidRDefault="00523FB7" w:rsidP="003132FD">
      <w:pPr>
        <w:autoSpaceDE w:val="0"/>
        <w:autoSpaceDN w:val="0"/>
        <w:adjustRightInd w:val="0"/>
        <w:snapToGrid w:val="0"/>
        <w:ind w:left="480" w:hangingChars="200" w:hanging="480"/>
        <w:rPr>
          <w:rFonts w:ascii="Times New Roman" w:hAnsi="Times New Roman" w:cs="Times New Roman"/>
        </w:rPr>
      </w:pPr>
      <w:r>
        <w:rPr>
          <w:rFonts w:ascii="Times New Roman" w:hAnsi="Times New Roman" w:cs="Times New Roman"/>
        </w:rPr>
        <w:t xml:space="preserve">Griffin, J.M., J.H. Harris, and S. Topaloglu, 2003, “The Dynamics of Institutional and Individual Trading,” </w:t>
      </w:r>
      <w:r>
        <w:rPr>
          <w:rFonts w:ascii="Times New Roman" w:hAnsi="Times New Roman" w:cs="Times New Roman"/>
          <w:i/>
        </w:rPr>
        <w:t>Journal of Finance</w:t>
      </w:r>
      <w:r>
        <w:rPr>
          <w:rFonts w:ascii="Times New Roman" w:hAnsi="Times New Roman" w:cs="Times New Roman"/>
        </w:rPr>
        <w:t xml:space="preserve"> 58, 2285–2320.</w:t>
      </w:r>
    </w:p>
    <w:p w:rsidR="00523FB7" w:rsidRDefault="00523FB7" w:rsidP="003132FD">
      <w:pPr>
        <w:autoSpaceDE w:val="0"/>
        <w:autoSpaceDN w:val="0"/>
        <w:adjustRightInd w:val="0"/>
        <w:snapToGrid w:val="0"/>
        <w:ind w:left="480" w:hangingChars="200" w:hanging="480"/>
        <w:rPr>
          <w:rStyle w:val="Hyperlink"/>
          <w:rFonts w:ascii="Times New Roman" w:hAnsi="Times New Roman"/>
          <w:color w:val="auto"/>
        </w:rPr>
      </w:pPr>
      <w:r w:rsidRPr="000376D2">
        <w:rPr>
          <w:rFonts w:ascii="Times New Roman" w:hAnsi="Times New Roman" w:cs="Times New Roman"/>
        </w:rPr>
        <w:t xml:space="preserve">Gutierrez, R.C., and E.K. Kelley, 2009, “Institutional Herding and Future Stock Returns,” Working Paper, </w:t>
      </w:r>
      <w:hyperlink r:id="rId14" w:history="1">
        <w:r w:rsidRPr="000376D2">
          <w:rPr>
            <w:rStyle w:val="Hyperlink"/>
            <w:rFonts w:ascii="Times New Roman" w:hAnsi="Times New Roman"/>
            <w:color w:val="auto"/>
          </w:rPr>
          <w:t>http://ssrn.com/abstract=110752</w:t>
        </w:r>
      </w:hyperlink>
      <w:r w:rsidRPr="000376D2">
        <w:rPr>
          <w:rStyle w:val="Hyperlink"/>
          <w:rFonts w:ascii="Times New Roman" w:hAnsi="Times New Roman"/>
          <w:color w:val="auto"/>
        </w:rPr>
        <w:t>.</w:t>
      </w:r>
    </w:p>
    <w:p w:rsidR="00523FB7" w:rsidRPr="003A586A" w:rsidRDefault="00523FB7" w:rsidP="003132FD">
      <w:pPr>
        <w:autoSpaceDE w:val="0"/>
        <w:autoSpaceDN w:val="0"/>
        <w:adjustRightInd w:val="0"/>
        <w:snapToGrid w:val="0"/>
        <w:ind w:left="480" w:hangingChars="200" w:hanging="480"/>
      </w:pPr>
      <w:r w:rsidRPr="003A586A">
        <w:rPr>
          <w:rFonts w:ascii="Times New Roman" w:hAnsi="Times New Roman" w:cs="Times New Roman"/>
        </w:rPr>
        <w:t xml:space="preserve">Hirose, T., </w:t>
      </w:r>
      <w:r>
        <w:rPr>
          <w:rFonts w:ascii="Times New Roman" w:hAnsi="Times New Roman" w:cs="Times New Roman"/>
        </w:rPr>
        <w:t>H.K.</w:t>
      </w:r>
      <w:r w:rsidRPr="001750AA">
        <w:rPr>
          <w:rFonts w:ascii="Times New Roman" w:hAnsi="Times New Roman" w:cs="Times New Roman"/>
        </w:rPr>
        <w:t xml:space="preserve"> </w:t>
      </w:r>
      <w:r w:rsidRPr="003A586A">
        <w:rPr>
          <w:rFonts w:ascii="Times New Roman" w:hAnsi="Times New Roman" w:cs="Times New Roman"/>
        </w:rPr>
        <w:t xml:space="preserve">Kato, and M. </w:t>
      </w:r>
      <w:r>
        <w:rPr>
          <w:rFonts w:ascii="Times New Roman" w:hAnsi="Times New Roman" w:cs="Times New Roman"/>
        </w:rPr>
        <w:t>Bremer, 2009</w:t>
      </w:r>
      <w:r w:rsidRPr="003A586A">
        <w:rPr>
          <w:rFonts w:ascii="Times New Roman" w:hAnsi="Times New Roman" w:cs="Times New Roman"/>
        </w:rPr>
        <w:t xml:space="preserve">, “Can </w:t>
      </w:r>
      <w:r>
        <w:rPr>
          <w:rFonts w:ascii="Times New Roman" w:hAnsi="Times New Roman" w:cs="Times New Roman"/>
        </w:rPr>
        <w:t>M</w:t>
      </w:r>
      <w:r w:rsidRPr="003A586A">
        <w:rPr>
          <w:rFonts w:ascii="Times New Roman" w:hAnsi="Times New Roman" w:cs="Times New Roman"/>
        </w:rPr>
        <w:t xml:space="preserve">argin </w:t>
      </w:r>
      <w:r>
        <w:rPr>
          <w:rFonts w:ascii="Times New Roman" w:hAnsi="Times New Roman" w:cs="Times New Roman"/>
        </w:rPr>
        <w:t>T</w:t>
      </w:r>
      <w:r w:rsidRPr="003A586A">
        <w:rPr>
          <w:rFonts w:ascii="Times New Roman" w:hAnsi="Times New Roman" w:cs="Times New Roman"/>
        </w:rPr>
        <w:t xml:space="preserve">raders </w:t>
      </w:r>
      <w:r>
        <w:rPr>
          <w:rFonts w:ascii="Times New Roman" w:hAnsi="Times New Roman" w:cs="Times New Roman"/>
        </w:rPr>
        <w:t>P</w:t>
      </w:r>
      <w:r w:rsidRPr="003A586A">
        <w:rPr>
          <w:rFonts w:ascii="Times New Roman" w:hAnsi="Times New Roman" w:cs="Times New Roman"/>
        </w:rPr>
        <w:t xml:space="preserve">redict </w:t>
      </w:r>
      <w:r>
        <w:rPr>
          <w:rFonts w:ascii="Times New Roman" w:hAnsi="Times New Roman" w:cs="Times New Roman"/>
        </w:rPr>
        <w:t>F</w:t>
      </w:r>
      <w:r w:rsidRPr="003A586A">
        <w:rPr>
          <w:rFonts w:ascii="Times New Roman" w:hAnsi="Times New Roman" w:cs="Times New Roman"/>
        </w:rPr>
        <w:t xml:space="preserve">uture </w:t>
      </w:r>
      <w:r>
        <w:rPr>
          <w:rFonts w:ascii="Times New Roman" w:hAnsi="Times New Roman" w:cs="Times New Roman"/>
        </w:rPr>
        <w:t>S</w:t>
      </w:r>
      <w:r w:rsidRPr="003A586A">
        <w:rPr>
          <w:rFonts w:ascii="Times New Roman" w:hAnsi="Times New Roman" w:cs="Times New Roman"/>
        </w:rPr>
        <w:t xml:space="preserve">tock </w:t>
      </w:r>
      <w:r>
        <w:rPr>
          <w:rFonts w:ascii="Times New Roman" w:hAnsi="Times New Roman" w:cs="Times New Roman"/>
        </w:rPr>
        <w:t>R</w:t>
      </w:r>
      <w:r w:rsidRPr="003A586A">
        <w:rPr>
          <w:rFonts w:ascii="Times New Roman" w:hAnsi="Times New Roman" w:cs="Times New Roman"/>
        </w:rPr>
        <w:t xml:space="preserve">eturns in Japan?” </w:t>
      </w:r>
      <w:r w:rsidRPr="001750AA">
        <w:rPr>
          <w:rFonts w:ascii="Times New Roman" w:hAnsi="Times New Roman" w:cs="Times New Roman"/>
          <w:i/>
        </w:rPr>
        <w:t>Pacific-Basin Finance Journal</w:t>
      </w:r>
      <w:r w:rsidRPr="003A586A">
        <w:rPr>
          <w:rFonts w:ascii="Times New Roman" w:hAnsi="Times New Roman" w:cs="Times New Roman"/>
        </w:rPr>
        <w:t>, 17, 41</w:t>
      </w:r>
      <w:r>
        <w:rPr>
          <w:rFonts w:ascii="Times New Roman" w:hAnsi="Times New Roman" w:cs="Times New Roman"/>
        </w:rPr>
        <w:t>–</w:t>
      </w:r>
      <w:r w:rsidRPr="003A586A">
        <w:rPr>
          <w:rFonts w:ascii="Times New Roman" w:hAnsi="Times New Roman" w:cs="Times New Roman"/>
        </w:rPr>
        <w:t>57.</w:t>
      </w:r>
    </w:p>
    <w:p w:rsidR="00523FB7" w:rsidRPr="000376D2" w:rsidRDefault="00523FB7" w:rsidP="003132FD">
      <w:pPr>
        <w:autoSpaceDE w:val="0"/>
        <w:autoSpaceDN w:val="0"/>
        <w:adjustRightInd w:val="0"/>
        <w:snapToGrid w:val="0"/>
        <w:ind w:left="480" w:hangingChars="200" w:hanging="480"/>
        <w:rPr>
          <w:rFonts w:ascii="Times New Roman" w:hAnsi="Times New Roman" w:cs="Times New Roman"/>
        </w:rPr>
      </w:pPr>
      <w:r w:rsidRPr="00FE0F9F">
        <w:rPr>
          <w:rFonts w:ascii="Times New Roman" w:hAnsi="Times New Roman" w:cs="Times New Roman"/>
        </w:rPr>
        <w:t>Hung, W</w:t>
      </w:r>
      <w:r>
        <w:rPr>
          <w:rFonts w:ascii="Times New Roman" w:hAnsi="Times New Roman" w:cs="Times New Roman"/>
        </w:rPr>
        <w:t>.,</w:t>
      </w:r>
      <w:r w:rsidRPr="00FE0F9F">
        <w:rPr>
          <w:rFonts w:ascii="Times New Roman" w:hAnsi="Times New Roman" w:cs="Times New Roman"/>
        </w:rPr>
        <w:t xml:space="preserve"> C</w:t>
      </w:r>
      <w:r>
        <w:rPr>
          <w:rFonts w:ascii="Times New Roman" w:hAnsi="Times New Roman" w:cs="Times New Roman"/>
        </w:rPr>
        <w:t>.</w:t>
      </w:r>
      <w:r w:rsidRPr="00FE0F9F">
        <w:rPr>
          <w:rFonts w:ascii="Times New Roman" w:hAnsi="Times New Roman" w:cs="Times New Roman"/>
        </w:rPr>
        <w:t>C</w:t>
      </w:r>
      <w:r>
        <w:rPr>
          <w:rFonts w:ascii="Times New Roman" w:hAnsi="Times New Roman" w:cs="Times New Roman"/>
        </w:rPr>
        <w:t>.</w:t>
      </w:r>
      <w:r w:rsidRPr="00FE0F9F">
        <w:rPr>
          <w:rFonts w:ascii="Times New Roman" w:hAnsi="Times New Roman" w:cs="Times New Roman"/>
        </w:rPr>
        <w:t xml:space="preserve"> Lu, and C</w:t>
      </w:r>
      <w:r>
        <w:rPr>
          <w:rFonts w:ascii="Times New Roman" w:hAnsi="Times New Roman" w:cs="Times New Roman"/>
        </w:rPr>
        <w:t>.</w:t>
      </w:r>
      <w:r w:rsidRPr="00FE0F9F">
        <w:rPr>
          <w:rFonts w:ascii="Times New Roman" w:hAnsi="Times New Roman" w:cs="Times New Roman"/>
        </w:rPr>
        <w:t xml:space="preserve"> F. Lee</w:t>
      </w:r>
      <w:r>
        <w:rPr>
          <w:rFonts w:ascii="Times New Roman" w:hAnsi="Times New Roman" w:cs="Times New Roman"/>
        </w:rPr>
        <w:t>, 2010</w:t>
      </w:r>
      <w:r w:rsidRPr="00FE0F9F">
        <w:rPr>
          <w:rFonts w:ascii="Times New Roman" w:hAnsi="Times New Roman" w:cs="Times New Roman"/>
        </w:rPr>
        <w:t xml:space="preserve">, “Mutual Fund Herding and its Impact on Stock Returns: Evidence from the Taiwan Stock Market,” </w:t>
      </w:r>
      <w:r w:rsidRPr="00244618">
        <w:rPr>
          <w:rFonts w:ascii="Times New Roman" w:hAnsi="Times New Roman" w:cs="Times New Roman"/>
          <w:i/>
        </w:rPr>
        <w:t>Pacific-Basin Finance Journal</w:t>
      </w:r>
      <w:r w:rsidRPr="00FE0F9F">
        <w:rPr>
          <w:rFonts w:ascii="Times New Roman" w:hAnsi="Times New Roman" w:cs="Times New Roman"/>
        </w:rPr>
        <w:t>, 18, 477</w:t>
      </w:r>
      <w:r>
        <w:rPr>
          <w:rFonts w:ascii="Times New Roman" w:hAnsi="Times New Roman" w:cs="Times New Roman"/>
        </w:rPr>
        <w:t>–</w:t>
      </w:r>
      <w:r w:rsidRPr="00FE0F9F">
        <w:rPr>
          <w:rFonts w:ascii="Times New Roman" w:hAnsi="Times New Roman" w:cs="Times New Roman"/>
        </w:rPr>
        <w:t>493.</w:t>
      </w:r>
    </w:p>
    <w:p w:rsidR="00523FB7" w:rsidRDefault="00523FB7" w:rsidP="003132FD">
      <w:pPr>
        <w:autoSpaceDE w:val="0"/>
        <w:autoSpaceDN w:val="0"/>
        <w:adjustRightInd w:val="0"/>
        <w:snapToGrid w:val="0"/>
        <w:ind w:left="480" w:hangingChars="200" w:hanging="480"/>
        <w:rPr>
          <w:rFonts w:ascii="Times New Roman" w:hAnsi="Times New Roman" w:cs="Times New Roman"/>
        </w:rPr>
      </w:pPr>
      <w:r>
        <w:rPr>
          <w:rFonts w:ascii="Times New Roman" w:hAnsi="Times New Roman" w:cs="Times New Roman"/>
        </w:rPr>
        <w:t>Jackson, A., 2003, “The Aggregate Behavior of Individual Investors,” http://ssrn.com/abstract=536942.</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Jiang, H., 2010, “Institutional Investors, Intangible Information, and the Book-to-Market Effect,”</w:t>
      </w:r>
      <w:r>
        <w:rPr>
          <w:rFonts w:ascii="Times New Roman" w:hAnsi="Times New Roman" w:cs="Times New Roman"/>
        </w:rPr>
        <w:t xml:space="preserve"> </w:t>
      </w:r>
      <w:r>
        <w:rPr>
          <w:rFonts w:ascii="Times New Roman" w:hAnsi="Times New Roman" w:cs="Times New Roman"/>
          <w:i/>
          <w:color w:val="000000"/>
        </w:rPr>
        <w:t>Journal of Financial Economics</w:t>
      </w:r>
      <w:r>
        <w:rPr>
          <w:rFonts w:ascii="Times New Roman" w:hAnsi="Times New Roman" w:cs="Times New Roman"/>
          <w:color w:val="000000"/>
        </w:rPr>
        <w:t xml:space="preserve"> 96, 98</w:t>
      </w:r>
      <w:r>
        <w:rPr>
          <w:rFonts w:ascii="Times New Roman" w:hAnsi="Times New Roman" w:cs="Times New Roman"/>
        </w:rPr>
        <w:t>–</w:t>
      </w:r>
      <w:r>
        <w:rPr>
          <w:rFonts w:ascii="Times New Roman" w:hAnsi="Times New Roman" w:cs="Times New Roman"/>
          <w:color w:val="000000"/>
        </w:rPr>
        <w:t>126.</w:t>
      </w:r>
    </w:p>
    <w:p w:rsidR="00523FB7" w:rsidRDefault="00523FB7" w:rsidP="003132FD">
      <w:pPr>
        <w:autoSpaceDE w:val="0"/>
        <w:autoSpaceDN w:val="0"/>
        <w:adjustRightInd w:val="0"/>
        <w:snapToGrid w:val="0"/>
        <w:ind w:left="480" w:hangingChars="200" w:hanging="480"/>
        <w:rPr>
          <w:rFonts w:ascii="Times New Roman" w:hAnsi="Times New Roman" w:cs="Times New Roman"/>
        </w:rPr>
      </w:pPr>
      <w:r>
        <w:rPr>
          <w:rFonts w:ascii="Times New Roman" w:hAnsi="Times New Roman" w:cs="Times New Roman"/>
        </w:rPr>
        <w:t xml:space="preserve">Kim, K.A., and J.R. Nofsinger, 2005, “Institutional Herding, Business Groups, and Economic Regimes: Evidence from Japan,” </w:t>
      </w:r>
      <w:r>
        <w:rPr>
          <w:rFonts w:ascii="Times New Roman" w:hAnsi="Times New Roman" w:cs="Times New Roman"/>
          <w:i/>
        </w:rPr>
        <w:t>Journal of Business</w:t>
      </w:r>
      <w:r>
        <w:rPr>
          <w:rFonts w:ascii="Times New Roman" w:hAnsi="Times New Roman" w:cs="Times New Roman"/>
        </w:rPr>
        <w:t xml:space="preserve"> 78, 213–242.</w:t>
      </w:r>
    </w:p>
    <w:p w:rsidR="00523FB7" w:rsidRDefault="00523FB7" w:rsidP="003132FD">
      <w:pPr>
        <w:autoSpaceDE w:val="0"/>
        <w:autoSpaceDN w:val="0"/>
        <w:adjustRightInd w:val="0"/>
        <w:snapToGrid w:val="0"/>
        <w:ind w:left="480" w:hangingChars="200" w:hanging="480"/>
        <w:rPr>
          <w:rFonts w:ascii="Times New Roman" w:hAnsi="Times New Roman" w:cs="Times New Roman"/>
        </w:rPr>
      </w:pPr>
      <w:r>
        <w:rPr>
          <w:rFonts w:ascii="Times New Roman" w:hAnsi="Times New Roman" w:cs="Times New Roman"/>
        </w:rPr>
        <w:t xml:space="preserve">Kaniel, R., G. Saar, and S. Titman, 2008, Individual Investor Trading and Stock Returns,” </w:t>
      </w:r>
      <w:r>
        <w:rPr>
          <w:rFonts w:ascii="Times New Roman" w:hAnsi="Times New Roman" w:cs="Times New Roman"/>
          <w:i/>
        </w:rPr>
        <w:t>Journal of Finance</w:t>
      </w:r>
      <w:r>
        <w:rPr>
          <w:rFonts w:ascii="Times New Roman" w:hAnsi="Times New Roman" w:cs="Times New Roman"/>
        </w:rPr>
        <w:t xml:space="preserve"> 63, 273–310.</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Lakonishok, J., A. Shleifer, and R. Vishny, 1994, </w:t>
      </w:r>
      <w:r>
        <w:rPr>
          <w:rFonts w:ascii="Times New Roman" w:hAnsi="Times New Roman" w:cs="Times New Roman"/>
        </w:rPr>
        <w:t>“</w:t>
      </w:r>
      <w:r>
        <w:rPr>
          <w:rFonts w:ascii="Times New Roman" w:hAnsi="Times New Roman" w:cs="Times New Roman"/>
          <w:color w:val="000000"/>
        </w:rPr>
        <w:t xml:space="preserve">Contrarian Investment, Extrapolation, and Risk,” </w:t>
      </w:r>
      <w:r>
        <w:rPr>
          <w:rFonts w:ascii="Times New Roman" w:hAnsi="Times New Roman" w:cs="Times New Roman"/>
          <w:i/>
          <w:color w:val="000000"/>
        </w:rPr>
        <w:t>Journal of Finance</w:t>
      </w:r>
      <w:r>
        <w:rPr>
          <w:rFonts w:ascii="Times New Roman" w:hAnsi="Times New Roman" w:cs="Times New Roman"/>
          <w:color w:val="000000"/>
        </w:rPr>
        <w:t xml:space="preserve"> 49, 1541</w:t>
      </w:r>
      <w:r>
        <w:rPr>
          <w:rFonts w:ascii="Times New Roman" w:hAnsi="Times New Roman" w:cs="Times New Roman"/>
        </w:rPr>
        <w:t>–</w:t>
      </w:r>
      <w:r>
        <w:rPr>
          <w:rFonts w:ascii="Times New Roman" w:hAnsi="Times New Roman" w:cs="Times New Roman"/>
          <w:color w:val="000000"/>
        </w:rPr>
        <w:t>1578.</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Lewellen, J., 1999, </w:t>
      </w:r>
      <w:r>
        <w:rPr>
          <w:rFonts w:ascii="Times New Roman" w:hAnsi="Times New Roman" w:cs="Times New Roman"/>
        </w:rPr>
        <w:t>“</w:t>
      </w:r>
      <w:r>
        <w:rPr>
          <w:rFonts w:ascii="Times New Roman" w:hAnsi="Times New Roman" w:cs="Times New Roman"/>
          <w:color w:val="000000"/>
        </w:rPr>
        <w:t xml:space="preserve">The Time-Series Relations among Expected Return, and Book-to-Market,” </w:t>
      </w:r>
      <w:r>
        <w:rPr>
          <w:rFonts w:ascii="Times New Roman" w:hAnsi="Times New Roman" w:cs="Times New Roman"/>
          <w:i/>
          <w:color w:val="000000"/>
        </w:rPr>
        <w:t>Journal of Financial Economics</w:t>
      </w:r>
      <w:r>
        <w:rPr>
          <w:rFonts w:ascii="Times New Roman" w:hAnsi="Times New Roman" w:cs="Times New Roman"/>
          <w:color w:val="000000"/>
        </w:rPr>
        <w:t xml:space="preserve"> 54, 5</w:t>
      </w:r>
      <w:r>
        <w:rPr>
          <w:rFonts w:ascii="Times New Roman" w:hAnsi="Times New Roman" w:cs="Times New Roman"/>
        </w:rPr>
        <w:t>–</w:t>
      </w:r>
      <w:r>
        <w:rPr>
          <w:rFonts w:ascii="Times New Roman" w:hAnsi="Times New Roman" w:cs="Times New Roman"/>
          <w:color w:val="000000"/>
        </w:rPr>
        <w:t>43.</w:t>
      </w:r>
    </w:p>
    <w:p w:rsidR="00523FB7" w:rsidRDefault="00523FB7" w:rsidP="003132FD">
      <w:pPr>
        <w:autoSpaceDE w:val="0"/>
        <w:autoSpaceDN w:val="0"/>
        <w:adjustRightInd w:val="0"/>
        <w:snapToGrid w:val="0"/>
        <w:ind w:left="480" w:hangingChars="200" w:hanging="480"/>
        <w:rPr>
          <w:rFonts w:ascii="Times New Roman" w:eastAsia="AdvGulliv-R" w:hAnsi="Times New Roman" w:cs="Times New Roman"/>
        </w:rPr>
      </w:pPr>
      <w:r>
        <w:rPr>
          <w:rFonts w:ascii="Times New Roman" w:eastAsia="AdvGulliv-R" w:hAnsi="Times New Roman" w:cs="Times New Roman"/>
        </w:rPr>
        <w:t xml:space="preserve">Lo, A.W., and A.C. MacKinlay, 1990, </w:t>
      </w:r>
      <w:r>
        <w:rPr>
          <w:rFonts w:ascii="Times New Roman" w:hAnsi="Times New Roman" w:cs="Times New Roman"/>
        </w:rPr>
        <w:t>“</w:t>
      </w:r>
      <w:r>
        <w:rPr>
          <w:rFonts w:ascii="Times New Roman" w:eastAsia="AdvGulliv-R" w:hAnsi="Times New Roman" w:cs="Times New Roman"/>
        </w:rPr>
        <w:t>Data-Snooping Biases in Tests of Financial Asset Models</w:t>
      </w:r>
      <w:r>
        <w:rPr>
          <w:rFonts w:ascii="Times New Roman" w:hAnsi="Times New Roman" w:cs="Times New Roman"/>
          <w:color w:val="000000"/>
        </w:rPr>
        <w:t>,”</w:t>
      </w:r>
      <w:r>
        <w:rPr>
          <w:rFonts w:ascii="Times New Roman" w:eastAsia="AdvGulliv-R" w:hAnsi="Times New Roman" w:cs="Times New Roman"/>
        </w:rPr>
        <w:t xml:space="preserve"> </w:t>
      </w:r>
      <w:r>
        <w:rPr>
          <w:rFonts w:ascii="Times New Roman" w:eastAsia="AdvGulliv-R" w:hAnsi="Times New Roman" w:cs="Times New Roman"/>
          <w:i/>
          <w:iCs/>
        </w:rPr>
        <w:t>Review of Financial Studies</w:t>
      </w:r>
      <w:r>
        <w:rPr>
          <w:rFonts w:ascii="Times New Roman" w:eastAsia="AdvGulliv-R" w:hAnsi="Times New Roman" w:cs="Times New Roman"/>
        </w:rPr>
        <w:t xml:space="preserve"> 3, 431</w:t>
      </w:r>
      <w:r>
        <w:rPr>
          <w:rFonts w:ascii="Times New Roman" w:hAnsi="Times New Roman" w:cs="Times New Roman"/>
        </w:rPr>
        <w:t>–</w:t>
      </w:r>
      <w:r>
        <w:rPr>
          <w:rFonts w:ascii="Times New Roman" w:eastAsia="AdvGulliv-R" w:hAnsi="Times New Roman" w:cs="Times New Roman"/>
        </w:rPr>
        <w:t xml:space="preserve">461. </w:t>
      </w:r>
    </w:p>
    <w:p w:rsidR="00523FB7" w:rsidRDefault="00523FB7" w:rsidP="003132FD">
      <w:pPr>
        <w:autoSpaceDE w:val="0"/>
        <w:autoSpaceDN w:val="0"/>
        <w:adjustRightInd w:val="0"/>
        <w:snapToGrid w:val="0"/>
        <w:ind w:left="480" w:hangingChars="200" w:hanging="480"/>
        <w:rPr>
          <w:rFonts w:ascii="Times New Roman" w:eastAsia="AdvGulliv-R" w:hAnsi="Times New Roman" w:cs="Times New Roman"/>
        </w:rPr>
      </w:pPr>
      <w:r>
        <w:rPr>
          <w:rFonts w:ascii="Times New Roman" w:eastAsia="AdvGulliv-R" w:hAnsi="Times New Roman" w:cs="Times New Roman"/>
        </w:rPr>
        <w:t xml:space="preserve">MacKinlay, A.C., 1995, </w:t>
      </w:r>
      <w:r>
        <w:rPr>
          <w:rFonts w:ascii="Times New Roman" w:hAnsi="Times New Roman" w:cs="Times New Roman"/>
        </w:rPr>
        <w:t>“</w:t>
      </w:r>
      <w:r>
        <w:rPr>
          <w:rFonts w:ascii="Times New Roman" w:eastAsia="AdvGulliv-R" w:hAnsi="Times New Roman" w:cs="Times New Roman"/>
        </w:rPr>
        <w:t>Multifactor models do not explain deviations from the CAPM</w:t>
      </w:r>
      <w:r>
        <w:rPr>
          <w:rFonts w:ascii="Times New Roman" w:hAnsi="Times New Roman" w:cs="Times New Roman"/>
          <w:color w:val="000000"/>
        </w:rPr>
        <w:t>,”</w:t>
      </w:r>
      <w:r>
        <w:rPr>
          <w:rFonts w:ascii="Times New Roman" w:eastAsia="AdvGulliv-R" w:hAnsi="Times New Roman" w:cs="Times New Roman"/>
        </w:rPr>
        <w:t xml:space="preserve"> </w:t>
      </w:r>
      <w:r>
        <w:rPr>
          <w:rFonts w:ascii="Times New Roman" w:eastAsia="AdvGulliv-R" w:hAnsi="Times New Roman" w:cs="Times New Roman"/>
          <w:i/>
          <w:iCs/>
        </w:rPr>
        <w:t>Journal of Financial Economics</w:t>
      </w:r>
      <w:r>
        <w:rPr>
          <w:rFonts w:ascii="Times New Roman" w:eastAsia="AdvGulliv-R" w:hAnsi="Times New Roman" w:cs="Times New Roman"/>
        </w:rPr>
        <w:t xml:space="preserve"> 38, 3</w:t>
      </w:r>
      <w:r>
        <w:rPr>
          <w:rFonts w:ascii="Times New Roman" w:hAnsi="Times New Roman" w:cs="Times New Roman"/>
        </w:rPr>
        <w:t>–</w:t>
      </w:r>
      <w:r>
        <w:rPr>
          <w:rFonts w:ascii="Times New Roman" w:eastAsia="AdvGulliv-R" w:hAnsi="Times New Roman" w:cs="Times New Roman"/>
        </w:rPr>
        <w:t>28</w:t>
      </w:r>
    </w:p>
    <w:p w:rsidR="00523FB7" w:rsidRDefault="00523FB7" w:rsidP="003132FD">
      <w:pPr>
        <w:autoSpaceDE w:val="0"/>
        <w:autoSpaceDN w:val="0"/>
        <w:adjustRightInd w:val="0"/>
        <w:snapToGrid w:val="0"/>
        <w:ind w:left="480" w:hangingChars="200" w:hanging="480"/>
        <w:rPr>
          <w:rFonts w:ascii="Times New Roman" w:hAnsi="Times New Roman" w:cs="Times New Roman"/>
          <w:bCs/>
        </w:rPr>
      </w:pPr>
      <w:r>
        <w:rPr>
          <w:rFonts w:ascii="Times New Roman" w:hAnsi="Times New Roman" w:cs="Times New Roman"/>
          <w:bCs/>
        </w:rPr>
        <w:t xml:space="preserve">Nofsinger, J.R., and R.W. Sias, 1999, “Herding and Feedback Trading by Institutional Investors,” </w:t>
      </w:r>
      <w:r>
        <w:rPr>
          <w:rFonts w:ascii="Times New Roman" w:hAnsi="Times New Roman" w:cs="Times New Roman"/>
          <w:bCs/>
          <w:i/>
        </w:rPr>
        <w:t>Journal of Finance</w:t>
      </w:r>
      <w:r>
        <w:rPr>
          <w:rFonts w:ascii="Times New Roman" w:hAnsi="Times New Roman" w:cs="Times New Roman"/>
          <w:bCs/>
        </w:rPr>
        <w:t xml:space="preserve"> 54, 2263</w:t>
      </w:r>
      <w:r>
        <w:rPr>
          <w:rFonts w:ascii="Times New Roman" w:hAnsi="Times New Roman" w:cs="Times New Roman"/>
        </w:rPr>
        <w:t>–</w:t>
      </w:r>
      <w:r>
        <w:rPr>
          <w:rFonts w:ascii="Times New Roman" w:hAnsi="Times New Roman" w:cs="Times New Roman"/>
          <w:bCs/>
        </w:rPr>
        <w:t>2316.</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Odean, T.</w:t>
      </w:r>
      <w:bookmarkStart w:id="2" w:name="_GoBack"/>
      <w:bookmarkEnd w:id="2"/>
      <w:r>
        <w:rPr>
          <w:rFonts w:ascii="Times New Roman" w:hAnsi="Times New Roman" w:cs="Times New Roman"/>
          <w:color w:val="000000"/>
        </w:rPr>
        <w:t xml:space="preserve">, 1999, “Do Investors Trade too Much?” </w:t>
      </w:r>
      <w:r>
        <w:rPr>
          <w:rFonts w:ascii="Times New Roman" w:hAnsi="Times New Roman" w:cs="Times New Roman"/>
          <w:i/>
          <w:color w:val="000000"/>
        </w:rPr>
        <w:t>American Economic Review</w:t>
      </w:r>
      <w:r>
        <w:rPr>
          <w:rFonts w:ascii="Times New Roman" w:hAnsi="Times New Roman" w:cs="Times New Roman"/>
          <w:color w:val="000000"/>
        </w:rPr>
        <w:t xml:space="preserve"> 89, 1279</w:t>
      </w:r>
      <w:r>
        <w:rPr>
          <w:rFonts w:ascii="Times New Roman" w:hAnsi="Times New Roman" w:cs="Times New Roman"/>
        </w:rPr>
        <w:t>–</w:t>
      </w:r>
      <w:r>
        <w:rPr>
          <w:rFonts w:ascii="Times New Roman" w:hAnsi="Times New Roman" w:cs="Times New Roman"/>
          <w:color w:val="000000"/>
        </w:rPr>
        <w:t>1298.</w:t>
      </w:r>
    </w:p>
    <w:p w:rsidR="00523FB7" w:rsidRDefault="00523FB7" w:rsidP="003132FD">
      <w:pPr>
        <w:adjustRightInd w:val="0"/>
        <w:snapToGrid w:val="0"/>
        <w:ind w:left="480" w:hangingChars="200" w:hanging="480"/>
        <w:rPr>
          <w:rFonts w:ascii="Times New Roman" w:hAnsi="Times New Roman" w:cs="Times New Roman"/>
          <w:b/>
        </w:rPr>
      </w:pPr>
      <w:r>
        <w:rPr>
          <w:rFonts w:ascii="Times New Roman" w:hAnsi="Times New Roman" w:cs="Times New Roman"/>
          <w:color w:val="000000"/>
        </w:rPr>
        <w:t>Richards, A., 2005, “</w:t>
      </w:r>
      <w:r>
        <w:rPr>
          <w:rFonts w:ascii="Times New Roman" w:hAnsi="Times New Roman" w:cs="Times New Roman"/>
        </w:rPr>
        <w:t xml:space="preserve">Big Fish in Small Ponds: The Trading Behavior and Price Impact of Foreign Investors in Asian Emerging Equity Markets,” </w:t>
      </w:r>
      <w:r>
        <w:rPr>
          <w:rFonts w:ascii="Times New Roman" w:hAnsi="Times New Roman" w:cs="Times New Roman"/>
          <w:i/>
          <w:color w:val="000000"/>
        </w:rPr>
        <w:t>The Journal of Financial and Quantitative Analysis</w:t>
      </w:r>
      <w:r>
        <w:rPr>
          <w:rFonts w:ascii="Times New Roman" w:hAnsi="Times New Roman" w:cs="Times New Roman"/>
          <w:color w:val="000000"/>
        </w:rPr>
        <w:t>, 40</w:t>
      </w:r>
      <w:r>
        <w:rPr>
          <w:rFonts w:ascii="Times New Roman" w:hAnsi="Times New Roman" w:cs="Times New Roman"/>
          <w:b/>
          <w:color w:val="000000"/>
        </w:rPr>
        <w:t>,</w:t>
      </w:r>
      <w:r>
        <w:rPr>
          <w:rFonts w:ascii="Times New Roman" w:hAnsi="Times New Roman" w:cs="Times New Roman"/>
          <w:color w:val="000000"/>
        </w:rPr>
        <w:t xml:space="preserve"> 1</w:t>
      </w:r>
      <w:r>
        <w:rPr>
          <w:rFonts w:ascii="Times New Roman" w:hAnsi="Times New Roman" w:cs="Times New Roman"/>
        </w:rPr>
        <w:t>–</w:t>
      </w:r>
      <w:r>
        <w:rPr>
          <w:rFonts w:ascii="Times New Roman" w:hAnsi="Times New Roman" w:cs="Times New Roman"/>
          <w:color w:val="000000"/>
        </w:rPr>
        <w:t>27</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Sharma, V., J. Hur, and H.W. Lee, 2008, </w:t>
      </w:r>
      <w:r>
        <w:rPr>
          <w:rFonts w:ascii="Times New Roman" w:hAnsi="Times New Roman" w:cs="Times New Roman"/>
        </w:rPr>
        <w:t>“</w:t>
      </w:r>
      <w:r>
        <w:rPr>
          <w:rFonts w:ascii="Times New Roman" w:hAnsi="Times New Roman" w:cs="Times New Roman"/>
          <w:color w:val="000000"/>
        </w:rPr>
        <w:t xml:space="preserve">Glamour Versus Value: Trading Behavior of Institutions and Individual Investors,” </w:t>
      </w:r>
      <w:r>
        <w:rPr>
          <w:rFonts w:ascii="Times New Roman" w:hAnsi="Times New Roman" w:cs="Times New Roman"/>
          <w:i/>
          <w:color w:val="000000"/>
        </w:rPr>
        <w:t>Journal of Financial Research</w:t>
      </w:r>
      <w:r>
        <w:rPr>
          <w:rFonts w:ascii="Times New Roman" w:hAnsi="Times New Roman" w:cs="Times New Roman"/>
          <w:color w:val="000000"/>
        </w:rPr>
        <w:t xml:space="preserve"> 31, 65</w:t>
      </w:r>
      <w:r>
        <w:rPr>
          <w:rFonts w:ascii="Times New Roman" w:hAnsi="Times New Roman" w:cs="Times New Roman"/>
        </w:rPr>
        <w:t>–</w:t>
      </w:r>
      <w:r>
        <w:rPr>
          <w:rFonts w:ascii="Times New Roman" w:hAnsi="Times New Roman" w:cs="Times New Roman"/>
          <w:color w:val="000000"/>
        </w:rPr>
        <w:t>84.</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Sias, R., 2004, </w:t>
      </w:r>
      <w:r>
        <w:rPr>
          <w:rFonts w:ascii="Times New Roman" w:hAnsi="Times New Roman" w:cs="Times New Roman"/>
        </w:rPr>
        <w:t>“</w:t>
      </w:r>
      <w:r>
        <w:rPr>
          <w:rFonts w:ascii="Times New Roman" w:hAnsi="Times New Roman" w:cs="Times New Roman"/>
          <w:color w:val="000000"/>
        </w:rPr>
        <w:t xml:space="preserve">Institutional Herding,” </w:t>
      </w:r>
      <w:r>
        <w:rPr>
          <w:rFonts w:ascii="Times New Roman" w:hAnsi="Times New Roman" w:cs="Times New Roman"/>
          <w:i/>
          <w:color w:val="000000"/>
        </w:rPr>
        <w:t>Review of Financial Studies</w:t>
      </w:r>
      <w:r>
        <w:rPr>
          <w:rFonts w:ascii="Times New Roman" w:hAnsi="Times New Roman" w:cs="Times New Roman"/>
          <w:color w:val="000000"/>
        </w:rPr>
        <w:t xml:space="preserve"> 17, 165-206.</w:t>
      </w:r>
    </w:p>
    <w:p w:rsidR="00523FB7" w:rsidRDefault="00523FB7" w:rsidP="003132FD">
      <w:pPr>
        <w:autoSpaceDE w:val="0"/>
        <w:autoSpaceDN w:val="0"/>
        <w:adjustRightInd w:val="0"/>
        <w:snapToGrid w:val="0"/>
        <w:ind w:left="480" w:hangingChars="200" w:hanging="480"/>
        <w:rPr>
          <w:rFonts w:ascii="Times New Roman" w:hAnsi="Times New Roman" w:cs="Times New Roman"/>
          <w:color w:val="000000"/>
        </w:rPr>
      </w:pPr>
      <w:r>
        <w:rPr>
          <w:rFonts w:ascii="Times New Roman" w:hAnsi="Times New Roman" w:cs="Times New Roman"/>
          <w:color w:val="000000"/>
        </w:rPr>
        <w:t xml:space="preserve">Wermers, R., 1999, “Mutual Fund Herding and the Impact on Stock Prices,” </w:t>
      </w:r>
      <w:r>
        <w:rPr>
          <w:rFonts w:ascii="Times New Roman" w:hAnsi="Times New Roman" w:cs="Times New Roman"/>
          <w:i/>
          <w:color w:val="000000"/>
        </w:rPr>
        <w:t>Journal of Finance</w:t>
      </w:r>
      <w:r>
        <w:rPr>
          <w:rFonts w:ascii="Times New Roman" w:hAnsi="Times New Roman" w:cs="Times New Roman"/>
          <w:color w:val="000000"/>
        </w:rPr>
        <w:t xml:space="preserve"> 54, 581</w:t>
      </w:r>
      <w:r>
        <w:rPr>
          <w:rFonts w:ascii="Times New Roman" w:hAnsi="Times New Roman" w:cs="Times New Roman"/>
        </w:rPr>
        <w:t>–</w:t>
      </w:r>
      <w:r>
        <w:rPr>
          <w:rFonts w:ascii="Times New Roman" w:hAnsi="Times New Roman" w:cs="Times New Roman"/>
          <w:color w:val="000000"/>
        </w:rPr>
        <w:t>622.</w:t>
      </w:r>
    </w:p>
    <w:p w:rsidR="00523FB7" w:rsidRPr="00A3745A" w:rsidRDefault="00523FB7" w:rsidP="00F86FF5">
      <w:pPr>
        <w:autoSpaceDE w:val="0"/>
        <w:autoSpaceDN w:val="0"/>
        <w:adjustRightInd w:val="0"/>
        <w:snapToGrid w:val="0"/>
        <w:spacing w:line="480" w:lineRule="auto"/>
        <w:jc w:val="both"/>
        <w:rPr>
          <w:rFonts w:ascii="Times New Roman" w:hAnsi="Times New Roman" w:cs="Times New Roman"/>
        </w:rPr>
      </w:pPr>
    </w:p>
    <w:p w:rsidR="00523FB7" w:rsidRPr="003352DA" w:rsidRDefault="00523FB7" w:rsidP="00C73470">
      <w:pPr>
        <w:snapToGrid w:val="0"/>
        <w:spacing w:line="360" w:lineRule="auto"/>
        <w:rPr>
          <w:rFonts w:ascii="Times New Roman" w:hAnsi="Times New Roman" w:cs="Times New Roman"/>
          <w:b/>
        </w:rPr>
      </w:pPr>
      <w:r w:rsidRPr="003410DE">
        <w:rPr>
          <w:rFonts w:ascii="Times New Roman" w:hAnsi="Times New Roman" w:cs="Times New Roman"/>
        </w:rPr>
        <w:br w:type="page"/>
      </w:r>
      <w:r w:rsidRPr="003352DA">
        <w:rPr>
          <w:rFonts w:ascii="Times New Roman" w:hAnsi="Times New Roman" w:cs="Times New Roman"/>
          <w:b/>
          <w:bCs/>
          <w:kern w:val="0"/>
        </w:rPr>
        <w:t xml:space="preserve">Figure 1. </w:t>
      </w:r>
      <w:r w:rsidRPr="003352DA">
        <w:rPr>
          <w:rFonts w:ascii="TimesNewRomanPSMT" w:hAnsi="TimesNewRomanPSMT" w:cs="TimesNewRomanPSMT"/>
          <w:b/>
          <w:kern w:val="0"/>
        </w:rPr>
        <w:t xml:space="preserve">The time line for the measures of book-to-market ratio, market </w:t>
      </w:r>
      <w:r w:rsidRPr="003352DA">
        <w:rPr>
          <w:rFonts w:ascii="Times New Roman" w:hAnsi="Times New Roman" w:cs="Times New Roman"/>
          <w:b/>
          <w:kern w:val="0"/>
        </w:rPr>
        <w:t>capitalization</w:t>
      </w:r>
      <w:r w:rsidRPr="003352DA">
        <w:rPr>
          <w:rFonts w:ascii="TimesNewRomanPSMT" w:hAnsi="TimesNewRomanPSMT" w:cs="TimesNewRomanPSMT"/>
          <w:b/>
          <w:kern w:val="0"/>
        </w:rPr>
        <w:t xml:space="preserve">, institutional and individual investors’ </w:t>
      </w:r>
      <w:r>
        <w:rPr>
          <w:rFonts w:ascii="TimesNewRomanPSMT" w:hAnsi="TimesNewRomanPSMT" w:cs="TimesNewRomanPSMT"/>
          <w:b/>
          <w:kern w:val="0"/>
        </w:rPr>
        <w:t>trading</w:t>
      </w:r>
      <w:r w:rsidRPr="003352DA">
        <w:rPr>
          <w:rFonts w:ascii="TimesNewRomanPSMT" w:hAnsi="TimesNewRomanPSMT" w:cs="TimesNewRomanPSMT"/>
          <w:b/>
          <w:kern w:val="0"/>
        </w:rPr>
        <w:t>, and the subsequent stock return performance</w:t>
      </w:r>
    </w:p>
    <w:p w:rsidR="00523FB7" w:rsidRDefault="00523FB7">
      <w:pPr>
        <w:widowControl/>
        <w:rPr>
          <w:rFonts w:ascii="Times New Roman" w:hAnsi="Times New Roman" w:cs="Times New Roman"/>
        </w:rPr>
      </w:pPr>
    </w:p>
    <w:p w:rsidR="00523FB7" w:rsidRDefault="00523FB7" w:rsidP="00894C63">
      <w:pPr>
        <w:widowControl/>
        <w:jc w:val="center"/>
        <w:rPr>
          <w:rFonts w:ascii="Times New Roman" w:hAnsi="Times New Roman" w:cs="Times New Roman"/>
        </w:rPr>
      </w:pPr>
      <w:r w:rsidRPr="00740526">
        <w:rPr>
          <w:rFonts w:ascii="Times New Roman" w:hAnsi="Times New Roman" w:cs="Times New Roman"/>
          <w:noProof/>
        </w:rPr>
        <w:pict>
          <v:shape id="圖片 1" o:spid="_x0000_i1033" type="#_x0000_t75" style="width:401.25pt;height:174.75pt;visibility:visible">
            <v:imagedata r:id="rId15" o:title="" croptop="16149f" cropbottom="23981f" cropleft="12483f" cropright="15531f"/>
          </v:shape>
        </w:pict>
      </w:r>
    </w:p>
    <w:p w:rsidR="00523FB7" w:rsidRDefault="00523FB7">
      <w:pPr>
        <w:widowControl/>
        <w:rPr>
          <w:rFonts w:ascii="Times New Roman" w:hAnsi="Times New Roman" w:cs="Times New Roman"/>
        </w:rPr>
      </w:pPr>
    </w:p>
    <w:p w:rsidR="00523FB7" w:rsidRDefault="00523FB7">
      <w:pPr>
        <w:widowControl/>
        <w:rPr>
          <w:rFonts w:ascii="Times New Roman" w:hAnsi="Times New Roman" w:cs="Times New Roman"/>
        </w:rPr>
      </w:pPr>
      <w:r>
        <w:rPr>
          <w:rFonts w:ascii="Times New Roman" w:hAnsi="Times New Roman" w:cs="Times New Roman"/>
        </w:rPr>
        <w:br w:type="page"/>
      </w:r>
    </w:p>
    <w:p w:rsidR="00523FB7" w:rsidRPr="003410DE" w:rsidRDefault="00523FB7" w:rsidP="00F86FF5">
      <w:pPr>
        <w:snapToGrid w:val="0"/>
        <w:spacing w:line="360" w:lineRule="auto"/>
        <w:rPr>
          <w:rFonts w:ascii="Times New Roman" w:hAnsi="Times New Roman" w:cs="Times New Roman"/>
        </w:rPr>
      </w:pPr>
      <w:r w:rsidRPr="003410DE">
        <w:rPr>
          <w:rFonts w:ascii="Times New Roman" w:hAnsi="Times New Roman" w:cs="Times New Roman"/>
          <w:b/>
          <w:bCs/>
          <w:kern w:val="0"/>
        </w:rPr>
        <w:t xml:space="preserve">Figure </w:t>
      </w:r>
      <w:r>
        <w:rPr>
          <w:rFonts w:ascii="Times New Roman" w:hAnsi="Times New Roman" w:cs="Times New Roman"/>
          <w:b/>
          <w:bCs/>
          <w:kern w:val="0"/>
        </w:rPr>
        <w:t>2</w:t>
      </w:r>
      <w:r w:rsidRPr="003410DE">
        <w:rPr>
          <w:rFonts w:ascii="Times New Roman" w:hAnsi="Times New Roman" w:cs="Times New Roman"/>
          <w:b/>
          <w:bCs/>
          <w:kern w:val="0"/>
        </w:rPr>
        <w:t xml:space="preserve">. Average adjusted changes in institutional </w:t>
      </w:r>
      <w:r>
        <w:rPr>
          <w:rFonts w:ascii="Times New Roman" w:hAnsi="Times New Roman" w:cs="Times New Roman"/>
          <w:b/>
          <w:bCs/>
          <w:kern w:val="0"/>
        </w:rPr>
        <w:t>ownership</w:t>
      </w:r>
      <w:r w:rsidRPr="003410DE">
        <w:rPr>
          <w:rFonts w:ascii="Times New Roman" w:hAnsi="Times New Roman" w:cs="Times New Roman"/>
          <w:b/>
          <w:bCs/>
          <w:kern w:val="0"/>
        </w:rPr>
        <w:t xml:space="preserve"> (</w:t>
      </w:r>
      <w:r w:rsidRPr="00D5561B">
        <w:rPr>
          <w:rFonts w:ascii="Times New Roman" w:hAnsi="Times New Roman" w:cs="Times New Roman"/>
          <w:b/>
          <w:bCs/>
          <w:i/>
          <w:kern w:val="0"/>
        </w:rPr>
        <w:t>AdjD</w:t>
      </w:r>
      <w:r w:rsidRPr="0017025B">
        <w:rPr>
          <w:rFonts w:ascii="Times New Roman" w:hAnsi="Times New Roman" w:cs="Times New Roman"/>
          <w:b/>
          <w:bCs/>
          <w:i/>
          <w:kern w:val="0"/>
        </w:rPr>
        <w:t>ITH</w:t>
      </w:r>
      <w:r w:rsidRPr="003410DE">
        <w:rPr>
          <w:rFonts w:ascii="Times New Roman" w:hAnsi="Times New Roman" w:cs="Times New Roman"/>
          <w:b/>
          <w:bCs/>
          <w:kern w:val="0"/>
        </w:rPr>
        <w:t xml:space="preserve">) by </w:t>
      </w:r>
      <w:r w:rsidRPr="00D5561B">
        <w:rPr>
          <w:rFonts w:ascii="Times New Roman" w:hAnsi="Times New Roman" w:cs="Times New Roman"/>
          <w:b/>
          <w:bCs/>
          <w:i/>
          <w:kern w:val="0"/>
        </w:rPr>
        <w:t>BE/ME</w:t>
      </w:r>
      <w:r w:rsidRPr="003410DE">
        <w:rPr>
          <w:rFonts w:ascii="Times New Roman" w:hAnsi="Times New Roman" w:cs="Times New Roman"/>
          <w:b/>
          <w:bCs/>
          <w:kern w:val="0"/>
        </w:rPr>
        <w:t xml:space="preserve"> and size quintiles</w:t>
      </w:r>
    </w:p>
    <w:p w:rsidR="00523FB7" w:rsidRPr="003410DE" w:rsidRDefault="00523FB7" w:rsidP="00F86FF5">
      <w:pPr>
        <w:widowControl/>
        <w:snapToGrid w:val="0"/>
        <w:spacing w:line="360" w:lineRule="auto"/>
        <w:rPr>
          <w:rFonts w:ascii="Times New Roman" w:hAnsi="Times New Roman" w:cs="Times New Roman"/>
          <w:kern w:val="0"/>
        </w:rPr>
      </w:pPr>
      <w:r w:rsidRPr="00740526">
        <w:rPr>
          <w:rFonts w:ascii="Times New Roman" w:hAnsi="Times New Roman" w:cs="Times New Roman"/>
          <w:noProof/>
          <w:kern w:val="0"/>
        </w:rPr>
        <w:pict>
          <v:shape id="圖表 1" o:spid="_x0000_i1034" type="#_x0000_t75" style="width:417pt;height:25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">
            <v:imagedata r:id="rId16" o:title=""/>
            <o:lock v:ext="edit" aspectratio="f"/>
          </v:shape>
        </w:pict>
      </w:r>
    </w:p>
    <w:p w:rsidR="00523FB7" w:rsidRPr="003410DE" w:rsidRDefault="00523FB7" w:rsidP="00B07CA5">
      <w:pPr>
        <w:widowControl/>
        <w:snapToGrid w:val="0"/>
        <w:jc w:val="both"/>
        <w:rPr>
          <w:rFonts w:ascii="Times New Roman" w:hAnsi="Times New Roman" w:cs="Times New Roman"/>
          <w:sz w:val="22"/>
          <w:szCs w:val="22"/>
        </w:rPr>
      </w:pPr>
      <w:r>
        <w:rPr>
          <w:rFonts w:ascii="Times New Roman" w:hAnsi="Times New Roman" w:cs="Times New Roman"/>
          <w:kern w:val="0"/>
          <w:sz w:val="22"/>
          <w:szCs w:val="22"/>
        </w:rPr>
        <w:t>For e</w:t>
      </w:r>
      <w:r w:rsidRPr="003410DE">
        <w:rPr>
          <w:rFonts w:ascii="Times New Roman" w:hAnsi="Times New Roman" w:cs="Times New Roman"/>
          <w:kern w:val="0"/>
          <w:sz w:val="22"/>
          <w:szCs w:val="22"/>
        </w:rPr>
        <w:t xml:space="preserve">ach year, we divide all stocks into five groups based on their size (price times shares outstanding) at the end of June of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and into five groups based on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for individual stocks. Size is the market value (price times shares outstanding) at the end of June of each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 1975-2005.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is the ratio of book value equity at March at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divided by </w:t>
      </w:r>
      <w:r>
        <w:rPr>
          <w:rFonts w:ascii="Times New Roman" w:hAnsi="Times New Roman" w:cs="Times New Roman"/>
          <w:kern w:val="0"/>
          <w:sz w:val="22"/>
          <w:szCs w:val="22"/>
        </w:rPr>
        <w:t xml:space="preserve">the </w:t>
      </w:r>
      <w:r w:rsidRPr="003410DE">
        <w:rPr>
          <w:rFonts w:ascii="Times New Roman" w:hAnsi="Times New Roman" w:cs="Times New Roman"/>
          <w:kern w:val="0"/>
          <w:sz w:val="22"/>
          <w:szCs w:val="22"/>
        </w:rPr>
        <w:t xml:space="preserve">market value of equity at the end of March at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We form 25 portfolios by combining the sorts by size and by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w:t>
      </w:r>
      <w:r w:rsidRPr="00D5561B">
        <w:rPr>
          <w:rFonts w:ascii="Times New Roman" w:hAnsi="Times New Roman" w:cs="Times New Roman"/>
          <w:i/>
          <w:kern w:val="0"/>
          <w:sz w:val="22"/>
          <w:szCs w:val="22"/>
        </w:rPr>
        <w:t>AdjD</w:t>
      </w:r>
      <w:r w:rsidRPr="0017025B">
        <w:rPr>
          <w:rFonts w:ascii="Times New Roman" w:hAnsi="Times New Roman" w:cs="Times New Roman"/>
          <w:i/>
          <w:kern w:val="0"/>
          <w:sz w:val="22"/>
          <w:szCs w:val="22"/>
        </w:rPr>
        <w:t>ITH</w:t>
      </w:r>
      <w:r w:rsidRPr="003410DE">
        <w:rPr>
          <w:rFonts w:ascii="Times New Roman" w:hAnsi="Times New Roman" w:cs="Times New Roman"/>
          <w:kern w:val="0"/>
          <w:sz w:val="22"/>
          <w:szCs w:val="22"/>
        </w:rPr>
        <w:t xml:space="preserve"> is</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adjusted change in institutional ownership.</w:t>
      </w:r>
    </w:p>
    <w:p w:rsidR="00523FB7" w:rsidRPr="003410DE" w:rsidRDefault="00523FB7" w:rsidP="00F86FF5">
      <w:pPr>
        <w:widowControl/>
        <w:snapToGrid w:val="0"/>
        <w:spacing w:line="360" w:lineRule="auto"/>
        <w:rPr>
          <w:rFonts w:ascii="Times New Roman" w:hAnsi="Times New Roman" w:cs="Times New Roman"/>
        </w:rPr>
      </w:pPr>
    </w:p>
    <w:p w:rsidR="00523FB7" w:rsidRPr="003410DE" w:rsidRDefault="00523FB7" w:rsidP="00F86FF5">
      <w:pPr>
        <w:widowControl/>
        <w:snapToGrid w:val="0"/>
        <w:spacing w:line="360" w:lineRule="auto"/>
        <w:rPr>
          <w:rFonts w:ascii="Times New Roman" w:hAnsi="Times New Roman" w:cs="Times New Roman"/>
        </w:rPr>
      </w:pPr>
    </w:p>
    <w:p w:rsidR="00523FB7" w:rsidRPr="003410DE" w:rsidRDefault="00523FB7" w:rsidP="00F86FF5">
      <w:pPr>
        <w:widowControl/>
        <w:snapToGrid w:val="0"/>
        <w:spacing w:line="360" w:lineRule="auto"/>
        <w:rPr>
          <w:rFonts w:ascii="Times New Roman" w:hAnsi="Times New Roman" w:cs="Times New Roman"/>
        </w:rPr>
      </w:pPr>
    </w:p>
    <w:p w:rsidR="00523FB7" w:rsidRPr="003410DE" w:rsidRDefault="00523FB7" w:rsidP="00F86FF5">
      <w:pPr>
        <w:widowControl/>
        <w:snapToGrid w:val="0"/>
        <w:spacing w:line="360" w:lineRule="auto"/>
        <w:rPr>
          <w:rFonts w:ascii="Times New Roman" w:hAnsi="Times New Roman" w:cs="Times New Roman"/>
        </w:rPr>
      </w:pPr>
    </w:p>
    <w:p w:rsidR="00523FB7" w:rsidRPr="003410DE" w:rsidRDefault="00523FB7" w:rsidP="00F86FF5">
      <w:pPr>
        <w:widowControl/>
        <w:snapToGrid w:val="0"/>
        <w:spacing w:line="360" w:lineRule="auto"/>
        <w:rPr>
          <w:rFonts w:ascii="Times New Roman" w:hAnsi="Times New Roman" w:cs="Times New Roman"/>
          <w:b/>
          <w:bCs/>
          <w:kern w:val="0"/>
        </w:rPr>
      </w:pPr>
      <w:r w:rsidRPr="003410DE">
        <w:rPr>
          <w:rFonts w:ascii="Times New Roman" w:hAnsi="Times New Roman" w:cs="Times New Roman"/>
          <w:b/>
          <w:bCs/>
          <w:kern w:val="0"/>
          <w:sz w:val="28"/>
          <w:szCs w:val="28"/>
        </w:rPr>
        <w:br w:type="page"/>
      </w:r>
      <w:r w:rsidRPr="003410DE">
        <w:rPr>
          <w:rFonts w:ascii="Times New Roman" w:hAnsi="Times New Roman" w:cs="Times New Roman"/>
          <w:b/>
          <w:bCs/>
          <w:kern w:val="0"/>
        </w:rPr>
        <w:t xml:space="preserve">Figure </w:t>
      </w:r>
      <w:r>
        <w:rPr>
          <w:rFonts w:ascii="Times New Roman" w:hAnsi="Times New Roman" w:cs="Times New Roman"/>
          <w:b/>
          <w:bCs/>
          <w:kern w:val="0"/>
        </w:rPr>
        <w:t>3</w:t>
      </w:r>
      <w:r w:rsidRPr="003410DE">
        <w:rPr>
          <w:rFonts w:ascii="Times New Roman" w:hAnsi="Times New Roman" w:cs="Times New Roman"/>
          <w:b/>
          <w:bCs/>
          <w:kern w:val="0"/>
        </w:rPr>
        <w:t xml:space="preserve">. Average adjusted changes in individual </w:t>
      </w:r>
      <w:r>
        <w:rPr>
          <w:rFonts w:ascii="Times New Roman" w:hAnsi="Times New Roman" w:cs="Times New Roman"/>
          <w:b/>
          <w:bCs/>
          <w:kern w:val="0"/>
        </w:rPr>
        <w:t>ownership</w:t>
      </w:r>
      <w:r w:rsidRPr="003410DE">
        <w:rPr>
          <w:rFonts w:ascii="Times New Roman" w:hAnsi="Times New Roman" w:cs="Times New Roman"/>
          <w:b/>
          <w:bCs/>
          <w:kern w:val="0"/>
        </w:rPr>
        <w:t xml:space="preserve"> (</w:t>
      </w:r>
      <w:r w:rsidRPr="00D5561B">
        <w:rPr>
          <w:rFonts w:ascii="Times New Roman" w:hAnsi="Times New Roman" w:cs="Times New Roman"/>
          <w:b/>
          <w:bCs/>
          <w:i/>
          <w:kern w:val="0"/>
        </w:rPr>
        <w:t>AdjDIND</w:t>
      </w:r>
      <w:r w:rsidRPr="003410DE">
        <w:rPr>
          <w:rFonts w:ascii="Times New Roman" w:hAnsi="Times New Roman" w:cs="Times New Roman"/>
          <w:b/>
          <w:bCs/>
          <w:kern w:val="0"/>
        </w:rPr>
        <w:t xml:space="preserve">) by </w:t>
      </w:r>
      <w:r w:rsidRPr="00D5561B">
        <w:rPr>
          <w:rFonts w:ascii="Times New Roman" w:hAnsi="Times New Roman" w:cs="Times New Roman"/>
          <w:b/>
          <w:bCs/>
          <w:i/>
          <w:kern w:val="0"/>
        </w:rPr>
        <w:t>BE/ME</w:t>
      </w:r>
      <w:r w:rsidRPr="003410DE">
        <w:rPr>
          <w:rFonts w:ascii="Times New Roman" w:hAnsi="Times New Roman" w:cs="Times New Roman"/>
          <w:b/>
          <w:bCs/>
          <w:kern w:val="0"/>
        </w:rPr>
        <w:t xml:space="preserve"> and </w:t>
      </w:r>
      <w:r>
        <w:rPr>
          <w:rFonts w:ascii="Times New Roman" w:hAnsi="Times New Roman" w:cs="Times New Roman"/>
          <w:b/>
          <w:bCs/>
          <w:kern w:val="0"/>
        </w:rPr>
        <w:t>s</w:t>
      </w:r>
      <w:r w:rsidRPr="003410DE">
        <w:rPr>
          <w:rFonts w:ascii="Times New Roman" w:hAnsi="Times New Roman" w:cs="Times New Roman"/>
          <w:b/>
          <w:bCs/>
          <w:kern w:val="0"/>
        </w:rPr>
        <w:t xml:space="preserve">ize </w:t>
      </w:r>
      <w:r>
        <w:rPr>
          <w:rFonts w:ascii="Times New Roman" w:hAnsi="Times New Roman" w:cs="Times New Roman"/>
          <w:b/>
          <w:bCs/>
          <w:kern w:val="0"/>
        </w:rPr>
        <w:t>q</w:t>
      </w:r>
      <w:r w:rsidRPr="003410DE">
        <w:rPr>
          <w:rFonts w:ascii="Times New Roman" w:hAnsi="Times New Roman" w:cs="Times New Roman"/>
          <w:b/>
          <w:bCs/>
          <w:kern w:val="0"/>
        </w:rPr>
        <w:t>uintiles</w:t>
      </w:r>
    </w:p>
    <w:p w:rsidR="00523FB7" w:rsidRPr="003410DE" w:rsidRDefault="00523FB7" w:rsidP="00F86FF5">
      <w:pPr>
        <w:rPr>
          <w:rFonts w:ascii="Times New Roman" w:hAnsi="Times New Roman" w:cs="Times New Roman"/>
        </w:rPr>
      </w:pPr>
      <w:r w:rsidRPr="00740526">
        <w:rPr>
          <w:rFonts w:ascii="Times New Roman" w:hAnsi="Times New Roman" w:cs="Times New Roman"/>
          <w:noProof/>
        </w:rPr>
        <w:pict>
          <v:shape id="圖表 3" o:spid="_x0000_i1035" type="#_x0000_t75" style="width:417pt;height:259.5pt;visibility:visible">
            <v:imagedata r:id="rId17" o:title="" cropbottom="-13f"/>
          </v:shape>
        </w:pict>
      </w:r>
    </w:p>
    <w:p w:rsidR="00523FB7" w:rsidRPr="003410DE" w:rsidRDefault="00523FB7" w:rsidP="00F86FF5">
      <w:pPr>
        <w:widowControl/>
        <w:snapToGrid w:val="0"/>
        <w:rPr>
          <w:rFonts w:ascii="Times New Roman" w:hAnsi="Times New Roman" w:cs="Times New Roman"/>
          <w:kern w:val="0"/>
          <w:sz w:val="22"/>
          <w:szCs w:val="22"/>
        </w:rPr>
      </w:pPr>
    </w:p>
    <w:p w:rsidR="00523FB7" w:rsidRPr="003410DE" w:rsidRDefault="00523FB7" w:rsidP="00B07CA5">
      <w:pPr>
        <w:widowControl/>
        <w:snapToGrid w:val="0"/>
        <w:jc w:val="both"/>
        <w:rPr>
          <w:rFonts w:ascii="Times New Roman" w:hAnsi="Times New Roman" w:cs="Times New Roman"/>
          <w:sz w:val="22"/>
          <w:szCs w:val="22"/>
        </w:rPr>
      </w:pPr>
      <w:r>
        <w:rPr>
          <w:rFonts w:ascii="Times New Roman" w:hAnsi="Times New Roman" w:cs="Times New Roman"/>
          <w:kern w:val="0"/>
          <w:sz w:val="22"/>
          <w:szCs w:val="22"/>
        </w:rPr>
        <w:t>For e</w:t>
      </w:r>
      <w:r w:rsidRPr="003410DE">
        <w:rPr>
          <w:rFonts w:ascii="Times New Roman" w:hAnsi="Times New Roman" w:cs="Times New Roman"/>
          <w:kern w:val="0"/>
          <w:sz w:val="22"/>
          <w:szCs w:val="22"/>
        </w:rPr>
        <w:t xml:space="preserve">ach year, we divide all stocks into five groups based on their size (price times shares outstanding) at the end of June of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and into five groups based on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for individual stocks. Size is the market value (price times shares outstanding) at the end of June of each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 1975-2005.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is the ratio of book value equity at March at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divided by </w:t>
      </w:r>
      <w:r>
        <w:rPr>
          <w:rFonts w:ascii="Times New Roman" w:hAnsi="Times New Roman" w:cs="Times New Roman"/>
          <w:kern w:val="0"/>
          <w:sz w:val="22"/>
          <w:szCs w:val="22"/>
        </w:rPr>
        <w:t xml:space="preserve">the </w:t>
      </w:r>
      <w:r w:rsidRPr="003410DE">
        <w:rPr>
          <w:rFonts w:ascii="Times New Roman" w:hAnsi="Times New Roman" w:cs="Times New Roman"/>
          <w:kern w:val="0"/>
          <w:sz w:val="22"/>
          <w:szCs w:val="22"/>
        </w:rPr>
        <w:t xml:space="preserve">market value of equity at the end of March at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We form 25 portfolios by combining the sorts by size and by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w:t>
      </w:r>
      <w:r w:rsidRPr="00D5561B">
        <w:rPr>
          <w:rFonts w:ascii="Times New Roman" w:hAnsi="Times New Roman" w:cs="Times New Roman"/>
          <w:i/>
          <w:kern w:val="0"/>
          <w:sz w:val="22"/>
          <w:szCs w:val="22"/>
        </w:rPr>
        <w:t>AdjDIND</w:t>
      </w:r>
      <w:r w:rsidRPr="003410DE">
        <w:rPr>
          <w:rFonts w:ascii="Times New Roman" w:hAnsi="Times New Roman" w:cs="Times New Roman"/>
          <w:kern w:val="0"/>
          <w:sz w:val="22"/>
          <w:szCs w:val="22"/>
        </w:rPr>
        <w:t xml:space="preserve"> is </w:t>
      </w:r>
      <w:r>
        <w:rPr>
          <w:rFonts w:ascii="Times New Roman" w:hAnsi="Times New Roman" w:cs="Times New Roman"/>
          <w:kern w:val="0"/>
          <w:sz w:val="22"/>
          <w:szCs w:val="22"/>
        </w:rPr>
        <w:t xml:space="preserve">the </w:t>
      </w:r>
      <w:r w:rsidRPr="003410DE">
        <w:rPr>
          <w:rFonts w:ascii="Times New Roman" w:hAnsi="Times New Roman" w:cs="Times New Roman"/>
          <w:kern w:val="0"/>
          <w:sz w:val="22"/>
          <w:szCs w:val="22"/>
        </w:rPr>
        <w:t>adjusted change in individual ownership.</w:t>
      </w:r>
    </w:p>
    <w:p w:rsidR="00523FB7" w:rsidRPr="003410DE" w:rsidRDefault="00523FB7" w:rsidP="00F86FF5">
      <w:pPr>
        <w:autoSpaceDE w:val="0"/>
        <w:autoSpaceDN w:val="0"/>
        <w:adjustRightInd w:val="0"/>
        <w:snapToGrid w:val="0"/>
        <w:spacing w:line="480" w:lineRule="auto"/>
        <w:jc w:val="both"/>
        <w:rPr>
          <w:rFonts w:ascii="Times New Roman" w:hAnsi="Times New Roman" w:cs="Times New Roman"/>
        </w:rPr>
      </w:pPr>
    </w:p>
    <w:p w:rsidR="00523FB7" w:rsidRPr="003410DE" w:rsidRDefault="00523FB7" w:rsidP="00F86FF5">
      <w:pPr>
        <w:autoSpaceDE w:val="0"/>
        <w:autoSpaceDN w:val="0"/>
        <w:adjustRightInd w:val="0"/>
        <w:snapToGrid w:val="0"/>
        <w:spacing w:line="480" w:lineRule="auto"/>
        <w:jc w:val="both"/>
        <w:rPr>
          <w:rFonts w:ascii="Times New Roman" w:hAnsi="Times New Roman" w:cs="Times New Roman"/>
        </w:rPr>
      </w:pPr>
    </w:p>
    <w:p w:rsidR="00523FB7" w:rsidRPr="003410DE" w:rsidRDefault="00523FB7" w:rsidP="00F86FF5">
      <w:pPr>
        <w:autoSpaceDE w:val="0"/>
        <w:autoSpaceDN w:val="0"/>
        <w:adjustRightInd w:val="0"/>
        <w:snapToGrid w:val="0"/>
        <w:spacing w:line="480" w:lineRule="auto"/>
        <w:jc w:val="both"/>
        <w:rPr>
          <w:rFonts w:ascii="Times New Roman" w:hAnsi="Times New Roman" w:cs="Times New Roman"/>
        </w:rPr>
      </w:pPr>
    </w:p>
    <w:p w:rsidR="00523FB7" w:rsidRPr="003410DE" w:rsidRDefault="00523FB7" w:rsidP="00F86FF5">
      <w:pPr>
        <w:snapToGrid w:val="0"/>
        <w:spacing w:line="360" w:lineRule="auto"/>
        <w:rPr>
          <w:rFonts w:ascii="Times New Roman" w:hAnsi="Times New Roman" w:cs="Times New Roman"/>
          <w:b/>
          <w:bCs/>
          <w:kern w:val="0"/>
        </w:rPr>
      </w:pPr>
      <w:r w:rsidRPr="003410DE">
        <w:rPr>
          <w:rFonts w:ascii="Times New Roman" w:hAnsi="Times New Roman" w:cs="Times New Roman"/>
        </w:rPr>
        <w:br w:type="page"/>
      </w:r>
      <w:r w:rsidRPr="003410DE">
        <w:rPr>
          <w:rFonts w:ascii="Times New Roman" w:hAnsi="Times New Roman" w:cs="Times New Roman"/>
          <w:b/>
          <w:bCs/>
          <w:kern w:val="0"/>
        </w:rPr>
        <w:t>Table 1. Summary statistics</w:t>
      </w:r>
      <w:r>
        <w:rPr>
          <w:rFonts w:ascii="Times New Roman" w:hAnsi="Times New Roman" w:cs="Times New Roman"/>
          <w:b/>
          <w:bCs/>
          <w:kern w:val="0"/>
        </w:rPr>
        <w:t xml:space="preserve"> of the</w:t>
      </w:r>
      <w:r w:rsidRPr="005A7C9A">
        <w:rPr>
          <w:rFonts w:ascii="Times New Roman" w:hAnsi="Times New Roman" w:cs="Times New Roman"/>
          <w:b/>
          <w:bCs/>
          <w:kern w:val="0"/>
        </w:rPr>
        <w:t xml:space="preserve"> </w:t>
      </w:r>
      <w:r w:rsidRPr="003410DE">
        <w:rPr>
          <w:rFonts w:ascii="Times New Roman" w:hAnsi="Times New Roman" w:cs="Times New Roman"/>
          <w:b/>
          <w:bCs/>
          <w:kern w:val="0"/>
        </w:rPr>
        <w:t>sample</w:t>
      </w:r>
    </w:p>
    <w:p w:rsidR="00523FB7" w:rsidRPr="003410DE" w:rsidRDefault="00523FB7" w:rsidP="00B07CA5">
      <w:pPr>
        <w:snapToGrid w:val="0"/>
        <w:jc w:val="both"/>
        <w:rPr>
          <w:rFonts w:ascii="Times New Roman" w:hAnsi="Times New Roman" w:cs="Times New Roman"/>
          <w:sz w:val="22"/>
          <w:szCs w:val="22"/>
        </w:rPr>
      </w:pPr>
      <w:r w:rsidRPr="003410DE">
        <w:rPr>
          <w:rFonts w:ascii="Times New Roman" w:hAnsi="Times New Roman" w:cs="Times New Roman"/>
          <w:sz w:val="22"/>
          <w:szCs w:val="22"/>
        </w:rPr>
        <w:t>This table presents</w:t>
      </w:r>
      <w:r>
        <w:rPr>
          <w:rFonts w:ascii="Times New Roman" w:hAnsi="Times New Roman" w:cs="Times New Roman"/>
          <w:sz w:val="22"/>
          <w:szCs w:val="22"/>
        </w:rPr>
        <w:t xml:space="preserve"> the</w:t>
      </w:r>
      <w:r w:rsidRPr="003410DE">
        <w:rPr>
          <w:rFonts w:ascii="Times New Roman" w:hAnsi="Times New Roman" w:cs="Times New Roman"/>
          <w:sz w:val="22"/>
          <w:szCs w:val="22"/>
        </w:rPr>
        <w:t xml:space="preserve"> summary statistics of the sample</w:t>
      </w:r>
      <w:r>
        <w:rPr>
          <w:rFonts w:ascii="Times New Roman" w:hAnsi="Times New Roman" w:cs="Times New Roman"/>
          <w:sz w:val="22"/>
          <w:szCs w:val="22"/>
        </w:rPr>
        <w:t>’s</w:t>
      </w:r>
      <w:r w:rsidRPr="003410DE">
        <w:rPr>
          <w:rFonts w:ascii="Times New Roman" w:hAnsi="Times New Roman" w:cs="Times New Roman"/>
          <w:sz w:val="22"/>
          <w:szCs w:val="22"/>
        </w:rPr>
        <w:t xml:space="preserve"> cover</w:t>
      </w:r>
      <w:r>
        <w:rPr>
          <w:rFonts w:ascii="Times New Roman" w:hAnsi="Times New Roman" w:cs="Times New Roman"/>
          <w:sz w:val="22"/>
          <w:szCs w:val="22"/>
        </w:rPr>
        <w:t xml:space="preserve"> </w:t>
      </w:r>
      <w:r w:rsidRPr="003410DE">
        <w:rPr>
          <w:rFonts w:ascii="Times New Roman" w:hAnsi="Times New Roman" w:cs="Times New Roman"/>
          <w:sz w:val="22"/>
          <w:szCs w:val="22"/>
        </w:rPr>
        <w:t xml:space="preserve">period </w:t>
      </w:r>
      <w:r>
        <w:rPr>
          <w:rFonts w:ascii="Times New Roman" w:hAnsi="Times New Roman" w:cs="Times New Roman"/>
          <w:sz w:val="22"/>
          <w:szCs w:val="22"/>
        </w:rPr>
        <w:t>of</w:t>
      </w:r>
      <w:r w:rsidRPr="003410DE">
        <w:rPr>
          <w:rFonts w:ascii="Times New Roman" w:hAnsi="Times New Roman" w:cs="Times New Roman"/>
          <w:sz w:val="22"/>
          <w:szCs w:val="22"/>
        </w:rPr>
        <w:t xml:space="preserve"> 1975 to 2005. </w:t>
      </w:r>
      <w:r w:rsidRPr="0017025B">
        <w:rPr>
          <w:rFonts w:ascii="Times New Roman" w:hAnsi="Times New Roman" w:cs="Times New Roman"/>
          <w:i/>
          <w:sz w:val="22"/>
          <w:szCs w:val="22"/>
        </w:rPr>
        <w:t>ITH</w:t>
      </w:r>
      <w:r w:rsidRPr="003410DE">
        <w:rPr>
          <w:rFonts w:ascii="Times New Roman" w:hAnsi="Times New Roman" w:cs="Times New Roman"/>
          <w:sz w:val="22"/>
          <w:szCs w:val="22"/>
        </w:rPr>
        <w:t xml:space="preserve"> denotes the institutional ownership at the end of prior year (</w:t>
      </w:r>
      <w:r w:rsidRPr="00C4269E">
        <w:rPr>
          <w:rFonts w:ascii="Times New Roman" w:hAnsi="Times New Roman" w:cs="Times New Roman"/>
          <w:i/>
          <w:iCs/>
          <w:sz w:val="22"/>
          <w:szCs w:val="22"/>
        </w:rPr>
        <w:t>t</w:t>
      </w:r>
      <w:r w:rsidRPr="003410DE">
        <w:rPr>
          <w:rFonts w:ascii="Times New Roman" w:hAnsi="Times New Roman" w:cs="Times New Roman"/>
          <w:sz w:val="22"/>
          <w:szCs w:val="22"/>
        </w:rPr>
        <w:t>-1)</w:t>
      </w:r>
      <w:r>
        <w:rPr>
          <w:rFonts w:ascii="Times New Roman" w:hAnsi="Times New Roman" w:cs="Times New Roman"/>
          <w:sz w:val="22"/>
          <w:szCs w:val="22"/>
        </w:rPr>
        <w:t>, and</w:t>
      </w:r>
      <w:r w:rsidRPr="003410DE">
        <w:rPr>
          <w:rFonts w:ascii="Times New Roman" w:hAnsi="Times New Roman" w:cs="Times New Roman"/>
          <w:sz w:val="22"/>
          <w:szCs w:val="22"/>
        </w:rPr>
        <w:t xml:space="preserve"> </w:t>
      </w:r>
      <w:r w:rsidRPr="0017025B">
        <w:rPr>
          <w:rFonts w:ascii="Times New Roman" w:hAnsi="Times New Roman" w:cs="Times New Roman"/>
          <w:i/>
          <w:sz w:val="22"/>
          <w:szCs w:val="22"/>
        </w:rPr>
        <w:t>IND</w:t>
      </w:r>
      <w:r w:rsidRPr="003410DE">
        <w:rPr>
          <w:rFonts w:ascii="Times New Roman" w:hAnsi="Times New Roman" w:cs="Times New Roman"/>
          <w:sz w:val="22"/>
          <w:szCs w:val="22"/>
        </w:rPr>
        <w:t xml:space="preserve"> denotes the individual ownership at the end of prior year (</w:t>
      </w:r>
      <w:r w:rsidRPr="003410DE">
        <w:rPr>
          <w:rFonts w:ascii="Times New Roman" w:hAnsi="Times New Roman" w:cs="Times New Roman"/>
          <w:i/>
          <w:iCs/>
          <w:kern w:val="0"/>
          <w:sz w:val="22"/>
          <w:szCs w:val="22"/>
        </w:rPr>
        <w:t>t</w:t>
      </w:r>
      <w:r w:rsidRPr="003410DE">
        <w:rPr>
          <w:rFonts w:ascii="Times New Roman" w:hAnsi="Times New Roman" w:cs="Times New Roman"/>
          <w:sz w:val="22"/>
          <w:szCs w:val="22"/>
        </w:rPr>
        <w:t>-1). The book-to-market ratio (</w:t>
      </w:r>
      <w:r w:rsidRPr="00D5561B">
        <w:rPr>
          <w:rFonts w:ascii="Times New Roman" w:hAnsi="Times New Roman" w:cs="Times New Roman"/>
          <w:i/>
          <w:sz w:val="22"/>
          <w:szCs w:val="22"/>
        </w:rPr>
        <w:t>BE/ME</w:t>
      </w:r>
      <w:r w:rsidRPr="003410DE">
        <w:rPr>
          <w:rFonts w:ascii="Times New Roman" w:hAnsi="Times New Roman" w:cs="Times New Roman"/>
          <w:sz w:val="22"/>
          <w:szCs w:val="22"/>
        </w:rPr>
        <w:t xml:space="preserve">) is computed as </w:t>
      </w:r>
      <w:r w:rsidRPr="003410DE">
        <w:rPr>
          <w:rFonts w:ascii="Times New Roman" w:hAnsi="Times New Roman" w:cs="Times New Roman"/>
          <w:kern w:val="0"/>
          <w:sz w:val="22"/>
          <w:szCs w:val="22"/>
        </w:rPr>
        <w:t>the ratio of</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book value of equity of year t divided by the market value of equity at the end of March of year t. Market capitalization (</w:t>
      </w:r>
      <w:r w:rsidRPr="00D052B6">
        <w:rPr>
          <w:rFonts w:ascii="Times New Roman" w:hAnsi="Times New Roman" w:cs="Times New Roman"/>
          <w:i/>
          <w:kern w:val="0"/>
          <w:sz w:val="22"/>
          <w:szCs w:val="22"/>
        </w:rPr>
        <w:t>ME</w:t>
      </w:r>
      <w:r w:rsidRPr="003410DE">
        <w:rPr>
          <w:rFonts w:ascii="Times New Roman" w:hAnsi="Times New Roman" w:cs="Times New Roman"/>
          <w:kern w:val="0"/>
          <w:sz w:val="22"/>
          <w:szCs w:val="22"/>
        </w:rPr>
        <w:t>) is computed as</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market equity at the end of June in the calendar year </w:t>
      </w:r>
      <w:r w:rsidRPr="00C4269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w:t>
      </w:r>
      <w:r w:rsidRPr="0017025B">
        <w:rPr>
          <w:rFonts w:ascii="Times New Roman" w:hAnsi="Times New Roman" w:cs="Times New Roman"/>
          <w:i/>
          <w:sz w:val="22"/>
          <w:szCs w:val="22"/>
        </w:rPr>
        <w:t>DITH</w:t>
      </w:r>
      <w:r w:rsidRPr="003410DE">
        <w:rPr>
          <w:rFonts w:ascii="Times New Roman" w:hAnsi="Times New Roman" w:cs="Times New Roman"/>
          <w:sz w:val="22"/>
          <w:szCs w:val="22"/>
        </w:rPr>
        <w:t xml:space="preserve"> denotes</w:t>
      </w:r>
      <w:r>
        <w:rPr>
          <w:rFonts w:ascii="Times New Roman" w:hAnsi="Times New Roman" w:cs="Times New Roman"/>
          <w:sz w:val="22"/>
          <w:szCs w:val="22"/>
        </w:rPr>
        <w:t xml:space="preserve"> the</w:t>
      </w:r>
      <w:r w:rsidRPr="003410DE">
        <w:rPr>
          <w:rFonts w:ascii="Times New Roman" w:hAnsi="Times New Roman" w:cs="Times New Roman"/>
          <w:sz w:val="22"/>
          <w:szCs w:val="22"/>
        </w:rPr>
        <w:t xml:space="preserve"> changes in institutional </w:t>
      </w:r>
      <w:r>
        <w:rPr>
          <w:rFonts w:ascii="Times New Roman" w:hAnsi="Times New Roman" w:cs="Times New Roman"/>
          <w:sz w:val="22"/>
          <w:szCs w:val="22"/>
        </w:rPr>
        <w:t>ownership</w:t>
      </w:r>
      <w:r w:rsidRPr="003410DE">
        <w:rPr>
          <w:rFonts w:ascii="Times New Roman" w:hAnsi="Times New Roman" w:cs="Times New Roman"/>
          <w:sz w:val="22"/>
          <w:szCs w:val="22"/>
        </w:rPr>
        <w:t xml:space="preserve"> between </w:t>
      </w:r>
      <w:r>
        <w:rPr>
          <w:rFonts w:ascii="Times New Roman" w:hAnsi="Times New Roman" w:cs="Times New Roman"/>
          <w:sz w:val="22"/>
          <w:szCs w:val="22"/>
        </w:rPr>
        <w:t xml:space="preserve">fiscal </w:t>
      </w:r>
      <w:r w:rsidRPr="003410DE">
        <w:rPr>
          <w:rFonts w:ascii="Times New Roman" w:hAnsi="Times New Roman" w:cs="Times New Roman"/>
          <w:sz w:val="22"/>
          <w:szCs w:val="22"/>
        </w:rPr>
        <w:t>year</w:t>
      </w:r>
      <w:r>
        <w:rPr>
          <w:rFonts w:ascii="Times New Roman" w:hAnsi="Times New Roman" w:cs="Times New Roman"/>
          <w:sz w:val="22"/>
          <w:szCs w:val="22"/>
        </w:rPr>
        <w:t xml:space="preserve"> end of</w:t>
      </w:r>
      <w:r w:rsidRPr="003410DE">
        <w:rPr>
          <w:rFonts w:ascii="Times New Roman" w:hAnsi="Times New Roman" w:cs="Times New Roman"/>
          <w:sz w:val="22"/>
          <w:szCs w:val="22"/>
        </w:rPr>
        <w:t xml:space="preserve"> </w:t>
      </w:r>
      <w:r w:rsidRPr="00C4269E">
        <w:rPr>
          <w:rFonts w:ascii="Times New Roman" w:hAnsi="Times New Roman" w:cs="Times New Roman"/>
          <w:i/>
          <w:iCs/>
          <w:sz w:val="22"/>
          <w:szCs w:val="22"/>
        </w:rPr>
        <w:t>t</w:t>
      </w:r>
      <w:r w:rsidRPr="003410DE">
        <w:rPr>
          <w:rFonts w:ascii="Times New Roman" w:hAnsi="Times New Roman" w:cs="Times New Roman"/>
          <w:sz w:val="22"/>
          <w:szCs w:val="22"/>
        </w:rPr>
        <w:t>-</w:t>
      </w:r>
      <w:r>
        <w:rPr>
          <w:rFonts w:ascii="Times New Roman" w:hAnsi="Times New Roman" w:cs="Times New Roman"/>
          <w:sz w:val="22"/>
          <w:szCs w:val="22"/>
        </w:rPr>
        <w:t>2</w:t>
      </w:r>
      <w:r w:rsidRPr="003410DE">
        <w:rPr>
          <w:rFonts w:ascii="Times New Roman" w:hAnsi="Times New Roman" w:cs="Times New Roman"/>
          <w:sz w:val="22"/>
          <w:szCs w:val="22"/>
        </w:rPr>
        <w:t xml:space="preserve"> and </w:t>
      </w:r>
      <w:r>
        <w:rPr>
          <w:rFonts w:ascii="Times New Roman" w:hAnsi="Times New Roman" w:cs="Times New Roman"/>
          <w:sz w:val="22"/>
          <w:szCs w:val="22"/>
        </w:rPr>
        <w:t xml:space="preserve">fiscal </w:t>
      </w:r>
      <w:r w:rsidRPr="003410DE">
        <w:rPr>
          <w:rFonts w:ascii="Times New Roman" w:hAnsi="Times New Roman" w:cs="Times New Roman"/>
          <w:sz w:val="22"/>
          <w:szCs w:val="22"/>
        </w:rPr>
        <w:t>year</w:t>
      </w:r>
      <w:r>
        <w:rPr>
          <w:rFonts w:ascii="Times New Roman" w:hAnsi="Times New Roman" w:cs="Times New Roman"/>
          <w:sz w:val="22"/>
          <w:szCs w:val="22"/>
        </w:rPr>
        <w:t xml:space="preserve"> end of</w:t>
      </w:r>
      <w:r w:rsidRPr="003410DE">
        <w:rPr>
          <w:rFonts w:ascii="Times New Roman" w:hAnsi="Times New Roman" w:cs="Times New Roman"/>
          <w:sz w:val="22"/>
          <w:szCs w:val="22"/>
        </w:rPr>
        <w:t xml:space="preserve"> </w:t>
      </w:r>
      <w:r w:rsidRPr="00C4269E">
        <w:rPr>
          <w:rFonts w:ascii="Times New Roman" w:hAnsi="Times New Roman" w:cs="Times New Roman"/>
          <w:i/>
          <w:iCs/>
          <w:sz w:val="22"/>
          <w:szCs w:val="22"/>
        </w:rPr>
        <w:t>t</w:t>
      </w:r>
      <w:r w:rsidRPr="001E3703">
        <w:rPr>
          <w:rFonts w:ascii="Times New Roman" w:hAnsi="Times New Roman" w:cs="Times New Roman"/>
          <w:sz w:val="22"/>
          <w:szCs w:val="22"/>
        </w:rPr>
        <w:t>-1</w:t>
      </w:r>
      <w:r w:rsidRPr="003410DE">
        <w:rPr>
          <w:rFonts w:ascii="Times New Roman" w:hAnsi="Times New Roman" w:cs="Times New Roman"/>
          <w:sz w:val="22"/>
          <w:szCs w:val="22"/>
        </w:rPr>
        <w:t xml:space="preserve">, and </w:t>
      </w:r>
      <w:r w:rsidRPr="0017025B">
        <w:rPr>
          <w:rFonts w:ascii="Times New Roman" w:hAnsi="Times New Roman" w:cs="Times New Roman"/>
          <w:i/>
          <w:sz w:val="22"/>
          <w:szCs w:val="22"/>
        </w:rPr>
        <w:t>DIND</w:t>
      </w:r>
      <w:r w:rsidRPr="003410DE">
        <w:rPr>
          <w:rFonts w:ascii="Times New Roman" w:hAnsi="Times New Roman" w:cs="Times New Roman"/>
          <w:sz w:val="22"/>
          <w:szCs w:val="22"/>
        </w:rPr>
        <w:t xml:space="preserve"> denotes </w:t>
      </w:r>
      <w:r>
        <w:rPr>
          <w:rFonts w:ascii="Times New Roman" w:hAnsi="Times New Roman" w:cs="Times New Roman"/>
          <w:sz w:val="22"/>
          <w:szCs w:val="22"/>
        </w:rPr>
        <w:t xml:space="preserve">the </w:t>
      </w:r>
      <w:r w:rsidRPr="003410DE">
        <w:rPr>
          <w:rFonts w:ascii="Times New Roman" w:hAnsi="Times New Roman" w:cs="Times New Roman"/>
          <w:sz w:val="22"/>
          <w:szCs w:val="22"/>
        </w:rPr>
        <w:t xml:space="preserve">changes in individual </w:t>
      </w:r>
      <w:r>
        <w:rPr>
          <w:rFonts w:ascii="Times New Roman" w:hAnsi="Times New Roman" w:cs="Times New Roman"/>
          <w:sz w:val="22"/>
          <w:szCs w:val="22"/>
        </w:rPr>
        <w:t>ownership</w:t>
      </w:r>
      <w:r w:rsidRPr="003410DE">
        <w:rPr>
          <w:rFonts w:ascii="Times New Roman" w:hAnsi="Times New Roman" w:cs="Times New Roman"/>
          <w:sz w:val="22"/>
          <w:szCs w:val="22"/>
        </w:rPr>
        <w:t xml:space="preserve"> between </w:t>
      </w:r>
      <w:r>
        <w:rPr>
          <w:rFonts w:ascii="Times New Roman" w:hAnsi="Times New Roman" w:cs="Times New Roman"/>
          <w:sz w:val="22"/>
          <w:szCs w:val="22"/>
        </w:rPr>
        <w:t xml:space="preserve">fiscal </w:t>
      </w:r>
      <w:r w:rsidRPr="003410DE">
        <w:rPr>
          <w:rFonts w:ascii="Times New Roman" w:hAnsi="Times New Roman" w:cs="Times New Roman"/>
          <w:sz w:val="22"/>
          <w:szCs w:val="22"/>
        </w:rPr>
        <w:t>year</w:t>
      </w:r>
      <w:r>
        <w:rPr>
          <w:rFonts w:ascii="Times New Roman" w:hAnsi="Times New Roman" w:cs="Times New Roman"/>
          <w:sz w:val="22"/>
          <w:szCs w:val="22"/>
        </w:rPr>
        <w:t xml:space="preserve"> end of</w:t>
      </w:r>
      <w:r w:rsidRPr="003410DE">
        <w:rPr>
          <w:rFonts w:ascii="Times New Roman" w:hAnsi="Times New Roman" w:cs="Times New Roman"/>
          <w:sz w:val="22"/>
          <w:szCs w:val="22"/>
        </w:rPr>
        <w:t xml:space="preserve"> </w:t>
      </w:r>
      <w:r w:rsidRPr="00C4269E">
        <w:rPr>
          <w:rFonts w:ascii="Times New Roman" w:hAnsi="Times New Roman" w:cs="Times New Roman"/>
          <w:i/>
          <w:iCs/>
          <w:sz w:val="22"/>
          <w:szCs w:val="22"/>
        </w:rPr>
        <w:t>t</w:t>
      </w:r>
      <w:r w:rsidRPr="003410DE">
        <w:rPr>
          <w:rFonts w:ascii="Times New Roman" w:hAnsi="Times New Roman" w:cs="Times New Roman"/>
          <w:sz w:val="22"/>
          <w:szCs w:val="22"/>
        </w:rPr>
        <w:t>-</w:t>
      </w:r>
      <w:r>
        <w:rPr>
          <w:rFonts w:ascii="Times New Roman" w:hAnsi="Times New Roman" w:cs="Times New Roman"/>
          <w:sz w:val="22"/>
          <w:szCs w:val="22"/>
        </w:rPr>
        <w:t>2</w:t>
      </w:r>
      <w:r w:rsidRPr="003410DE">
        <w:rPr>
          <w:rFonts w:ascii="Times New Roman" w:hAnsi="Times New Roman" w:cs="Times New Roman"/>
          <w:sz w:val="22"/>
          <w:szCs w:val="22"/>
        </w:rPr>
        <w:t xml:space="preserve"> and </w:t>
      </w:r>
      <w:r>
        <w:rPr>
          <w:rFonts w:ascii="Times New Roman" w:hAnsi="Times New Roman" w:cs="Times New Roman"/>
          <w:sz w:val="22"/>
          <w:szCs w:val="22"/>
        </w:rPr>
        <w:t xml:space="preserve">fiscal </w:t>
      </w:r>
      <w:r w:rsidRPr="003410DE">
        <w:rPr>
          <w:rFonts w:ascii="Times New Roman" w:hAnsi="Times New Roman" w:cs="Times New Roman"/>
          <w:sz w:val="22"/>
          <w:szCs w:val="22"/>
        </w:rPr>
        <w:t>year</w:t>
      </w:r>
      <w:r>
        <w:rPr>
          <w:rFonts w:ascii="Times New Roman" w:hAnsi="Times New Roman" w:cs="Times New Roman"/>
          <w:sz w:val="22"/>
          <w:szCs w:val="22"/>
        </w:rPr>
        <w:t xml:space="preserve"> end of</w:t>
      </w:r>
      <w:r w:rsidRPr="003410DE">
        <w:rPr>
          <w:rFonts w:ascii="Times New Roman" w:hAnsi="Times New Roman" w:cs="Times New Roman"/>
          <w:sz w:val="22"/>
          <w:szCs w:val="22"/>
        </w:rPr>
        <w:t xml:space="preserve"> </w:t>
      </w:r>
      <w:r w:rsidRPr="00C4269E">
        <w:rPr>
          <w:rFonts w:ascii="Times New Roman" w:hAnsi="Times New Roman" w:cs="Times New Roman"/>
          <w:i/>
          <w:iCs/>
          <w:sz w:val="22"/>
          <w:szCs w:val="22"/>
        </w:rPr>
        <w:t>t</w:t>
      </w:r>
      <w:r w:rsidRPr="001E3703">
        <w:rPr>
          <w:rFonts w:ascii="Times New Roman" w:hAnsi="Times New Roman" w:cs="Times New Roman"/>
          <w:sz w:val="22"/>
          <w:szCs w:val="22"/>
        </w:rPr>
        <w:t>-1</w:t>
      </w:r>
      <w:r w:rsidRPr="003410DE">
        <w:rPr>
          <w:rFonts w:ascii="Times New Roman" w:hAnsi="Times New Roman" w:cs="Times New Roman"/>
          <w:sz w:val="22"/>
          <w:szCs w:val="22"/>
        </w:rPr>
        <w:t xml:space="preserve">. Adjusted change in institutional </w:t>
      </w:r>
      <w:r>
        <w:rPr>
          <w:rFonts w:ascii="Times New Roman" w:hAnsi="Times New Roman" w:cs="Times New Roman"/>
          <w:sz w:val="22"/>
          <w:szCs w:val="22"/>
        </w:rPr>
        <w:t>ownership</w:t>
      </w:r>
      <w:r w:rsidRPr="003410DE">
        <w:rPr>
          <w:rFonts w:ascii="Times New Roman" w:hAnsi="Times New Roman" w:cs="Times New Roman"/>
          <w:sz w:val="22"/>
          <w:szCs w:val="22"/>
        </w:rPr>
        <w:t xml:space="preserve"> (</w:t>
      </w:r>
      <w:r w:rsidRPr="00D5561B">
        <w:rPr>
          <w:rFonts w:ascii="Times New Roman" w:hAnsi="Times New Roman" w:cs="Times New Roman"/>
          <w:i/>
          <w:sz w:val="22"/>
          <w:szCs w:val="22"/>
        </w:rPr>
        <w:t>AdjD</w:t>
      </w:r>
      <w:r w:rsidRPr="0017025B">
        <w:rPr>
          <w:rFonts w:ascii="Times New Roman" w:hAnsi="Times New Roman" w:cs="Times New Roman"/>
          <w:i/>
          <w:sz w:val="22"/>
          <w:szCs w:val="22"/>
        </w:rPr>
        <w:t>ITH</w:t>
      </w:r>
      <w:r w:rsidRPr="003410DE">
        <w:rPr>
          <w:rFonts w:ascii="Times New Roman" w:hAnsi="Times New Roman" w:cs="Times New Roman"/>
          <w:sz w:val="22"/>
          <w:szCs w:val="22"/>
        </w:rPr>
        <w:t xml:space="preserve">) is defined as </w:t>
      </w:r>
      <w:r w:rsidRPr="0017025B">
        <w:rPr>
          <w:rFonts w:ascii="Times New Roman" w:hAnsi="Times New Roman" w:cs="Times New Roman"/>
          <w:i/>
          <w:sz w:val="22"/>
          <w:szCs w:val="22"/>
        </w:rPr>
        <w:t>DITH</w:t>
      </w:r>
      <w:r w:rsidRPr="003410DE">
        <w:rPr>
          <w:rFonts w:ascii="Times New Roman" w:hAnsi="Times New Roman" w:cs="Times New Roman"/>
          <w:sz w:val="22"/>
          <w:szCs w:val="22"/>
        </w:rPr>
        <w:t xml:space="preserve"> subtract</w:t>
      </w:r>
      <w:r>
        <w:rPr>
          <w:rFonts w:ascii="Times New Roman" w:hAnsi="Times New Roman" w:cs="Times New Roman"/>
          <w:sz w:val="22"/>
          <w:szCs w:val="22"/>
        </w:rPr>
        <w:t>ed from the</w:t>
      </w:r>
      <w:r w:rsidRPr="003410DE">
        <w:rPr>
          <w:rFonts w:ascii="Times New Roman" w:hAnsi="Times New Roman" w:cs="Times New Roman"/>
          <w:sz w:val="22"/>
          <w:szCs w:val="22"/>
        </w:rPr>
        <w:t xml:space="preserve"> median value of industry </w:t>
      </w:r>
      <w:r w:rsidRPr="0017025B">
        <w:rPr>
          <w:rFonts w:ascii="Times New Roman" w:hAnsi="Times New Roman" w:cs="Times New Roman"/>
          <w:i/>
          <w:sz w:val="22"/>
          <w:szCs w:val="22"/>
        </w:rPr>
        <w:t>DITH</w:t>
      </w:r>
      <w:r w:rsidRPr="003410DE">
        <w:rPr>
          <w:rFonts w:ascii="Times New Roman" w:hAnsi="Times New Roman" w:cs="Times New Roman"/>
          <w:sz w:val="22"/>
          <w:szCs w:val="22"/>
        </w:rPr>
        <w:t xml:space="preserve">, where industry </w:t>
      </w:r>
      <w:r w:rsidRPr="00EC3483">
        <w:rPr>
          <w:rFonts w:ascii="Times New Roman" w:hAnsi="Times New Roman" w:cs="Times New Roman"/>
          <w:i/>
          <w:sz w:val="22"/>
          <w:szCs w:val="22"/>
        </w:rPr>
        <w:t>DITH</w:t>
      </w:r>
      <w:r w:rsidRPr="003410DE">
        <w:rPr>
          <w:rFonts w:ascii="Times New Roman" w:hAnsi="Times New Roman" w:cs="Times New Roman"/>
          <w:sz w:val="22"/>
          <w:szCs w:val="22"/>
        </w:rPr>
        <w:t xml:space="preserve"> is measured by</w:t>
      </w:r>
      <w:r>
        <w:rPr>
          <w:rFonts w:ascii="Times New Roman" w:hAnsi="Times New Roman" w:cs="Times New Roman"/>
          <w:sz w:val="22"/>
          <w:szCs w:val="22"/>
        </w:rPr>
        <w:t xml:space="preserve"> the</w:t>
      </w:r>
      <w:r w:rsidRPr="003410DE">
        <w:rPr>
          <w:rFonts w:ascii="Times New Roman" w:hAnsi="Times New Roman" w:cs="Times New Roman"/>
          <w:sz w:val="22"/>
          <w:szCs w:val="22"/>
        </w:rPr>
        <w:t xml:space="preserve"> two-digits SIC industry. Adjusted change in individual </w:t>
      </w:r>
      <w:r>
        <w:rPr>
          <w:rFonts w:ascii="Times New Roman" w:hAnsi="Times New Roman" w:cs="Times New Roman"/>
          <w:sz w:val="22"/>
          <w:szCs w:val="22"/>
        </w:rPr>
        <w:t>ownership</w:t>
      </w:r>
      <w:r w:rsidRPr="003410DE">
        <w:rPr>
          <w:rFonts w:ascii="Times New Roman" w:hAnsi="Times New Roman" w:cs="Times New Roman"/>
          <w:sz w:val="22"/>
          <w:szCs w:val="22"/>
        </w:rPr>
        <w:t xml:space="preserve"> (</w:t>
      </w:r>
      <w:r w:rsidRPr="00D5561B">
        <w:rPr>
          <w:rFonts w:ascii="Times New Roman" w:hAnsi="Times New Roman" w:cs="Times New Roman"/>
          <w:i/>
          <w:sz w:val="22"/>
          <w:szCs w:val="22"/>
        </w:rPr>
        <w:t>AdjDIND</w:t>
      </w:r>
      <w:r w:rsidRPr="003410DE">
        <w:rPr>
          <w:rFonts w:ascii="Times New Roman" w:hAnsi="Times New Roman" w:cs="Times New Roman"/>
          <w:sz w:val="22"/>
          <w:szCs w:val="22"/>
        </w:rPr>
        <w:t>) is defined similarly. Panel A reports</w:t>
      </w:r>
      <w:r>
        <w:rPr>
          <w:rFonts w:ascii="Times New Roman" w:hAnsi="Times New Roman" w:cs="Times New Roman"/>
          <w:sz w:val="22"/>
          <w:szCs w:val="22"/>
        </w:rPr>
        <w:t xml:space="preserve"> the</w:t>
      </w:r>
      <w:r w:rsidRPr="003410DE">
        <w:rPr>
          <w:rFonts w:ascii="Times New Roman" w:hAnsi="Times New Roman" w:cs="Times New Roman"/>
          <w:sz w:val="22"/>
          <w:szCs w:val="22"/>
        </w:rPr>
        <w:t xml:space="preserve"> summary statistics of</w:t>
      </w:r>
      <w:r>
        <w:rPr>
          <w:rFonts w:ascii="Times New Roman" w:hAnsi="Times New Roman" w:cs="Times New Roman"/>
          <w:sz w:val="22"/>
          <w:szCs w:val="22"/>
        </w:rPr>
        <w:t xml:space="preserve"> the</w:t>
      </w:r>
      <w:r w:rsidRPr="003410DE">
        <w:rPr>
          <w:rFonts w:ascii="Times New Roman" w:hAnsi="Times New Roman" w:cs="Times New Roman"/>
          <w:sz w:val="22"/>
          <w:szCs w:val="22"/>
        </w:rPr>
        <w:t xml:space="preserve"> sample, and Panel B provides</w:t>
      </w:r>
      <w:r>
        <w:rPr>
          <w:rFonts w:ascii="Times New Roman" w:hAnsi="Times New Roman" w:cs="Times New Roman"/>
          <w:sz w:val="22"/>
          <w:szCs w:val="22"/>
        </w:rPr>
        <w:t xml:space="preserve"> the</w:t>
      </w:r>
      <w:r w:rsidRPr="003410DE">
        <w:rPr>
          <w:rFonts w:ascii="Times New Roman" w:hAnsi="Times New Roman" w:cs="Times New Roman"/>
          <w:sz w:val="22"/>
          <w:szCs w:val="22"/>
        </w:rPr>
        <w:t xml:space="preserve"> Person correlation coefficients </w:t>
      </w:r>
      <w:r>
        <w:rPr>
          <w:rFonts w:ascii="Times New Roman" w:hAnsi="Times New Roman" w:cs="Times New Roman"/>
          <w:sz w:val="22"/>
          <w:szCs w:val="22"/>
        </w:rPr>
        <w:t>of the</w:t>
      </w:r>
      <w:r w:rsidRPr="003410DE">
        <w:rPr>
          <w:rFonts w:ascii="Times New Roman" w:hAnsi="Times New Roman" w:cs="Times New Roman"/>
          <w:sz w:val="22"/>
          <w:szCs w:val="22"/>
        </w:rPr>
        <w:t xml:space="preserve"> variables. </w:t>
      </w:r>
    </w:p>
    <w:p w:rsidR="00523FB7" w:rsidRPr="003410DE" w:rsidRDefault="00523FB7" w:rsidP="00B07CA5">
      <w:pPr>
        <w:snapToGrid w:val="0"/>
        <w:jc w:val="both"/>
        <w:rPr>
          <w:rFonts w:ascii="Times New Roman" w:hAnsi="Times New Roman" w:cs="Times New Roman"/>
          <w:sz w:val="22"/>
          <w:szCs w:val="22"/>
        </w:rPr>
      </w:pPr>
    </w:p>
    <w:tbl>
      <w:tblPr>
        <w:tblW w:w="9010" w:type="dxa"/>
        <w:jc w:val="center"/>
        <w:tblCellMar>
          <w:left w:w="0" w:type="dxa"/>
          <w:right w:w="0" w:type="dxa"/>
        </w:tblCellMar>
        <w:tblLook w:val="00A0"/>
      </w:tblPr>
      <w:tblGrid>
        <w:gridCol w:w="1738"/>
        <w:gridCol w:w="1085"/>
        <w:gridCol w:w="1103"/>
        <w:gridCol w:w="853"/>
        <w:gridCol w:w="969"/>
        <w:gridCol w:w="1016"/>
        <w:gridCol w:w="1152"/>
        <w:gridCol w:w="1094"/>
      </w:tblGrid>
      <w:tr w:rsidR="00523FB7" w:rsidRPr="00740526">
        <w:trPr>
          <w:trHeight w:val="315"/>
          <w:jc w:val="center"/>
        </w:trPr>
        <w:tc>
          <w:tcPr>
            <w:tcW w:w="9010" w:type="dxa"/>
            <w:gridSpan w:val="8"/>
            <w:tcBorders>
              <w:top w:val="double" w:sz="4" w:space="0" w:color="auto"/>
              <w:left w:val="nil"/>
              <w:bottom w:val="nil"/>
              <w:right w:val="nil"/>
            </w:tcBorders>
            <w:noWrap/>
            <w:tcMar>
              <w:top w:w="15" w:type="dxa"/>
              <w:left w:w="15" w:type="dxa"/>
              <w:bottom w:w="0" w:type="dxa"/>
              <w:right w:w="15" w:type="dxa"/>
            </w:tcMar>
            <w:vAlign w:val="center"/>
          </w:tcPr>
          <w:p w:rsidR="00523FB7" w:rsidRPr="00740526" w:rsidRDefault="00523FB7" w:rsidP="0062719E">
            <w:pPr>
              <w:rPr>
                <w:rFonts w:ascii="Times New Roman" w:hAnsi="Times New Roman" w:cs="Times New Roman"/>
                <w:b/>
                <w:sz w:val="20"/>
                <w:szCs w:val="20"/>
              </w:rPr>
            </w:pPr>
            <w:r w:rsidRPr="00740526">
              <w:rPr>
                <w:rFonts w:ascii="Times New Roman" w:hAnsi="Times New Roman" w:cs="Times New Roman"/>
                <w:b/>
                <w:sz w:val="20"/>
                <w:szCs w:val="20"/>
              </w:rPr>
              <w:t>Panel A. Descriptive Statistics of the Test Variables</w:t>
            </w:r>
          </w:p>
        </w:tc>
      </w:tr>
      <w:tr w:rsidR="00523FB7" w:rsidRPr="00740526" w:rsidTr="0062719E">
        <w:trPr>
          <w:trHeight w:val="315"/>
          <w:jc w:val="center"/>
        </w:trPr>
        <w:tc>
          <w:tcPr>
            <w:tcW w:w="0" w:type="auto"/>
            <w:tcBorders>
              <w:top w:val="nil"/>
              <w:left w:val="nil"/>
              <w:bottom w:val="single" w:sz="4" w:space="0" w:color="auto"/>
              <w:right w:val="nil"/>
            </w:tcBorders>
            <w:noWrap/>
            <w:tcMar>
              <w:top w:w="15" w:type="dxa"/>
              <w:left w:w="15" w:type="dxa"/>
              <w:bottom w:w="0" w:type="dxa"/>
              <w:right w:w="15" w:type="dxa"/>
            </w:tcMar>
            <w:vAlign w:val="center"/>
          </w:tcPr>
          <w:p w:rsidR="00523FB7" w:rsidRPr="00740526" w:rsidRDefault="00523FB7" w:rsidP="0062719E">
            <w:pPr>
              <w:rPr>
                <w:rFonts w:ascii="Times New Roman" w:hAnsi="Times New Roman" w:cs="Times New Roman"/>
                <w:sz w:val="20"/>
                <w:szCs w:val="20"/>
              </w:rPr>
            </w:pPr>
            <w:r w:rsidRPr="00740526">
              <w:rPr>
                <w:rFonts w:ascii="Times New Roman" w:hAnsi="Times New Roman" w:cs="Times New Roman"/>
                <w:sz w:val="20"/>
                <w:szCs w:val="20"/>
              </w:rPr>
              <w:t>Variable</w:t>
            </w:r>
          </w:p>
        </w:tc>
        <w:tc>
          <w:tcPr>
            <w:tcW w:w="1098" w:type="dxa"/>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Mean</w:t>
            </w:r>
          </w:p>
        </w:tc>
        <w:tc>
          <w:tcPr>
            <w:tcW w:w="1107" w:type="dxa"/>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Std Dev</w:t>
            </w:r>
          </w:p>
        </w:tc>
        <w:tc>
          <w:tcPr>
            <w:tcW w:w="978" w:type="dxa"/>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P5</w:t>
            </w:r>
          </w:p>
        </w:tc>
        <w:tc>
          <w:tcPr>
            <w:tcW w:w="1038" w:type="dxa"/>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P25</w:t>
            </w:r>
          </w:p>
        </w:tc>
        <w:tc>
          <w:tcPr>
            <w:tcW w:w="1114" w:type="dxa"/>
            <w:tcBorders>
              <w:top w:val="nil"/>
              <w:left w:val="nil"/>
              <w:bottom w:val="single" w:sz="4" w:space="0" w:color="auto"/>
              <w:right w:val="nil"/>
            </w:tcBorders>
            <w:tcMar>
              <w:top w:w="15" w:type="dxa"/>
              <w:left w:w="15" w:type="dxa"/>
              <w:bottom w:w="0" w:type="dxa"/>
              <w:right w:w="225" w:type="dxa"/>
            </w:tcMar>
            <w:vAlign w:val="center"/>
          </w:tcPr>
          <w:p w:rsidR="00523FB7" w:rsidRPr="00740526" w:rsidRDefault="00523FB7" w:rsidP="003132FD">
            <w:pPr>
              <w:ind w:rightChars="-89" w:right="-214"/>
              <w:jc w:val="right"/>
              <w:rPr>
                <w:rFonts w:ascii="Times New Roman" w:hAnsi="Times New Roman" w:cs="Times New Roman"/>
                <w:sz w:val="20"/>
                <w:szCs w:val="20"/>
              </w:rPr>
            </w:pPr>
            <w:r w:rsidRPr="00740526">
              <w:rPr>
                <w:rFonts w:ascii="Times New Roman" w:hAnsi="Times New Roman" w:cs="Times New Roman"/>
                <w:sz w:val="20"/>
                <w:szCs w:val="20"/>
              </w:rPr>
              <w:t>P50</w:t>
            </w:r>
          </w:p>
        </w:tc>
        <w:tc>
          <w:tcPr>
            <w:tcW w:w="973" w:type="dxa"/>
            <w:tcBorders>
              <w:top w:val="nil"/>
              <w:left w:val="nil"/>
              <w:bottom w:val="single" w:sz="4" w:space="0" w:color="auto"/>
              <w:right w:val="nil"/>
            </w:tcBorders>
            <w:tcMar>
              <w:top w:w="15" w:type="dxa"/>
              <w:left w:w="15" w:type="dxa"/>
              <w:bottom w:w="0" w:type="dxa"/>
              <w:right w:w="15" w:type="dxa"/>
            </w:tcMar>
            <w:vAlign w:val="bottom"/>
          </w:tcPr>
          <w:p w:rsidR="00523FB7" w:rsidRPr="00740526" w:rsidRDefault="00523FB7" w:rsidP="003132FD">
            <w:pPr>
              <w:ind w:firstLineChars="100" w:firstLine="200"/>
              <w:jc w:val="right"/>
              <w:rPr>
                <w:rFonts w:ascii="Times New Roman" w:hAnsi="Times New Roman" w:cs="Times New Roman"/>
                <w:bCs/>
                <w:color w:val="000000"/>
                <w:sz w:val="20"/>
                <w:szCs w:val="20"/>
              </w:rPr>
            </w:pPr>
            <w:r w:rsidRPr="00740526">
              <w:rPr>
                <w:rFonts w:ascii="Times New Roman" w:hAnsi="Times New Roman" w:cs="Times New Roman"/>
                <w:bCs/>
                <w:color w:val="000000"/>
                <w:sz w:val="20"/>
                <w:szCs w:val="20"/>
              </w:rPr>
              <w:t>P75</w:t>
            </w:r>
          </w:p>
        </w:tc>
        <w:tc>
          <w:tcPr>
            <w:tcW w:w="1081" w:type="dxa"/>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P95</w:t>
            </w:r>
          </w:p>
        </w:tc>
      </w:tr>
      <w:tr w:rsidR="00523FB7" w:rsidRPr="00740526" w:rsidTr="0062719E">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523FB7" w:rsidRPr="00740526" w:rsidRDefault="00523FB7" w:rsidP="00C91F8D">
            <w:pPr>
              <w:rPr>
                <w:rFonts w:ascii="Times New Roman" w:hAnsi="Times New Roman" w:cs="Times New Roman"/>
                <w:i/>
                <w:sz w:val="20"/>
                <w:szCs w:val="20"/>
              </w:rPr>
            </w:pPr>
            <w:r w:rsidRPr="00740526">
              <w:rPr>
                <w:rFonts w:ascii="Times New Roman" w:hAnsi="Times New Roman" w:cs="Times New Roman"/>
                <w:i/>
                <w:sz w:val="20"/>
                <w:szCs w:val="20"/>
              </w:rPr>
              <w:t xml:space="preserve">BE/ME       </w:t>
            </w:r>
          </w:p>
        </w:tc>
        <w:tc>
          <w:tcPr>
            <w:tcW w:w="109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0.68</w:t>
            </w:r>
          </w:p>
        </w:tc>
        <w:tc>
          <w:tcPr>
            <w:tcW w:w="1107"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0.53</w:t>
            </w:r>
          </w:p>
        </w:tc>
        <w:tc>
          <w:tcPr>
            <w:tcW w:w="97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0.15</w:t>
            </w:r>
          </w:p>
        </w:tc>
        <w:tc>
          <w:tcPr>
            <w:tcW w:w="103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0.34</w:t>
            </w:r>
          </w:p>
        </w:tc>
        <w:tc>
          <w:tcPr>
            <w:tcW w:w="1114" w:type="dxa"/>
            <w:tcBorders>
              <w:top w:val="nil"/>
              <w:left w:val="nil"/>
              <w:bottom w:val="nil"/>
              <w:right w:val="nil"/>
            </w:tcBorders>
            <w:tcMar>
              <w:top w:w="15" w:type="dxa"/>
              <w:left w:w="15" w:type="dxa"/>
              <w:bottom w:w="0" w:type="dxa"/>
              <w:right w:w="225" w:type="dxa"/>
            </w:tcMar>
            <w:vAlign w:val="center"/>
          </w:tcPr>
          <w:p w:rsidR="00523FB7" w:rsidRPr="00740526" w:rsidRDefault="00523FB7" w:rsidP="003132FD">
            <w:pPr>
              <w:ind w:rightChars="-83" w:right="-199"/>
              <w:jc w:val="right"/>
              <w:rPr>
                <w:rFonts w:ascii="Times New Roman" w:hAnsi="Times New Roman" w:cs="Times New Roman"/>
                <w:sz w:val="20"/>
                <w:szCs w:val="20"/>
              </w:rPr>
            </w:pPr>
            <w:r w:rsidRPr="00740526">
              <w:rPr>
                <w:rFonts w:ascii="Times New Roman" w:hAnsi="Times New Roman" w:cs="Times New Roman"/>
                <w:sz w:val="20"/>
                <w:szCs w:val="20"/>
              </w:rPr>
              <w:t>0.53</w:t>
            </w:r>
          </w:p>
        </w:tc>
        <w:tc>
          <w:tcPr>
            <w:tcW w:w="973" w:type="dxa"/>
            <w:tcBorders>
              <w:top w:val="nil"/>
              <w:left w:val="nil"/>
              <w:bottom w:val="nil"/>
              <w:right w:val="nil"/>
            </w:tcBorders>
            <w:tcMar>
              <w:top w:w="15" w:type="dxa"/>
              <w:left w:w="15" w:type="dxa"/>
              <w:bottom w:w="0" w:type="dxa"/>
              <w:right w:w="15" w:type="dxa"/>
            </w:tcMar>
            <w:vAlign w:val="center"/>
          </w:tcPr>
          <w:p w:rsidR="00523FB7" w:rsidRPr="00740526" w:rsidRDefault="00523FB7" w:rsidP="003132FD">
            <w:pPr>
              <w:ind w:firstLineChars="100" w:firstLine="20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0.81 </w:t>
            </w:r>
          </w:p>
        </w:tc>
        <w:tc>
          <w:tcPr>
            <w:tcW w:w="1081"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1.79</w:t>
            </w:r>
          </w:p>
        </w:tc>
      </w:tr>
      <w:tr w:rsidR="00523FB7" w:rsidRPr="00740526" w:rsidTr="0062719E">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523FB7" w:rsidRPr="00740526" w:rsidRDefault="00523FB7" w:rsidP="0062719E">
            <w:pPr>
              <w:rPr>
                <w:rFonts w:ascii="Times New Roman" w:hAnsi="Times New Roman" w:cs="Times New Roman"/>
                <w:i/>
                <w:sz w:val="20"/>
                <w:szCs w:val="20"/>
              </w:rPr>
            </w:pPr>
            <w:r w:rsidRPr="00740526">
              <w:rPr>
                <w:rFonts w:ascii="Times New Roman" w:hAnsi="Times New Roman" w:cs="Times New Roman"/>
                <w:i/>
                <w:sz w:val="20"/>
                <w:szCs w:val="20"/>
              </w:rPr>
              <w:t xml:space="preserve">ME </w:t>
            </w:r>
            <w:r w:rsidRPr="00740526">
              <w:rPr>
                <w:rFonts w:ascii="Times New Roman" w:hAnsi="Times New Roman" w:cs="Times New Roman"/>
                <w:sz w:val="20"/>
                <w:szCs w:val="20"/>
              </w:rPr>
              <w:t>($millions)</w:t>
            </w:r>
            <w:r w:rsidRPr="00740526">
              <w:rPr>
                <w:rFonts w:ascii="Times New Roman" w:hAnsi="Times New Roman" w:cs="Times New Roman"/>
                <w:i/>
                <w:sz w:val="20"/>
                <w:szCs w:val="20"/>
              </w:rPr>
              <w:t xml:space="preserve">       </w:t>
            </w:r>
          </w:p>
        </w:tc>
        <w:tc>
          <w:tcPr>
            <w:tcW w:w="109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111,558</w:t>
            </w:r>
          </w:p>
        </w:tc>
        <w:tc>
          <w:tcPr>
            <w:tcW w:w="1107"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233,535</w:t>
            </w:r>
          </w:p>
        </w:tc>
        <w:tc>
          <w:tcPr>
            <w:tcW w:w="97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3,024</w:t>
            </w:r>
          </w:p>
        </w:tc>
        <w:tc>
          <w:tcPr>
            <w:tcW w:w="103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11,492</w:t>
            </w:r>
          </w:p>
        </w:tc>
        <w:tc>
          <w:tcPr>
            <w:tcW w:w="1114" w:type="dxa"/>
            <w:tcBorders>
              <w:top w:val="nil"/>
              <w:left w:val="nil"/>
              <w:bottom w:val="nil"/>
              <w:right w:val="nil"/>
            </w:tcBorders>
            <w:tcMar>
              <w:top w:w="15" w:type="dxa"/>
              <w:left w:w="15" w:type="dxa"/>
              <w:bottom w:w="0" w:type="dxa"/>
              <w:right w:w="225" w:type="dxa"/>
            </w:tcMar>
            <w:vAlign w:val="center"/>
          </w:tcPr>
          <w:p w:rsidR="00523FB7" w:rsidRPr="00740526" w:rsidRDefault="00523FB7" w:rsidP="003132FD">
            <w:pPr>
              <w:ind w:rightChars="-83" w:right="-199"/>
              <w:jc w:val="right"/>
              <w:rPr>
                <w:rFonts w:ascii="Times New Roman" w:hAnsi="Times New Roman" w:cs="Times New Roman"/>
                <w:sz w:val="20"/>
                <w:szCs w:val="20"/>
              </w:rPr>
            </w:pPr>
            <w:r w:rsidRPr="00740526">
              <w:rPr>
                <w:rFonts w:ascii="Times New Roman" w:hAnsi="Times New Roman" w:cs="Times New Roman"/>
                <w:sz w:val="20"/>
                <w:szCs w:val="20"/>
              </w:rPr>
              <w:t>31,450</w:t>
            </w:r>
          </w:p>
        </w:tc>
        <w:tc>
          <w:tcPr>
            <w:tcW w:w="973" w:type="dxa"/>
            <w:tcBorders>
              <w:top w:val="nil"/>
              <w:left w:val="nil"/>
              <w:bottom w:val="nil"/>
              <w:right w:val="nil"/>
            </w:tcBorders>
            <w:tcMar>
              <w:top w:w="15" w:type="dxa"/>
              <w:left w:w="15" w:type="dxa"/>
              <w:bottom w:w="0" w:type="dxa"/>
              <w:right w:w="15" w:type="dxa"/>
            </w:tcMar>
            <w:vAlign w:val="bottom"/>
          </w:tcPr>
          <w:p w:rsidR="00523FB7" w:rsidRPr="00740526" w:rsidRDefault="00523FB7" w:rsidP="003132FD">
            <w:pPr>
              <w:ind w:firstLineChars="100" w:firstLine="20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93,915 </w:t>
            </w:r>
          </w:p>
        </w:tc>
        <w:tc>
          <w:tcPr>
            <w:tcW w:w="1081"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514,387</w:t>
            </w:r>
          </w:p>
        </w:tc>
      </w:tr>
      <w:tr w:rsidR="00523FB7" w:rsidRPr="00740526" w:rsidTr="0062719E">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523FB7" w:rsidRPr="00740526" w:rsidRDefault="00523FB7" w:rsidP="0062719E">
            <w:pPr>
              <w:rPr>
                <w:rFonts w:ascii="Times New Roman" w:hAnsi="Times New Roman" w:cs="Times New Roman"/>
                <w:i/>
                <w:sz w:val="20"/>
                <w:szCs w:val="20"/>
              </w:rPr>
            </w:pPr>
            <w:r w:rsidRPr="00740526">
              <w:rPr>
                <w:rFonts w:ascii="Times New Roman" w:hAnsi="Times New Roman" w:cs="Times New Roman"/>
                <w:i/>
                <w:sz w:val="20"/>
                <w:szCs w:val="20"/>
              </w:rPr>
              <w:t>ITH</w:t>
            </w:r>
            <w:r w:rsidRPr="00740526">
              <w:rPr>
                <w:rFonts w:ascii="Times New Roman" w:hAnsi="Times New Roman" w:cs="Times New Roman"/>
                <w:sz w:val="20"/>
                <w:szCs w:val="20"/>
              </w:rPr>
              <w:t xml:space="preserve"> (%)   </w:t>
            </w:r>
            <w:r w:rsidRPr="00740526">
              <w:rPr>
                <w:rFonts w:ascii="Times New Roman" w:hAnsi="Times New Roman" w:cs="Times New Roman"/>
                <w:i/>
                <w:sz w:val="20"/>
                <w:szCs w:val="20"/>
              </w:rPr>
              <w:t xml:space="preserve">  </w:t>
            </w:r>
          </w:p>
        </w:tc>
        <w:tc>
          <w:tcPr>
            <w:tcW w:w="109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61.96</w:t>
            </w:r>
          </w:p>
        </w:tc>
        <w:tc>
          <w:tcPr>
            <w:tcW w:w="1107"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15.09</w:t>
            </w:r>
          </w:p>
        </w:tc>
        <w:tc>
          <w:tcPr>
            <w:tcW w:w="97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33.03</w:t>
            </w:r>
          </w:p>
        </w:tc>
        <w:tc>
          <w:tcPr>
            <w:tcW w:w="103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52.97</w:t>
            </w:r>
          </w:p>
        </w:tc>
        <w:tc>
          <w:tcPr>
            <w:tcW w:w="1114" w:type="dxa"/>
            <w:tcBorders>
              <w:top w:val="nil"/>
              <w:left w:val="nil"/>
              <w:bottom w:val="nil"/>
              <w:right w:val="nil"/>
            </w:tcBorders>
            <w:tcMar>
              <w:top w:w="15" w:type="dxa"/>
              <w:left w:w="15" w:type="dxa"/>
              <w:bottom w:w="0" w:type="dxa"/>
              <w:right w:w="225" w:type="dxa"/>
            </w:tcMar>
            <w:vAlign w:val="center"/>
          </w:tcPr>
          <w:p w:rsidR="00523FB7" w:rsidRPr="00740526" w:rsidRDefault="00523FB7" w:rsidP="003132FD">
            <w:pPr>
              <w:ind w:rightChars="-83" w:right="-199"/>
              <w:jc w:val="right"/>
              <w:rPr>
                <w:rFonts w:ascii="Times New Roman" w:hAnsi="Times New Roman" w:cs="Times New Roman"/>
                <w:sz w:val="20"/>
                <w:szCs w:val="20"/>
              </w:rPr>
            </w:pPr>
            <w:r w:rsidRPr="00740526">
              <w:rPr>
                <w:rFonts w:ascii="Times New Roman" w:hAnsi="Times New Roman" w:cs="Times New Roman"/>
                <w:sz w:val="20"/>
                <w:szCs w:val="20"/>
              </w:rPr>
              <w:t>63.97</w:t>
            </w:r>
          </w:p>
        </w:tc>
        <w:tc>
          <w:tcPr>
            <w:tcW w:w="973" w:type="dxa"/>
            <w:tcBorders>
              <w:top w:val="nil"/>
              <w:left w:val="nil"/>
              <w:bottom w:val="nil"/>
              <w:right w:val="nil"/>
            </w:tcBorders>
            <w:tcMar>
              <w:top w:w="15" w:type="dxa"/>
              <w:left w:w="15" w:type="dxa"/>
              <w:bottom w:w="0" w:type="dxa"/>
              <w:right w:w="15" w:type="dxa"/>
            </w:tcMar>
            <w:vAlign w:val="bottom"/>
          </w:tcPr>
          <w:p w:rsidR="00523FB7" w:rsidRPr="00740526" w:rsidRDefault="00523FB7" w:rsidP="003132FD">
            <w:pPr>
              <w:ind w:firstLineChars="100" w:firstLine="20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73.06</w:t>
            </w:r>
          </w:p>
        </w:tc>
        <w:tc>
          <w:tcPr>
            <w:tcW w:w="1081"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83.43</w:t>
            </w:r>
          </w:p>
        </w:tc>
      </w:tr>
      <w:tr w:rsidR="00523FB7" w:rsidRPr="00740526" w:rsidTr="0062719E">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523FB7" w:rsidRPr="00740526" w:rsidRDefault="00523FB7" w:rsidP="0062719E">
            <w:pPr>
              <w:rPr>
                <w:rFonts w:ascii="Times New Roman" w:hAnsi="Times New Roman" w:cs="Times New Roman"/>
                <w:i/>
                <w:sz w:val="20"/>
                <w:szCs w:val="20"/>
              </w:rPr>
            </w:pPr>
            <w:r w:rsidRPr="00740526">
              <w:rPr>
                <w:rFonts w:ascii="Times New Roman" w:hAnsi="Times New Roman" w:cs="Times New Roman"/>
                <w:i/>
                <w:sz w:val="20"/>
                <w:szCs w:val="20"/>
              </w:rPr>
              <w:t xml:space="preserve">IND </w:t>
            </w:r>
            <w:r w:rsidRPr="00740526">
              <w:rPr>
                <w:rFonts w:ascii="Times New Roman" w:hAnsi="Times New Roman" w:cs="Times New Roman"/>
                <w:sz w:val="20"/>
                <w:szCs w:val="20"/>
              </w:rPr>
              <w:t xml:space="preserve">(%)   </w:t>
            </w:r>
            <w:r w:rsidRPr="00740526">
              <w:rPr>
                <w:rFonts w:ascii="Times New Roman" w:hAnsi="Times New Roman" w:cs="Times New Roman"/>
                <w:i/>
                <w:sz w:val="20"/>
                <w:szCs w:val="20"/>
              </w:rPr>
              <w:t xml:space="preserve">  </w:t>
            </w:r>
          </w:p>
        </w:tc>
        <w:tc>
          <w:tcPr>
            <w:tcW w:w="109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32.09</w:t>
            </w:r>
          </w:p>
        </w:tc>
        <w:tc>
          <w:tcPr>
            <w:tcW w:w="1107"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16.38</w:t>
            </w:r>
          </w:p>
        </w:tc>
        <w:tc>
          <w:tcPr>
            <w:tcW w:w="97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10.55</w:t>
            </w:r>
          </w:p>
        </w:tc>
        <w:tc>
          <w:tcPr>
            <w:tcW w:w="103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20.06</w:t>
            </w:r>
          </w:p>
        </w:tc>
        <w:tc>
          <w:tcPr>
            <w:tcW w:w="1114" w:type="dxa"/>
            <w:tcBorders>
              <w:top w:val="nil"/>
              <w:left w:val="nil"/>
              <w:bottom w:val="nil"/>
              <w:right w:val="nil"/>
            </w:tcBorders>
            <w:tcMar>
              <w:top w:w="15" w:type="dxa"/>
              <w:left w:w="15" w:type="dxa"/>
              <w:bottom w:w="0" w:type="dxa"/>
              <w:right w:w="225" w:type="dxa"/>
            </w:tcMar>
            <w:vAlign w:val="center"/>
          </w:tcPr>
          <w:p w:rsidR="00523FB7" w:rsidRPr="00740526" w:rsidRDefault="00523FB7" w:rsidP="003132FD">
            <w:pPr>
              <w:ind w:rightChars="-83" w:right="-199"/>
              <w:jc w:val="right"/>
              <w:rPr>
                <w:rFonts w:ascii="Times New Roman" w:hAnsi="Times New Roman" w:cs="Times New Roman"/>
                <w:sz w:val="20"/>
                <w:szCs w:val="20"/>
              </w:rPr>
            </w:pPr>
            <w:r w:rsidRPr="00740526">
              <w:rPr>
                <w:rFonts w:ascii="Times New Roman" w:hAnsi="Times New Roman" w:cs="Times New Roman"/>
                <w:sz w:val="20"/>
                <w:szCs w:val="20"/>
              </w:rPr>
              <w:t>29.45</w:t>
            </w:r>
          </w:p>
        </w:tc>
        <w:tc>
          <w:tcPr>
            <w:tcW w:w="973" w:type="dxa"/>
            <w:tcBorders>
              <w:top w:val="nil"/>
              <w:left w:val="nil"/>
              <w:bottom w:val="nil"/>
              <w:right w:val="nil"/>
            </w:tcBorders>
            <w:tcMar>
              <w:top w:w="15" w:type="dxa"/>
              <w:left w:w="15" w:type="dxa"/>
              <w:bottom w:w="0" w:type="dxa"/>
              <w:right w:w="15" w:type="dxa"/>
            </w:tcMar>
            <w:vAlign w:val="bottom"/>
          </w:tcPr>
          <w:p w:rsidR="00523FB7" w:rsidRPr="00740526" w:rsidRDefault="00523FB7" w:rsidP="003132FD">
            <w:pPr>
              <w:ind w:firstLineChars="100" w:firstLine="20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40.89</w:t>
            </w:r>
          </w:p>
        </w:tc>
        <w:tc>
          <w:tcPr>
            <w:tcW w:w="1081"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63.10</w:t>
            </w:r>
          </w:p>
        </w:tc>
      </w:tr>
      <w:tr w:rsidR="00523FB7" w:rsidRPr="00740526" w:rsidTr="0062719E">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523FB7" w:rsidRPr="00740526" w:rsidRDefault="00523FB7" w:rsidP="0062719E">
            <w:pPr>
              <w:rPr>
                <w:rFonts w:ascii="Times New Roman" w:hAnsi="Times New Roman" w:cs="Times New Roman"/>
                <w:i/>
                <w:sz w:val="20"/>
                <w:szCs w:val="20"/>
              </w:rPr>
            </w:pPr>
            <w:r w:rsidRPr="00740526">
              <w:rPr>
                <w:rFonts w:ascii="Times New Roman" w:hAnsi="Times New Roman" w:cs="Times New Roman"/>
                <w:i/>
                <w:sz w:val="20"/>
                <w:szCs w:val="20"/>
              </w:rPr>
              <w:t>DITH</w:t>
            </w:r>
            <w:r w:rsidRPr="00740526">
              <w:rPr>
                <w:rFonts w:ascii="Times New Roman" w:hAnsi="Times New Roman" w:cs="Times New Roman"/>
                <w:sz w:val="20"/>
                <w:szCs w:val="20"/>
              </w:rPr>
              <w:t xml:space="preserve"> (%)  </w:t>
            </w:r>
            <w:r w:rsidRPr="00740526">
              <w:rPr>
                <w:rFonts w:ascii="Times New Roman" w:hAnsi="Times New Roman" w:cs="Times New Roman"/>
                <w:i/>
                <w:sz w:val="20"/>
                <w:szCs w:val="20"/>
              </w:rPr>
              <w:t xml:space="preserve">    </w:t>
            </w:r>
          </w:p>
        </w:tc>
        <w:tc>
          <w:tcPr>
            <w:tcW w:w="109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0.15</w:t>
            </w:r>
          </w:p>
        </w:tc>
        <w:tc>
          <w:tcPr>
            <w:tcW w:w="1107"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4.54</w:t>
            </w:r>
          </w:p>
        </w:tc>
        <w:tc>
          <w:tcPr>
            <w:tcW w:w="97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-6.84</w:t>
            </w:r>
          </w:p>
        </w:tc>
        <w:tc>
          <w:tcPr>
            <w:tcW w:w="103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-1.90</w:t>
            </w:r>
          </w:p>
        </w:tc>
        <w:tc>
          <w:tcPr>
            <w:tcW w:w="1114" w:type="dxa"/>
            <w:tcBorders>
              <w:top w:val="nil"/>
              <w:left w:val="nil"/>
              <w:bottom w:val="nil"/>
              <w:right w:val="nil"/>
            </w:tcBorders>
            <w:tcMar>
              <w:top w:w="15" w:type="dxa"/>
              <w:left w:w="15" w:type="dxa"/>
              <w:bottom w:w="0" w:type="dxa"/>
              <w:right w:w="225" w:type="dxa"/>
            </w:tcMar>
            <w:vAlign w:val="center"/>
          </w:tcPr>
          <w:p w:rsidR="00523FB7" w:rsidRPr="00740526" w:rsidRDefault="00523FB7" w:rsidP="003132FD">
            <w:pPr>
              <w:ind w:rightChars="-83" w:right="-199"/>
              <w:jc w:val="right"/>
              <w:rPr>
                <w:rFonts w:ascii="Times New Roman" w:hAnsi="Times New Roman" w:cs="Times New Roman"/>
                <w:sz w:val="20"/>
                <w:szCs w:val="20"/>
              </w:rPr>
            </w:pPr>
            <w:r w:rsidRPr="00740526">
              <w:rPr>
                <w:rFonts w:ascii="Times New Roman" w:hAnsi="Times New Roman" w:cs="Times New Roman"/>
                <w:sz w:val="20"/>
                <w:szCs w:val="20"/>
              </w:rPr>
              <w:t>-0.11</w:t>
            </w:r>
          </w:p>
        </w:tc>
        <w:tc>
          <w:tcPr>
            <w:tcW w:w="973" w:type="dxa"/>
            <w:tcBorders>
              <w:top w:val="nil"/>
              <w:left w:val="nil"/>
              <w:bottom w:val="nil"/>
              <w:right w:val="nil"/>
            </w:tcBorders>
            <w:tcMar>
              <w:top w:w="15" w:type="dxa"/>
              <w:left w:w="15" w:type="dxa"/>
              <w:bottom w:w="0" w:type="dxa"/>
              <w:right w:w="15" w:type="dxa"/>
            </w:tcMar>
            <w:vAlign w:val="bottom"/>
          </w:tcPr>
          <w:p w:rsidR="00523FB7" w:rsidRPr="00740526" w:rsidRDefault="00523FB7" w:rsidP="003132FD">
            <w:pPr>
              <w:ind w:firstLineChars="100" w:firstLine="20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1.82</w:t>
            </w:r>
          </w:p>
        </w:tc>
        <w:tc>
          <w:tcPr>
            <w:tcW w:w="1081"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8.26</w:t>
            </w:r>
          </w:p>
        </w:tc>
      </w:tr>
      <w:tr w:rsidR="00523FB7" w:rsidRPr="00740526" w:rsidTr="0062719E">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523FB7" w:rsidRPr="00740526" w:rsidRDefault="00523FB7" w:rsidP="0062719E">
            <w:pPr>
              <w:rPr>
                <w:rFonts w:ascii="Times New Roman" w:hAnsi="Times New Roman" w:cs="Times New Roman"/>
                <w:i/>
                <w:sz w:val="20"/>
                <w:szCs w:val="20"/>
              </w:rPr>
            </w:pPr>
            <w:r w:rsidRPr="00740526">
              <w:rPr>
                <w:rFonts w:ascii="Times New Roman" w:hAnsi="Times New Roman" w:cs="Times New Roman"/>
                <w:i/>
                <w:sz w:val="20"/>
                <w:szCs w:val="20"/>
              </w:rPr>
              <w:t xml:space="preserve">DIND </w:t>
            </w:r>
            <w:r w:rsidRPr="00740526">
              <w:rPr>
                <w:rFonts w:ascii="Times New Roman" w:hAnsi="Times New Roman" w:cs="Times New Roman"/>
                <w:sz w:val="20"/>
                <w:szCs w:val="20"/>
              </w:rPr>
              <w:t xml:space="preserve">(%) </w:t>
            </w:r>
            <w:r w:rsidRPr="00740526">
              <w:rPr>
                <w:rFonts w:ascii="Times New Roman" w:hAnsi="Times New Roman" w:cs="Times New Roman"/>
                <w:i/>
                <w:sz w:val="20"/>
                <w:szCs w:val="20"/>
              </w:rPr>
              <w:t xml:space="preserve">     </w:t>
            </w:r>
          </w:p>
        </w:tc>
        <w:tc>
          <w:tcPr>
            <w:tcW w:w="109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0.20</w:t>
            </w:r>
          </w:p>
        </w:tc>
        <w:tc>
          <w:tcPr>
            <w:tcW w:w="1107"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7.96</w:t>
            </w:r>
          </w:p>
        </w:tc>
        <w:tc>
          <w:tcPr>
            <w:tcW w:w="97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-9.44</w:t>
            </w:r>
          </w:p>
        </w:tc>
        <w:tc>
          <w:tcPr>
            <w:tcW w:w="1038"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-2.00</w:t>
            </w:r>
          </w:p>
        </w:tc>
        <w:tc>
          <w:tcPr>
            <w:tcW w:w="1114" w:type="dxa"/>
            <w:tcBorders>
              <w:top w:val="nil"/>
              <w:left w:val="nil"/>
              <w:bottom w:val="nil"/>
              <w:right w:val="nil"/>
            </w:tcBorders>
            <w:tcMar>
              <w:top w:w="15" w:type="dxa"/>
              <w:left w:w="15" w:type="dxa"/>
              <w:bottom w:w="0" w:type="dxa"/>
              <w:right w:w="225" w:type="dxa"/>
            </w:tcMar>
            <w:vAlign w:val="center"/>
          </w:tcPr>
          <w:p w:rsidR="00523FB7" w:rsidRPr="00740526" w:rsidRDefault="00523FB7" w:rsidP="003132FD">
            <w:pPr>
              <w:ind w:rightChars="-83" w:right="-199"/>
              <w:jc w:val="right"/>
              <w:rPr>
                <w:rFonts w:ascii="Times New Roman" w:hAnsi="Times New Roman" w:cs="Times New Roman"/>
                <w:sz w:val="20"/>
                <w:szCs w:val="20"/>
              </w:rPr>
            </w:pPr>
            <w:r w:rsidRPr="00740526">
              <w:rPr>
                <w:rFonts w:ascii="Times New Roman" w:hAnsi="Times New Roman" w:cs="Times New Roman"/>
                <w:sz w:val="20"/>
                <w:szCs w:val="20"/>
              </w:rPr>
              <w:t>-0.04</w:t>
            </w:r>
          </w:p>
        </w:tc>
        <w:tc>
          <w:tcPr>
            <w:tcW w:w="973" w:type="dxa"/>
            <w:tcBorders>
              <w:top w:val="nil"/>
              <w:left w:val="nil"/>
              <w:bottom w:val="nil"/>
              <w:right w:val="nil"/>
            </w:tcBorders>
            <w:tcMar>
              <w:top w:w="15" w:type="dxa"/>
              <w:left w:w="15" w:type="dxa"/>
              <w:bottom w:w="0" w:type="dxa"/>
              <w:right w:w="15" w:type="dxa"/>
            </w:tcMar>
            <w:vAlign w:val="bottom"/>
          </w:tcPr>
          <w:p w:rsidR="00523FB7" w:rsidRPr="00740526" w:rsidRDefault="00523FB7" w:rsidP="003132FD">
            <w:pPr>
              <w:ind w:firstLineChars="100" w:firstLine="20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1.82</w:t>
            </w:r>
          </w:p>
        </w:tc>
        <w:tc>
          <w:tcPr>
            <w:tcW w:w="1081" w:type="dxa"/>
            <w:tcBorders>
              <w:top w:val="nil"/>
              <w:left w:val="nil"/>
              <w:bottom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9.90</w:t>
            </w:r>
          </w:p>
        </w:tc>
      </w:tr>
      <w:tr w:rsidR="00523FB7" w:rsidRPr="00740526" w:rsidTr="0062719E">
        <w:trPr>
          <w:trHeight w:val="315"/>
          <w:jc w:val="center"/>
        </w:trPr>
        <w:tc>
          <w:tcPr>
            <w:tcW w:w="0" w:type="auto"/>
            <w:tcBorders>
              <w:top w:val="nil"/>
              <w:left w:val="nil"/>
              <w:right w:val="nil"/>
            </w:tcBorders>
            <w:noWrap/>
            <w:tcMar>
              <w:top w:w="15" w:type="dxa"/>
              <w:left w:w="15" w:type="dxa"/>
              <w:bottom w:w="0" w:type="dxa"/>
              <w:right w:w="15" w:type="dxa"/>
            </w:tcMar>
            <w:vAlign w:val="center"/>
          </w:tcPr>
          <w:p w:rsidR="00523FB7" w:rsidRPr="00740526" w:rsidRDefault="00523FB7" w:rsidP="0062719E">
            <w:pPr>
              <w:rPr>
                <w:rFonts w:ascii="Times New Roman" w:hAnsi="Times New Roman" w:cs="Times New Roman"/>
                <w:i/>
                <w:sz w:val="20"/>
                <w:szCs w:val="20"/>
              </w:rPr>
            </w:pPr>
            <w:r w:rsidRPr="00740526">
              <w:rPr>
                <w:rFonts w:ascii="Times New Roman" w:hAnsi="Times New Roman" w:cs="Times New Roman"/>
                <w:i/>
                <w:sz w:val="20"/>
                <w:szCs w:val="20"/>
              </w:rPr>
              <w:t>AdjDITH</w:t>
            </w:r>
            <w:r w:rsidRPr="00740526">
              <w:rPr>
                <w:rFonts w:ascii="Times New Roman" w:hAnsi="Times New Roman" w:cs="Times New Roman"/>
                <w:sz w:val="20"/>
                <w:szCs w:val="20"/>
              </w:rPr>
              <w:t xml:space="preserve"> (%)</w:t>
            </w:r>
          </w:p>
        </w:tc>
        <w:tc>
          <w:tcPr>
            <w:tcW w:w="1098" w:type="dxa"/>
            <w:tcBorders>
              <w:top w:val="nil"/>
              <w:left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0.17</w:t>
            </w:r>
          </w:p>
        </w:tc>
        <w:tc>
          <w:tcPr>
            <w:tcW w:w="1107" w:type="dxa"/>
            <w:tcBorders>
              <w:top w:val="nil"/>
              <w:left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4.35</w:t>
            </w:r>
          </w:p>
        </w:tc>
        <w:tc>
          <w:tcPr>
            <w:tcW w:w="978" w:type="dxa"/>
            <w:tcBorders>
              <w:top w:val="nil"/>
              <w:left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-6.75</w:t>
            </w:r>
          </w:p>
        </w:tc>
        <w:tc>
          <w:tcPr>
            <w:tcW w:w="1038" w:type="dxa"/>
            <w:tcBorders>
              <w:top w:val="nil"/>
              <w:left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-1.65</w:t>
            </w:r>
          </w:p>
        </w:tc>
        <w:tc>
          <w:tcPr>
            <w:tcW w:w="1114" w:type="dxa"/>
            <w:tcBorders>
              <w:top w:val="nil"/>
              <w:left w:val="nil"/>
              <w:right w:val="nil"/>
            </w:tcBorders>
            <w:tcMar>
              <w:top w:w="15" w:type="dxa"/>
              <w:left w:w="15" w:type="dxa"/>
              <w:bottom w:w="0" w:type="dxa"/>
              <w:right w:w="225" w:type="dxa"/>
            </w:tcMar>
            <w:vAlign w:val="center"/>
          </w:tcPr>
          <w:p w:rsidR="00523FB7" w:rsidRPr="00740526" w:rsidRDefault="00523FB7" w:rsidP="003132FD">
            <w:pPr>
              <w:ind w:rightChars="-83" w:right="-199"/>
              <w:jc w:val="right"/>
              <w:rPr>
                <w:rFonts w:ascii="Times New Roman" w:hAnsi="Times New Roman" w:cs="Times New Roman"/>
                <w:sz w:val="20"/>
                <w:szCs w:val="20"/>
              </w:rPr>
            </w:pPr>
            <w:r w:rsidRPr="00740526">
              <w:rPr>
                <w:rFonts w:ascii="Times New Roman" w:hAnsi="Times New Roman" w:cs="Times New Roman"/>
                <w:sz w:val="20"/>
                <w:szCs w:val="20"/>
              </w:rPr>
              <w:t>0.00</w:t>
            </w:r>
          </w:p>
        </w:tc>
        <w:tc>
          <w:tcPr>
            <w:tcW w:w="973" w:type="dxa"/>
            <w:tcBorders>
              <w:top w:val="nil"/>
              <w:left w:val="nil"/>
              <w:right w:val="nil"/>
            </w:tcBorders>
            <w:tcMar>
              <w:top w:w="15" w:type="dxa"/>
              <w:left w:w="15" w:type="dxa"/>
              <w:bottom w:w="0" w:type="dxa"/>
              <w:right w:w="15" w:type="dxa"/>
            </w:tcMar>
            <w:vAlign w:val="bottom"/>
          </w:tcPr>
          <w:p w:rsidR="00523FB7" w:rsidRPr="00740526" w:rsidRDefault="00523FB7" w:rsidP="003132FD">
            <w:pPr>
              <w:ind w:firstLineChars="100" w:firstLine="20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1.75</w:t>
            </w:r>
          </w:p>
        </w:tc>
        <w:tc>
          <w:tcPr>
            <w:tcW w:w="1081" w:type="dxa"/>
            <w:tcBorders>
              <w:top w:val="nil"/>
              <w:left w:val="nil"/>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7.73</w:t>
            </w:r>
          </w:p>
        </w:tc>
      </w:tr>
      <w:tr w:rsidR="00523FB7" w:rsidRPr="00740526" w:rsidTr="0062719E">
        <w:trPr>
          <w:trHeight w:val="315"/>
          <w:jc w:val="center"/>
        </w:trPr>
        <w:tc>
          <w:tcPr>
            <w:tcW w:w="0" w:type="auto"/>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62719E">
            <w:pPr>
              <w:rPr>
                <w:rFonts w:ascii="Times New Roman" w:hAnsi="Times New Roman" w:cs="Times New Roman"/>
                <w:i/>
                <w:sz w:val="20"/>
                <w:szCs w:val="20"/>
              </w:rPr>
            </w:pPr>
            <w:r w:rsidRPr="00740526">
              <w:rPr>
                <w:rFonts w:ascii="Times New Roman" w:hAnsi="Times New Roman" w:cs="Times New Roman"/>
                <w:i/>
                <w:sz w:val="20"/>
                <w:szCs w:val="20"/>
              </w:rPr>
              <w:t xml:space="preserve">AdjDIND </w:t>
            </w:r>
            <w:r w:rsidRPr="00740526">
              <w:rPr>
                <w:rFonts w:ascii="Times New Roman" w:hAnsi="Times New Roman" w:cs="Times New Roman"/>
                <w:sz w:val="20"/>
                <w:szCs w:val="20"/>
              </w:rPr>
              <w:t>(%)</w:t>
            </w:r>
          </w:p>
        </w:tc>
        <w:tc>
          <w:tcPr>
            <w:tcW w:w="1098" w:type="dxa"/>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0.03</w:t>
            </w:r>
          </w:p>
        </w:tc>
        <w:tc>
          <w:tcPr>
            <w:tcW w:w="1107" w:type="dxa"/>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7.31</w:t>
            </w:r>
          </w:p>
        </w:tc>
        <w:tc>
          <w:tcPr>
            <w:tcW w:w="978" w:type="dxa"/>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-8.93</w:t>
            </w:r>
          </w:p>
        </w:tc>
        <w:tc>
          <w:tcPr>
            <w:tcW w:w="1038" w:type="dxa"/>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-1.71</w:t>
            </w:r>
          </w:p>
        </w:tc>
        <w:tc>
          <w:tcPr>
            <w:tcW w:w="1114" w:type="dxa"/>
            <w:tcBorders>
              <w:top w:val="nil"/>
              <w:left w:val="nil"/>
              <w:bottom w:val="double" w:sz="4" w:space="0" w:color="auto"/>
              <w:right w:val="nil"/>
            </w:tcBorders>
            <w:tcMar>
              <w:top w:w="15" w:type="dxa"/>
              <w:left w:w="15" w:type="dxa"/>
              <w:bottom w:w="0" w:type="dxa"/>
              <w:right w:w="225" w:type="dxa"/>
            </w:tcMar>
            <w:vAlign w:val="center"/>
          </w:tcPr>
          <w:p w:rsidR="00523FB7" w:rsidRPr="00740526" w:rsidRDefault="00523FB7" w:rsidP="003132FD">
            <w:pPr>
              <w:ind w:rightChars="-83" w:right="-199"/>
              <w:jc w:val="right"/>
              <w:rPr>
                <w:rFonts w:ascii="Times New Roman" w:hAnsi="Times New Roman" w:cs="Times New Roman"/>
                <w:sz w:val="20"/>
                <w:szCs w:val="20"/>
              </w:rPr>
            </w:pPr>
            <w:r w:rsidRPr="00740526">
              <w:rPr>
                <w:rFonts w:ascii="Times New Roman" w:hAnsi="Times New Roman" w:cs="Times New Roman"/>
                <w:sz w:val="20"/>
                <w:szCs w:val="20"/>
              </w:rPr>
              <w:t>0.00</w:t>
            </w:r>
          </w:p>
        </w:tc>
        <w:tc>
          <w:tcPr>
            <w:tcW w:w="973"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3132FD">
            <w:pPr>
              <w:ind w:firstLineChars="100" w:firstLine="20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1.76</w:t>
            </w:r>
          </w:p>
        </w:tc>
        <w:tc>
          <w:tcPr>
            <w:tcW w:w="1081" w:type="dxa"/>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62719E">
            <w:pPr>
              <w:jc w:val="right"/>
              <w:rPr>
                <w:rFonts w:ascii="Times New Roman" w:hAnsi="Times New Roman" w:cs="Times New Roman"/>
                <w:sz w:val="20"/>
                <w:szCs w:val="20"/>
              </w:rPr>
            </w:pPr>
            <w:r w:rsidRPr="00740526">
              <w:rPr>
                <w:rFonts w:ascii="Times New Roman" w:hAnsi="Times New Roman" w:cs="Times New Roman"/>
                <w:sz w:val="20"/>
                <w:szCs w:val="20"/>
              </w:rPr>
              <w:t>8.70</w:t>
            </w:r>
          </w:p>
        </w:tc>
      </w:tr>
    </w:tbl>
    <w:p w:rsidR="00523FB7" w:rsidRPr="003410DE" w:rsidRDefault="00523FB7" w:rsidP="00F86FF5">
      <w:pPr>
        <w:widowControl/>
        <w:rPr>
          <w:rFonts w:ascii="Times New Roman" w:hAnsi="Times New Roman" w:cs="Times New Roman"/>
          <w:b/>
          <w:bCs/>
          <w:sz w:val="28"/>
          <w:szCs w:val="28"/>
        </w:rPr>
      </w:pPr>
    </w:p>
    <w:tbl>
      <w:tblPr>
        <w:tblW w:w="8946" w:type="dxa"/>
        <w:jc w:val="center"/>
        <w:tblLayout w:type="fixed"/>
        <w:tblCellMar>
          <w:left w:w="0" w:type="dxa"/>
          <w:right w:w="0" w:type="dxa"/>
        </w:tblCellMar>
        <w:tblLook w:val="00A0"/>
      </w:tblPr>
      <w:tblGrid>
        <w:gridCol w:w="994"/>
        <w:gridCol w:w="994"/>
        <w:gridCol w:w="994"/>
        <w:gridCol w:w="994"/>
        <w:gridCol w:w="994"/>
        <w:gridCol w:w="994"/>
        <w:gridCol w:w="994"/>
        <w:gridCol w:w="994"/>
        <w:gridCol w:w="994"/>
      </w:tblGrid>
      <w:tr w:rsidR="00523FB7" w:rsidRPr="00740526">
        <w:trPr>
          <w:trHeight w:val="360"/>
          <w:jc w:val="center"/>
        </w:trPr>
        <w:tc>
          <w:tcPr>
            <w:tcW w:w="8946" w:type="dxa"/>
            <w:gridSpan w:val="9"/>
            <w:tcBorders>
              <w:top w:val="double" w:sz="4" w:space="0" w:color="auto"/>
              <w:left w:val="nil"/>
              <w:right w:val="nil"/>
            </w:tcBorders>
            <w:noWrap/>
            <w:tcMar>
              <w:top w:w="15" w:type="dxa"/>
              <w:left w:w="15" w:type="dxa"/>
              <w:bottom w:w="0" w:type="dxa"/>
              <w:right w:w="15" w:type="dxa"/>
            </w:tcMar>
            <w:vAlign w:val="center"/>
          </w:tcPr>
          <w:p w:rsidR="00523FB7" w:rsidRPr="00740526" w:rsidRDefault="00523FB7" w:rsidP="00005536">
            <w:pPr>
              <w:widowControl/>
              <w:rPr>
                <w:rFonts w:ascii="Times New Roman" w:hAnsi="Times New Roman" w:cs="Times New Roman"/>
                <w:b/>
                <w:sz w:val="20"/>
                <w:szCs w:val="20"/>
              </w:rPr>
            </w:pPr>
            <w:r w:rsidRPr="00740526">
              <w:rPr>
                <w:rFonts w:ascii="Times New Roman" w:hAnsi="Times New Roman" w:cs="Times New Roman"/>
                <w:b/>
                <w:kern w:val="0"/>
                <w:sz w:val="20"/>
                <w:szCs w:val="20"/>
              </w:rPr>
              <w:t>Panel B. Pearson Correlation Coefficients of the Test Variables (%)</w:t>
            </w:r>
          </w:p>
        </w:tc>
      </w:tr>
      <w:tr w:rsidR="00523FB7" w:rsidRPr="00740526">
        <w:trPr>
          <w:trHeight w:val="360"/>
          <w:jc w:val="center"/>
        </w:trPr>
        <w:tc>
          <w:tcPr>
            <w:tcW w:w="994" w:type="dxa"/>
            <w:tcBorders>
              <w:top w:val="nil"/>
              <w:left w:val="nil"/>
              <w:bottom w:val="single" w:sz="4" w:space="0" w:color="auto"/>
              <w:right w:val="nil"/>
            </w:tcBorders>
            <w:noWrap/>
            <w:tcMar>
              <w:top w:w="15" w:type="dxa"/>
              <w:left w:w="15" w:type="dxa"/>
              <w:bottom w:w="0" w:type="dxa"/>
              <w:right w:w="15" w:type="dxa"/>
            </w:tcMar>
            <w:vAlign w:val="center"/>
          </w:tcPr>
          <w:p w:rsidR="00523FB7" w:rsidRPr="00740526" w:rsidRDefault="00523FB7" w:rsidP="00005536">
            <w:pPr>
              <w:rPr>
                <w:rFonts w:ascii="Times New Roman" w:hAnsi="Times New Roman" w:cs="Times New Roman"/>
                <w:color w:val="000000"/>
                <w:sz w:val="20"/>
                <w:szCs w:val="20"/>
              </w:rPr>
            </w:pPr>
          </w:p>
        </w:tc>
        <w:tc>
          <w:tcPr>
            <w:tcW w:w="994" w:type="dxa"/>
            <w:tcBorders>
              <w:top w:val="nil"/>
              <w:left w:val="nil"/>
              <w:bottom w:val="sing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i/>
                <w:color w:val="000000"/>
                <w:sz w:val="20"/>
                <w:szCs w:val="20"/>
              </w:rPr>
            </w:pPr>
            <w:r w:rsidRPr="00740526">
              <w:rPr>
                <w:rFonts w:ascii="Times New Roman" w:hAnsi="Times New Roman" w:cs="Times New Roman"/>
                <w:i/>
                <w:sz w:val="20"/>
                <w:szCs w:val="20"/>
              </w:rPr>
              <w:t>BE/ME</w:t>
            </w:r>
            <w:r w:rsidRPr="00740526">
              <w:rPr>
                <w:rFonts w:ascii="Times New Roman" w:hAnsi="Times New Roman" w:cs="Times New Roman"/>
                <w:i/>
                <w:color w:val="000000"/>
                <w:sz w:val="20"/>
                <w:szCs w:val="20"/>
              </w:rPr>
              <w:t xml:space="preserve">       </w:t>
            </w:r>
          </w:p>
        </w:tc>
        <w:tc>
          <w:tcPr>
            <w:tcW w:w="994" w:type="dxa"/>
            <w:tcBorders>
              <w:top w:val="nil"/>
              <w:left w:val="nil"/>
              <w:bottom w:val="sing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ME       </w:t>
            </w:r>
          </w:p>
        </w:tc>
        <w:tc>
          <w:tcPr>
            <w:tcW w:w="994" w:type="dxa"/>
            <w:tcBorders>
              <w:top w:val="nil"/>
              <w:left w:val="nil"/>
              <w:bottom w:val="sing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ITH     </w:t>
            </w:r>
          </w:p>
        </w:tc>
        <w:tc>
          <w:tcPr>
            <w:tcW w:w="994" w:type="dxa"/>
            <w:tcBorders>
              <w:top w:val="nil"/>
              <w:left w:val="nil"/>
              <w:bottom w:val="sing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IND     </w:t>
            </w:r>
          </w:p>
        </w:tc>
        <w:tc>
          <w:tcPr>
            <w:tcW w:w="994" w:type="dxa"/>
            <w:tcBorders>
              <w:top w:val="nil"/>
              <w:left w:val="nil"/>
              <w:bottom w:val="sing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DITH     </w:t>
            </w:r>
          </w:p>
        </w:tc>
        <w:tc>
          <w:tcPr>
            <w:tcW w:w="994" w:type="dxa"/>
            <w:tcBorders>
              <w:top w:val="nil"/>
              <w:left w:val="nil"/>
              <w:bottom w:val="sing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DIND     </w:t>
            </w:r>
          </w:p>
        </w:tc>
        <w:tc>
          <w:tcPr>
            <w:tcW w:w="994" w:type="dxa"/>
            <w:tcBorders>
              <w:top w:val="nil"/>
              <w:left w:val="nil"/>
              <w:bottom w:val="sing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AdjDITH</w:t>
            </w:r>
          </w:p>
        </w:tc>
        <w:tc>
          <w:tcPr>
            <w:tcW w:w="994" w:type="dxa"/>
            <w:tcBorders>
              <w:top w:val="nil"/>
              <w:left w:val="nil"/>
              <w:bottom w:val="sing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AdjDIND</w:t>
            </w:r>
          </w:p>
        </w:tc>
      </w:tr>
      <w:tr w:rsidR="00523FB7" w:rsidRPr="00740526">
        <w:trPr>
          <w:trHeight w:val="360"/>
          <w:jc w:val="center"/>
        </w:trPr>
        <w:tc>
          <w:tcPr>
            <w:tcW w:w="994" w:type="dxa"/>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05536">
            <w:pPr>
              <w:rPr>
                <w:rFonts w:ascii="Times New Roman" w:hAnsi="Times New Roman" w:cs="Times New Roman"/>
                <w:i/>
                <w:color w:val="000000"/>
                <w:sz w:val="20"/>
                <w:szCs w:val="20"/>
              </w:rPr>
            </w:pPr>
            <w:r w:rsidRPr="00740526">
              <w:rPr>
                <w:rFonts w:ascii="Times New Roman" w:hAnsi="Times New Roman" w:cs="Times New Roman"/>
                <w:i/>
                <w:sz w:val="20"/>
                <w:szCs w:val="20"/>
              </w:rPr>
              <w:t>BE/ME</w:t>
            </w:r>
            <w:r w:rsidRPr="00740526">
              <w:rPr>
                <w:rFonts w:ascii="Times New Roman" w:hAnsi="Times New Roman" w:cs="Times New Roman"/>
                <w:i/>
                <w:color w:val="000000"/>
                <w:sz w:val="20"/>
                <w:szCs w:val="20"/>
              </w:rPr>
              <w:t xml:space="preserve">       </w:t>
            </w:r>
          </w:p>
        </w:tc>
        <w:tc>
          <w:tcPr>
            <w:tcW w:w="994" w:type="dxa"/>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100.00 </w:t>
            </w:r>
          </w:p>
        </w:tc>
        <w:tc>
          <w:tcPr>
            <w:tcW w:w="994" w:type="dxa"/>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r>
      <w:tr w:rsidR="00523FB7" w:rsidRPr="00740526">
        <w:trPr>
          <w:trHeight w:val="360"/>
          <w:jc w:val="center"/>
        </w:trPr>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ME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-18.36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100.00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r>
      <w:tr w:rsidR="00523FB7" w:rsidRPr="00740526">
        <w:trPr>
          <w:trHeight w:val="360"/>
          <w:jc w:val="center"/>
        </w:trPr>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ITH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-8.48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10.01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100.00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r>
      <w:tr w:rsidR="00523FB7" w:rsidRPr="00740526">
        <w:trPr>
          <w:trHeight w:val="360"/>
          <w:jc w:val="center"/>
        </w:trPr>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IND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10.62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-23.76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-72.74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100.00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r>
      <w:tr w:rsidR="00523FB7" w:rsidRPr="00740526">
        <w:trPr>
          <w:trHeight w:val="360"/>
          <w:jc w:val="center"/>
        </w:trPr>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DITH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-15.63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-1.30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-22.49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12.41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100.00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r>
      <w:tr w:rsidR="00523FB7" w:rsidRPr="00740526">
        <w:trPr>
          <w:trHeight w:val="360"/>
          <w:jc w:val="center"/>
        </w:trPr>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DIND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12.14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-5.19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-1.88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-33.69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-27.75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100.00 </w:t>
            </w: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c>
          <w:tcPr>
            <w:tcW w:w="994" w:type="dxa"/>
            <w:tcBorders>
              <w:top w:val="nil"/>
              <w:left w:val="nil"/>
              <w:bottom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r>
      <w:tr w:rsidR="00523FB7" w:rsidRPr="00740526">
        <w:trPr>
          <w:trHeight w:val="360"/>
          <w:jc w:val="center"/>
        </w:trPr>
        <w:tc>
          <w:tcPr>
            <w:tcW w:w="994" w:type="dxa"/>
            <w:tcBorders>
              <w:top w:val="nil"/>
              <w:left w:val="nil"/>
              <w:right w:val="nil"/>
            </w:tcBorders>
            <w:noWrap/>
            <w:tcMar>
              <w:top w:w="15" w:type="dxa"/>
              <w:left w:w="15" w:type="dxa"/>
              <w:bottom w:w="0" w:type="dxa"/>
              <w:right w:w="15" w:type="dxa"/>
            </w:tcMar>
            <w:vAlign w:val="center"/>
          </w:tcPr>
          <w:p w:rsidR="00523FB7" w:rsidRPr="00740526" w:rsidRDefault="00523FB7" w:rsidP="00005536">
            <w:pPr>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AdjDITH</w:t>
            </w:r>
          </w:p>
        </w:tc>
        <w:tc>
          <w:tcPr>
            <w:tcW w:w="994" w:type="dxa"/>
            <w:tcBorders>
              <w:top w:val="nil"/>
              <w:left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-7.09 </w:t>
            </w:r>
          </w:p>
        </w:tc>
        <w:tc>
          <w:tcPr>
            <w:tcW w:w="994" w:type="dxa"/>
            <w:tcBorders>
              <w:top w:val="nil"/>
              <w:left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-1.63 </w:t>
            </w:r>
          </w:p>
        </w:tc>
        <w:tc>
          <w:tcPr>
            <w:tcW w:w="994" w:type="dxa"/>
            <w:tcBorders>
              <w:top w:val="nil"/>
              <w:left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-21.49 </w:t>
            </w:r>
          </w:p>
        </w:tc>
        <w:tc>
          <w:tcPr>
            <w:tcW w:w="994" w:type="dxa"/>
            <w:tcBorders>
              <w:top w:val="nil"/>
              <w:left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11.03 </w:t>
            </w:r>
          </w:p>
        </w:tc>
        <w:tc>
          <w:tcPr>
            <w:tcW w:w="994" w:type="dxa"/>
            <w:tcBorders>
              <w:top w:val="nil"/>
              <w:left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96.94 </w:t>
            </w:r>
          </w:p>
        </w:tc>
        <w:tc>
          <w:tcPr>
            <w:tcW w:w="994" w:type="dxa"/>
            <w:tcBorders>
              <w:top w:val="nil"/>
              <w:left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-26.19 </w:t>
            </w:r>
          </w:p>
        </w:tc>
        <w:tc>
          <w:tcPr>
            <w:tcW w:w="994" w:type="dxa"/>
            <w:tcBorders>
              <w:top w:val="nil"/>
              <w:left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100.00 </w:t>
            </w:r>
          </w:p>
        </w:tc>
        <w:tc>
          <w:tcPr>
            <w:tcW w:w="994" w:type="dxa"/>
            <w:tcBorders>
              <w:top w:val="nil"/>
              <w:left w:val="nil"/>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p>
        </w:tc>
      </w:tr>
      <w:tr w:rsidR="00523FB7" w:rsidRPr="00740526">
        <w:trPr>
          <w:trHeight w:val="360"/>
          <w:jc w:val="center"/>
        </w:trPr>
        <w:tc>
          <w:tcPr>
            <w:tcW w:w="994" w:type="dxa"/>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05536">
            <w:pPr>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AdjDIND</w:t>
            </w:r>
          </w:p>
        </w:tc>
        <w:tc>
          <w:tcPr>
            <w:tcW w:w="994" w:type="dxa"/>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8.11 </w:t>
            </w:r>
          </w:p>
        </w:tc>
        <w:tc>
          <w:tcPr>
            <w:tcW w:w="994" w:type="dxa"/>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-3.66 </w:t>
            </w:r>
          </w:p>
        </w:tc>
        <w:tc>
          <w:tcPr>
            <w:tcW w:w="994" w:type="dxa"/>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-0.79 </w:t>
            </w:r>
          </w:p>
        </w:tc>
        <w:tc>
          <w:tcPr>
            <w:tcW w:w="994" w:type="dxa"/>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-33.07 </w:t>
            </w:r>
          </w:p>
        </w:tc>
        <w:tc>
          <w:tcPr>
            <w:tcW w:w="994" w:type="dxa"/>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-27.38 </w:t>
            </w:r>
          </w:p>
        </w:tc>
        <w:tc>
          <w:tcPr>
            <w:tcW w:w="994" w:type="dxa"/>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94.32 </w:t>
            </w:r>
          </w:p>
        </w:tc>
        <w:tc>
          <w:tcPr>
            <w:tcW w:w="994" w:type="dxa"/>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-28.17 </w:t>
            </w:r>
          </w:p>
        </w:tc>
        <w:tc>
          <w:tcPr>
            <w:tcW w:w="994" w:type="dxa"/>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05536">
            <w:pPr>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100.00 </w:t>
            </w:r>
          </w:p>
        </w:tc>
      </w:tr>
    </w:tbl>
    <w:p w:rsidR="00523FB7" w:rsidRPr="003410DE" w:rsidRDefault="00523FB7">
      <w:pPr>
        <w:rPr>
          <w:rFonts w:ascii="Times New Roman" w:hAnsi="Times New Roman" w:cs="Times New Roman"/>
        </w:rPr>
      </w:pPr>
    </w:p>
    <w:p w:rsidR="00523FB7" w:rsidRPr="003410DE" w:rsidRDefault="00523FB7">
      <w:pPr>
        <w:rPr>
          <w:rFonts w:ascii="Times New Roman" w:hAnsi="Times New Roman" w:cs="Times New Roman"/>
        </w:rPr>
        <w:sectPr w:rsidR="00523FB7" w:rsidRPr="003410DE" w:rsidSect="005C54A4">
          <w:footerReference w:type="default" r:id="rId18"/>
          <w:pgSz w:w="11906" w:h="16838"/>
          <w:pgMar w:top="1440" w:right="1800" w:bottom="1440" w:left="1800" w:header="851" w:footer="992" w:gutter="0"/>
          <w:pgNumType w:start="0"/>
          <w:cols w:space="425"/>
          <w:titlePg/>
          <w:docGrid w:type="lines" w:linePitch="360"/>
        </w:sectPr>
      </w:pPr>
    </w:p>
    <w:p w:rsidR="00523FB7" w:rsidRPr="003410DE" w:rsidRDefault="00523FB7" w:rsidP="00F86FF5">
      <w:pPr>
        <w:snapToGrid w:val="0"/>
        <w:spacing w:line="360" w:lineRule="auto"/>
        <w:rPr>
          <w:rFonts w:ascii="Times New Roman" w:hAnsi="Times New Roman" w:cs="Times New Roman"/>
          <w:b/>
          <w:bCs/>
          <w:kern w:val="0"/>
        </w:rPr>
      </w:pPr>
      <w:r w:rsidRPr="003410DE">
        <w:rPr>
          <w:rFonts w:ascii="Times New Roman" w:hAnsi="Times New Roman" w:cs="Times New Roman"/>
          <w:b/>
          <w:bCs/>
          <w:kern w:val="0"/>
        </w:rPr>
        <w:t xml:space="preserve">Table 2. Average monthly percent returns and characteristics </w:t>
      </w:r>
      <w:r>
        <w:rPr>
          <w:rFonts w:ascii="Times New Roman" w:hAnsi="Times New Roman" w:cs="Times New Roman"/>
          <w:b/>
          <w:bCs/>
          <w:kern w:val="0"/>
        </w:rPr>
        <w:t>of</w:t>
      </w:r>
      <w:r w:rsidRPr="003410DE">
        <w:rPr>
          <w:rFonts w:ascii="Times New Roman" w:hAnsi="Times New Roman" w:cs="Times New Roman"/>
          <w:b/>
          <w:bCs/>
          <w:kern w:val="0"/>
        </w:rPr>
        <w:t xml:space="preserve"> quintile portfolios formed on size and book-to-market equity</w:t>
      </w:r>
    </w:p>
    <w:p w:rsidR="00523FB7" w:rsidRPr="003410DE" w:rsidRDefault="00523FB7" w:rsidP="00B07CA5">
      <w:pPr>
        <w:overflowPunct w:val="0"/>
        <w:autoSpaceDE w:val="0"/>
        <w:autoSpaceDN w:val="0"/>
        <w:adjustRightInd w:val="0"/>
        <w:snapToGrid w:val="0"/>
        <w:jc w:val="both"/>
        <w:rPr>
          <w:rFonts w:ascii="Times New Roman" w:hAnsi="Times New Roman" w:cs="Times New Roman"/>
          <w:kern w:val="0"/>
          <w:sz w:val="22"/>
          <w:szCs w:val="22"/>
        </w:rPr>
      </w:pPr>
      <w:r>
        <w:rPr>
          <w:rFonts w:ascii="Times New Roman" w:hAnsi="Times New Roman" w:cs="Times New Roman"/>
          <w:kern w:val="0"/>
          <w:sz w:val="22"/>
          <w:szCs w:val="22"/>
        </w:rPr>
        <w:t>For e</w:t>
      </w:r>
      <w:r w:rsidRPr="003410DE">
        <w:rPr>
          <w:rFonts w:ascii="Times New Roman" w:hAnsi="Times New Roman" w:cs="Times New Roman"/>
          <w:kern w:val="0"/>
          <w:sz w:val="22"/>
          <w:szCs w:val="22"/>
        </w:rPr>
        <w:t xml:space="preserve">ach year, we divide all stocks into five groups based on their size (price times shares outstanding) at the end of June of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and into five groups based on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for individual stocks. Size is the market value (price times shares outstanding) at the end of June of each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 1975-2005.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is the ratio of book value equity of </w:t>
      </w:r>
      <w:r>
        <w:rPr>
          <w:rFonts w:ascii="Times New Roman" w:hAnsi="Times New Roman" w:cs="Times New Roman"/>
          <w:kern w:val="0"/>
          <w:sz w:val="22"/>
          <w:szCs w:val="22"/>
        </w:rPr>
        <w:t xml:space="preserve">fiscal </w:t>
      </w:r>
      <w:r w:rsidRPr="003410DE">
        <w:rPr>
          <w:rFonts w:ascii="Times New Roman" w:hAnsi="Times New Roman" w:cs="Times New Roman"/>
          <w:kern w:val="0"/>
          <w:sz w:val="22"/>
          <w:szCs w:val="22"/>
        </w:rPr>
        <w:t>year</w:t>
      </w:r>
      <w:r>
        <w:rPr>
          <w:rFonts w:ascii="Times New Roman" w:hAnsi="Times New Roman" w:cs="Times New Roman"/>
          <w:kern w:val="0"/>
          <w:sz w:val="22"/>
          <w:szCs w:val="22"/>
        </w:rPr>
        <w:t xml:space="preserve"> end of</w:t>
      </w:r>
      <w:r w:rsidRPr="003410DE">
        <w:rPr>
          <w:rFonts w:ascii="Times New Roman" w:hAnsi="Times New Roman" w:cs="Times New Roman"/>
          <w:kern w:val="0"/>
          <w:sz w:val="22"/>
          <w:szCs w:val="22"/>
        </w:rPr>
        <w:t xml:space="preserve"> </w:t>
      </w:r>
      <w:r w:rsidRPr="003410DE">
        <w:rPr>
          <w:rFonts w:ascii="Times New Roman" w:hAnsi="Times New Roman" w:cs="Times New Roman"/>
          <w:i/>
          <w:iCs/>
          <w:kern w:val="0"/>
          <w:sz w:val="22"/>
          <w:szCs w:val="22"/>
        </w:rPr>
        <w:t>t-1</w:t>
      </w:r>
      <w:r w:rsidRPr="003410DE">
        <w:rPr>
          <w:rFonts w:ascii="Times New Roman" w:hAnsi="Times New Roman" w:cs="Times New Roman"/>
          <w:kern w:val="0"/>
          <w:sz w:val="22"/>
          <w:szCs w:val="22"/>
        </w:rPr>
        <w:t xml:space="preserve"> divided by</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market value of equity at the end of March at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We form 25 portfolios by combining the sorts by size and by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w:t>
      </w:r>
      <w:r w:rsidRPr="00D5561B">
        <w:rPr>
          <w:rFonts w:ascii="Times New Roman" w:hAnsi="Times New Roman" w:cs="Times New Roman"/>
          <w:i/>
          <w:kern w:val="0"/>
          <w:sz w:val="22"/>
          <w:szCs w:val="22"/>
        </w:rPr>
        <w:t>AdjD</w:t>
      </w:r>
      <w:r w:rsidRPr="0017025B">
        <w:rPr>
          <w:rFonts w:ascii="Times New Roman" w:hAnsi="Times New Roman" w:cs="Times New Roman"/>
          <w:i/>
          <w:kern w:val="0"/>
          <w:sz w:val="22"/>
          <w:szCs w:val="22"/>
        </w:rPr>
        <w:t>ITH</w:t>
      </w:r>
      <w:r w:rsidRPr="003410DE">
        <w:rPr>
          <w:rFonts w:ascii="Times New Roman" w:hAnsi="Times New Roman" w:cs="Times New Roman"/>
          <w:kern w:val="0"/>
          <w:sz w:val="22"/>
          <w:szCs w:val="22"/>
        </w:rPr>
        <w:t xml:space="preserve">, </w:t>
      </w:r>
      <w:r w:rsidRPr="00D5561B">
        <w:rPr>
          <w:rFonts w:ascii="Times New Roman" w:hAnsi="Times New Roman" w:cs="Times New Roman"/>
          <w:i/>
          <w:kern w:val="0"/>
          <w:sz w:val="22"/>
          <w:szCs w:val="22"/>
        </w:rPr>
        <w:t>AdjDIND</w:t>
      </w:r>
      <w:r w:rsidRPr="003410DE">
        <w:rPr>
          <w:rFonts w:ascii="Times New Roman" w:hAnsi="Times New Roman" w:cs="Times New Roman"/>
          <w:kern w:val="0"/>
          <w:sz w:val="22"/>
          <w:szCs w:val="22"/>
        </w:rPr>
        <w:t xml:space="preserve">, </w:t>
      </w:r>
      <w:r w:rsidRPr="0017025B">
        <w:rPr>
          <w:rFonts w:ascii="Times New Roman" w:hAnsi="Times New Roman" w:cs="Times New Roman"/>
          <w:i/>
          <w:kern w:val="0"/>
          <w:sz w:val="22"/>
          <w:szCs w:val="22"/>
        </w:rPr>
        <w:t>ITH</w:t>
      </w:r>
      <w:r w:rsidRPr="003410DE">
        <w:rPr>
          <w:rFonts w:ascii="Times New Roman" w:hAnsi="Times New Roman" w:cs="Times New Roman"/>
          <w:kern w:val="0"/>
          <w:sz w:val="22"/>
          <w:szCs w:val="22"/>
        </w:rPr>
        <w:t xml:space="preserve">, and </w:t>
      </w:r>
      <w:r w:rsidRPr="00D052B6">
        <w:rPr>
          <w:rFonts w:ascii="Times New Roman" w:hAnsi="Times New Roman" w:cs="Times New Roman"/>
          <w:i/>
          <w:kern w:val="0"/>
          <w:sz w:val="22"/>
          <w:szCs w:val="22"/>
        </w:rPr>
        <w:t>IND</w:t>
      </w:r>
      <w:r w:rsidRPr="003410DE">
        <w:rPr>
          <w:rFonts w:ascii="Times New Roman" w:hAnsi="Times New Roman" w:cs="Times New Roman"/>
          <w:kern w:val="0"/>
          <w:sz w:val="22"/>
          <w:szCs w:val="22"/>
        </w:rPr>
        <w:t xml:space="preserve"> are the adjusted changes in institutional ownership, adjusted changes in individual ownership, institutional ownership, and individual ownership, respectively, which are computed as explained in Table 1. </w:t>
      </w:r>
      <w:r>
        <w:rPr>
          <w:rFonts w:ascii="Times New Roman" w:hAnsi="Times New Roman" w:cs="Times New Roman"/>
          <w:kern w:val="0"/>
          <w:sz w:val="22"/>
          <w:szCs w:val="22"/>
        </w:rPr>
        <w:t xml:space="preserve">Equal-weighted and value-weighted averages are calculated. All numbers are in percentage. </w:t>
      </w:r>
      <w:r w:rsidRPr="003410DE">
        <w:rPr>
          <w:rFonts w:ascii="Times New Roman" w:hAnsi="Times New Roman" w:cs="Times New Roman"/>
          <w:kern w:val="0"/>
          <w:sz w:val="22"/>
          <w:szCs w:val="22"/>
        </w:rPr>
        <w:t xml:space="preserve"> </w:t>
      </w:r>
    </w:p>
    <w:p w:rsidR="00523FB7" w:rsidRPr="003410DE" w:rsidRDefault="00523FB7" w:rsidP="00B07CA5">
      <w:pPr>
        <w:overflowPunct w:val="0"/>
        <w:autoSpaceDE w:val="0"/>
        <w:autoSpaceDN w:val="0"/>
        <w:adjustRightInd w:val="0"/>
        <w:snapToGrid w:val="0"/>
        <w:jc w:val="both"/>
        <w:rPr>
          <w:rFonts w:ascii="Times New Roman" w:hAnsi="Times New Roman" w:cs="Times New Roman"/>
          <w:kern w:val="0"/>
          <w:sz w:val="22"/>
          <w:szCs w:val="22"/>
        </w:rPr>
      </w:pPr>
    </w:p>
    <w:tbl>
      <w:tblPr>
        <w:tblW w:w="5000" w:type="pct"/>
        <w:jc w:val="center"/>
        <w:tblCellMar>
          <w:left w:w="0" w:type="dxa"/>
          <w:right w:w="0" w:type="dxa"/>
        </w:tblCellMar>
        <w:tblLook w:val="00A0"/>
      </w:tblPr>
      <w:tblGrid>
        <w:gridCol w:w="1035"/>
        <w:gridCol w:w="870"/>
        <w:gridCol w:w="895"/>
        <w:gridCol w:w="964"/>
        <w:gridCol w:w="964"/>
        <w:gridCol w:w="869"/>
        <w:gridCol w:w="967"/>
        <w:gridCol w:w="495"/>
        <w:gridCol w:w="1034"/>
        <w:gridCol w:w="869"/>
        <w:gridCol w:w="942"/>
        <w:gridCol w:w="1034"/>
        <w:gridCol w:w="964"/>
        <w:gridCol w:w="1034"/>
        <w:gridCol w:w="1037"/>
      </w:tblGrid>
      <w:tr w:rsidR="00523FB7" w:rsidRPr="00740526">
        <w:trPr>
          <w:trHeight w:val="330"/>
          <w:jc w:val="center"/>
        </w:trPr>
        <w:tc>
          <w:tcPr>
            <w:tcW w:w="370" w:type="pct"/>
            <w:tcBorders>
              <w:top w:val="double" w:sz="4" w:space="0" w:color="auto"/>
              <w:left w:val="nil"/>
              <w:bottom w:val="nil"/>
              <w:right w:val="nil"/>
            </w:tcBorders>
            <w:vAlign w:val="bottom"/>
          </w:tcPr>
          <w:p w:rsidR="00523FB7" w:rsidRPr="00740526" w:rsidRDefault="00523FB7" w:rsidP="003132FD">
            <w:pPr>
              <w:snapToGrid w:val="0"/>
              <w:ind w:firstLineChars="100" w:firstLine="20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11" w:type="pct"/>
            <w:tcBorders>
              <w:top w:val="double" w:sz="4" w:space="0" w:color="auto"/>
              <w:left w:val="nil"/>
              <w:bottom w:val="single" w:sz="8" w:space="0" w:color="auto"/>
              <w:right w:val="nil"/>
            </w:tcBorders>
            <w:tcMar>
              <w:bottom w:w="0"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20" w:type="pct"/>
            <w:tcBorders>
              <w:top w:val="double" w:sz="4" w:space="0" w:color="auto"/>
              <w:left w:val="nil"/>
              <w:bottom w:val="single" w:sz="8" w:space="0" w:color="auto"/>
              <w:right w:val="nil"/>
            </w:tcBorders>
            <w:tcMar>
              <w:top w:w="15" w:type="dxa"/>
              <w:left w:w="22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45" w:type="pct"/>
            <w:tcBorders>
              <w:top w:val="double" w:sz="4" w:space="0" w:color="auto"/>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45" w:type="pct"/>
            <w:tcBorders>
              <w:top w:val="double" w:sz="4" w:space="0" w:color="auto"/>
              <w:left w:val="nil"/>
              <w:bottom w:val="single" w:sz="8" w:space="0" w:color="auto"/>
              <w:right w:val="nil"/>
            </w:tcBorders>
            <w:tcMar>
              <w:top w:w="1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2222" w:type="pct"/>
            <w:gridSpan w:val="7"/>
            <w:tcBorders>
              <w:top w:val="double" w:sz="4" w:space="0" w:color="auto"/>
              <w:left w:val="nil"/>
              <w:bottom w:val="single" w:sz="8" w:space="0" w:color="auto"/>
              <w:right w:val="nil"/>
            </w:tcBorders>
            <w:tcMar>
              <w:top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Size Quintile</w:t>
            </w:r>
          </w:p>
        </w:tc>
        <w:tc>
          <w:tcPr>
            <w:tcW w:w="345" w:type="pct"/>
            <w:tcBorders>
              <w:top w:val="double" w:sz="4" w:space="0" w:color="auto"/>
              <w:left w:val="nil"/>
              <w:bottom w:val="single" w:sz="8" w:space="0" w:color="auto"/>
              <w:right w:val="nil"/>
            </w:tcBorders>
            <w:tcMar>
              <w:top w:w="1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70" w:type="pct"/>
            <w:tcBorders>
              <w:top w:val="double" w:sz="4" w:space="0" w:color="auto"/>
              <w:left w:val="nil"/>
              <w:bottom w:val="single" w:sz="8" w:space="0" w:color="auto"/>
              <w:right w:val="nil"/>
            </w:tcBorders>
            <w:tcMar>
              <w:top w:w="1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71" w:type="pct"/>
            <w:tcBorders>
              <w:top w:val="double" w:sz="4" w:space="0" w:color="auto"/>
              <w:left w:val="nil"/>
              <w:bottom w:val="single" w:sz="8" w:space="0" w:color="auto"/>
              <w:right w:val="nil"/>
            </w:tcBorders>
            <w:tcMar>
              <w:top w:w="1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r>
      <w:tr w:rsidR="00523FB7" w:rsidRPr="00740526">
        <w:trPr>
          <w:trHeight w:val="345"/>
          <w:jc w:val="center"/>
        </w:trPr>
        <w:tc>
          <w:tcPr>
            <w:tcW w:w="370" w:type="pct"/>
            <w:tcBorders>
              <w:top w:val="nil"/>
              <w:left w:val="nil"/>
              <w:bottom w:val="nil"/>
              <w:right w:val="nil"/>
            </w:tcBorders>
            <w:vAlign w:val="bottom"/>
          </w:tcPr>
          <w:p w:rsidR="00523FB7" w:rsidRPr="00740526" w:rsidRDefault="00523FB7" w:rsidP="003132FD">
            <w:pPr>
              <w:snapToGrid w:val="0"/>
              <w:ind w:firstLineChars="100" w:firstLine="200"/>
              <w:rPr>
                <w:rFonts w:ascii="Times New Roman" w:hAnsi="Times New Roman" w:cs="Times New Roman"/>
                <w:color w:val="000000"/>
                <w:sz w:val="20"/>
                <w:szCs w:val="20"/>
              </w:rPr>
            </w:pPr>
          </w:p>
        </w:tc>
        <w:tc>
          <w:tcPr>
            <w:tcW w:w="1978" w:type="pct"/>
            <w:gridSpan w:val="6"/>
            <w:tcBorders>
              <w:top w:val="single" w:sz="8" w:space="0" w:color="auto"/>
              <w:left w:val="nil"/>
              <w:bottom w:val="single" w:sz="8" w:space="0" w:color="auto"/>
              <w:right w:val="nil"/>
            </w:tcBorders>
            <w:tcMar>
              <w:bottom w:w="0"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Panel A: Average Monthly Return (Equal Weighted)</w:t>
            </w:r>
          </w:p>
        </w:tc>
        <w:tc>
          <w:tcPr>
            <w:tcW w:w="177" w:type="pct"/>
            <w:tcBorders>
              <w:top w:val="nil"/>
              <w:left w:val="nil"/>
              <w:bottom w:val="nil"/>
              <w:right w:val="nil"/>
            </w:tcBorders>
            <w:tcMar>
              <w:top w:w="15" w:type="dxa"/>
              <w:left w:w="22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2104" w:type="pct"/>
            <w:gridSpan w:val="6"/>
            <w:tcBorders>
              <w:top w:val="single" w:sz="8" w:space="0" w:color="auto"/>
              <w:left w:val="nil"/>
              <w:bottom w:val="single" w:sz="8" w:space="0" w:color="auto"/>
              <w:right w:val="nil"/>
            </w:tcBorders>
            <w:tcMar>
              <w:top w:w="15" w:type="dxa"/>
              <w:bottom w:w="0" w:type="dxa"/>
              <w:right w:w="15" w:type="dxa"/>
            </w:tcMar>
            <w:vAlign w:val="bottom"/>
          </w:tcPr>
          <w:p w:rsidR="00523FB7" w:rsidRPr="00740526" w:rsidRDefault="00523FB7" w:rsidP="004B17ED">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Panel B: Average Monthly Return (Value Weighted)</w:t>
            </w:r>
          </w:p>
        </w:tc>
      </w:tr>
      <w:tr w:rsidR="00523FB7" w:rsidRPr="00740526">
        <w:trPr>
          <w:trHeight w:val="645"/>
          <w:jc w:val="center"/>
        </w:trPr>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1E0394">
            <w:pPr>
              <w:snapToGrid w:val="0"/>
              <w:jc w:val="center"/>
              <w:rPr>
                <w:rFonts w:ascii="Times New Roman" w:hAnsi="Times New Roman" w:cs="Times New Roman"/>
                <w:color w:val="000000"/>
                <w:sz w:val="20"/>
                <w:szCs w:val="20"/>
              </w:rPr>
            </w:pPr>
            <w:r w:rsidRPr="00740526">
              <w:rPr>
                <w:rFonts w:ascii="Times New Roman" w:hAnsi="Times New Roman" w:cs="Times New Roman"/>
                <w:i/>
                <w:sz w:val="20"/>
                <w:szCs w:val="20"/>
              </w:rPr>
              <w:t>BE/ME</w:t>
            </w:r>
            <w:r w:rsidRPr="00740526">
              <w:rPr>
                <w:rFonts w:ascii="Times New Roman" w:hAnsi="Times New Roman" w:cs="Times New Roman"/>
                <w:color w:val="000000"/>
                <w:sz w:val="20"/>
                <w:szCs w:val="20"/>
              </w:rPr>
              <w:t xml:space="preserve"> Quintile</w:t>
            </w:r>
          </w:p>
        </w:tc>
        <w:tc>
          <w:tcPr>
            <w:tcW w:w="31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Small</w:t>
            </w:r>
          </w:p>
        </w:tc>
        <w:tc>
          <w:tcPr>
            <w:tcW w:w="32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45"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45"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1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Large</w:t>
            </w:r>
          </w:p>
        </w:tc>
        <w:tc>
          <w:tcPr>
            <w:tcW w:w="346"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1E0394">
            <w:pPr>
              <w:snapToGrid w:val="0"/>
              <w:jc w:val="center"/>
              <w:rPr>
                <w:rFonts w:ascii="Times New Roman" w:hAnsi="Times New Roman" w:cs="Times New Roman"/>
                <w:color w:val="000000"/>
                <w:sz w:val="20"/>
                <w:szCs w:val="20"/>
              </w:rPr>
            </w:pPr>
            <w:r w:rsidRPr="00740526">
              <w:rPr>
                <w:rFonts w:ascii="Times New Roman" w:hAnsi="Times New Roman" w:cs="Times New Roman"/>
                <w:i/>
                <w:sz w:val="20"/>
                <w:szCs w:val="20"/>
              </w:rPr>
              <w:t>BE/ME</w:t>
            </w:r>
            <w:r w:rsidRPr="00740526">
              <w:rPr>
                <w:rFonts w:ascii="Times New Roman" w:hAnsi="Times New Roman" w:cs="Times New Roman"/>
                <w:color w:val="000000"/>
                <w:sz w:val="20"/>
                <w:szCs w:val="20"/>
              </w:rPr>
              <w:t xml:space="preserve"> Quintile</w:t>
            </w:r>
          </w:p>
        </w:tc>
        <w:tc>
          <w:tcPr>
            <w:tcW w:w="31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Small</w:t>
            </w:r>
          </w:p>
        </w:tc>
        <w:tc>
          <w:tcPr>
            <w:tcW w:w="337"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45"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Large</w:t>
            </w:r>
          </w:p>
        </w:tc>
        <w:tc>
          <w:tcPr>
            <w:tcW w:w="37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r>
      <w:tr w:rsidR="00523FB7" w:rsidRPr="00740526">
        <w:trPr>
          <w:trHeight w:val="315"/>
          <w:jc w:val="center"/>
        </w:trPr>
        <w:tc>
          <w:tcPr>
            <w:tcW w:w="37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Low</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1.58</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0.65</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1.05</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0.41</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0.57</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0.85</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Low</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1.46</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0.64</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1.03</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0.41</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0.51</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0.81</w:t>
            </w:r>
          </w:p>
        </w:tc>
      </w:tr>
      <w:tr w:rsidR="00523FB7" w:rsidRPr="00740526">
        <w:trPr>
          <w:trHeight w:val="315"/>
          <w:jc w:val="center"/>
        </w:trPr>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1.41</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0.83</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0.84</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0.68</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0.72</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0.90</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1.35</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0.84</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0.83</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0.69</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0.74</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0.89</w:t>
            </w:r>
          </w:p>
        </w:tc>
      </w:tr>
      <w:tr w:rsidR="00523FB7" w:rsidRPr="00740526">
        <w:trPr>
          <w:trHeight w:val="315"/>
          <w:jc w:val="center"/>
        </w:trPr>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1.45</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1.16</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0.94</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0.92</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0.90</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1.07</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1.35</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1.11</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0.92</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0.94</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0.89</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1.04</w:t>
            </w:r>
          </w:p>
        </w:tc>
      </w:tr>
      <w:tr w:rsidR="00523FB7" w:rsidRPr="00740526">
        <w:trPr>
          <w:trHeight w:val="315"/>
          <w:jc w:val="center"/>
        </w:trPr>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1.32</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1.13</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0.87</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1.03</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0.94</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1.09</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1.25</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1.1</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0.85</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1.02</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1.08</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1.06</w:t>
            </w:r>
          </w:p>
        </w:tc>
      </w:tr>
      <w:tr w:rsidR="00523FB7" w:rsidRPr="00740526">
        <w:trPr>
          <w:trHeight w:val="315"/>
          <w:jc w:val="center"/>
        </w:trPr>
        <w:tc>
          <w:tcPr>
            <w:tcW w:w="370"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High</w:t>
            </w:r>
          </w:p>
        </w:tc>
        <w:tc>
          <w:tcPr>
            <w:tcW w:w="311"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1.51</w:t>
            </w:r>
          </w:p>
        </w:tc>
        <w:tc>
          <w:tcPr>
            <w:tcW w:w="320"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1.15</w:t>
            </w:r>
          </w:p>
        </w:tc>
        <w:tc>
          <w:tcPr>
            <w:tcW w:w="345"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1.06</w:t>
            </w:r>
          </w:p>
        </w:tc>
        <w:tc>
          <w:tcPr>
            <w:tcW w:w="345"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1.02</w:t>
            </w:r>
          </w:p>
        </w:tc>
        <w:tc>
          <w:tcPr>
            <w:tcW w:w="311"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0.99</w:t>
            </w:r>
          </w:p>
        </w:tc>
        <w:tc>
          <w:tcPr>
            <w:tcW w:w="346"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1.15</w:t>
            </w:r>
          </w:p>
        </w:tc>
        <w:tc>
          <w:tcPr>
            <w:tcW w:w="177" w:type="pct"/>
            <w:tcBorders>
              <w:top w:val="nil"/>
              <w:left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High</w:t>
            </w:r>
          </w:p>
        </w:tc>
        <w:tc>
          <w:tcPr>
            <w:tcW w:w="311"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1.41</w:t>
            </w:r>
          </w:p>
        </w:tc>
        <w:tc>
          <w:tcPr>
            <w:tcW w:w="337"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1.11</w:t>
            </w:r>
          </w:p>
        </w:tc>
        <w:tc>
          <w:tcPr>
            <w:tcW w:w="370"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1.06</w:t>
            </w:r>
          </w:p>
        </w:tc>
        <w:tc>
          <w:tcPr>
            <w:tcW w:w="345"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1.03</w:t>
            </w:r>
          </w:p>
        </w:tc>
        <w:tc>
          <w:tcPr>
            <w:tcW w:w="370"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1.04</w:t>
            </w:r>
          </w:p>
        </w:tc>
        <w:tc>
          <w:tcPr>
            <w:tcW w:w="371"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1.13</w:t>
            </w:r>
          </w:p>
        </w:tc>
      </w:tr>
      <w:tr w:rsidR="00523FB7" w:rsidRPr="00740526">
        <w:trPr>
          <w:trHeight w:val="330"/>
          <w:jc w:val="center"/>
        </w:trPr>
        <w:tc>
          <w:tcPr>
            <w:tcW w:w="37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c>
          <w:tcPr>
            <w:tcW w:w="31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1.46</w:t>
            </w:r>
          </w:p>
        </w:tc>
        <w:tc>
          <w:tcPr>
            <w:tcW w:w="32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0.98</w:t>
            </w:r>
          </w:p>
        </w:tc>
        <w:tc>
          <w:tcPr>
            <w:tcW w:w="345"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0.95</w:t>
            </w:r>
          </w:p>
        </w:tc>
        <w:tc>
          <w:tcPr>
            <w:tcW w:w="345"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0.81</w:t>
            </w:r>
          </w:p>
        </w:tc>
        <w:tc>
          <w:tcPr>
            <w:tcW w:w="31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0.82</w:t>
            </w:r>
          </w:p>
        </w:tc>
        <w:tc>
          <w:tcPr>
            <w:tcW w:w="346"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p>
        </w:tc>
        <w:tc>
          <w:tcPr>
            <w:tcW w:w="177" w:type="pct"/>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c>
          <w:tcPr>
            <w:tcW w:w="31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1.36</w:t>
            </w:r>
          </w:p>
        </w:tc>
        <w:tc>
          <w:tcPr>
            <w:tcW w:w="337"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0.96</w:t>
            </w:r>
          </w:p>
        </w:tc>
        <w:tc>
          <w:tcPr>
            <w:tcW w:w="37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0.94</w:t>
            </w:r>
          </w:p>
        </w:tc>
        <w:tc>
          <w:tcPr>
            <w:tcW w:w="345"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0.82</w:t>
            </w:r>
          </w:p>
        </w:tc>
        <w:tc>
          <w:tcPr>
            <w:tcW w:w="37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0.85</w:t>
            </w:r>
          </w:p>
        </w:tc>
        <w:tc>
          <w:tcPr>
            <w:tcW w:w="37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r>
    </w:tbl>
    <w:p w:rsidR="00523FB7" w:rsidRPr="003410DE" w:rsidRDefault="00523FB7" w:rsidP="00F86FF5">
      <w:pPr>
        <w:rPr>
          <w:rFonts w:ascii="Times New Roman" w:hAnsi="Times New Roman" w:cs="Times New Roman"/>
        </w:rPr>
      </w:pPr>
    </w:p>
    <w:p w:rsidR="00523FB7" w:rsidRPr="003410DE" w:rsidRDefault="00523FB7" w:rsidP="00F86FF5">
      <w:pPr>
        <w:widowControl/>
        <w:rPr>
          <w:rFonts w:ascii="Times New Roman" w:hAnsi="Times New Roman" w:cs="Times New Roman"/>
          <w:b/>
          <w:bCs/>
        </w:rPr>
      </w:pPr>
      <w:r w:rsidRPr="003410DE">
        <w:rPr>
          <w:rFonts w:ascii="Times New Roman" w:hAnsi="Times New Roman" w:cs="Times New Roman"/>
        </w:rPr>
        <w:br w:type="page"/>
      </w:r>
      <w:r w:rsidRPr="003410DE">
        <w:rPr>
          <w:rFonts w:ascii="Times New Roman" w:hAnsi="Times New Roman" w:cs="Times New Roman"/>
          <w:b/>
          <w:bCs/>
        </w:rPr>
        <w:t>Table 2. continue</w:t>
      </w:r>
      <w:r>
        <w:rPr>
          <w:rFonts w:ascii="Times New Roman" w:hAnsi="Times New Roman" w:cs="Times New Roman"/>
          <w:b/>
          <w:bCs/>
        </w:rPr>
        <w:t>d</w:t>
      </w:r>
    </w:p>
    <w:tbl>
      <w:tblPr>
        <w:tblW w:w="5000" w:type="pct"/>
        <w:jc w:val="center"/>
        <w:tblCellMar>
          <w:left w:w="0" w:type="dxa"/>
          <w:right w:w="0" w:type="dxa"/>
        </w:tblCellMar>
        <w:tblLook w:val="00A0"/>
      </w:tblPr>
      <w:tblGrid>
        <w:gridCol w:w="1035"/>
        <w:gridCol w:w="870"/>
        <w:gridCol w:w="895"/>
        <w:gridCol w:w="964"/>
        <w:gridCol w:w="964"/>
        <w:gridCol w:w="869"/>
        <w:gridCol w:w="967"/>
        <w:gridCol w:w="495"/>
        <w:gridCol w:w="1034"/>
        <w:gridCol w:w="869"/>
        <w:gridCol w:w="942"/>
        <w:gridCol w:w="1034"/>
        <w:gridCol w:w="964"/>
        <w:gridCol w:w="1034"/>
        <w:gridCol w:w="1037"/>
      </w:tblGrid>
      <w:tr w:rsidR="00523FB7" w:rsidRPr="00740526">
        <w:trPr>
          <w:trHeight w:val="330"/>
          <w:jc w:val="center"/>
        </w:trPr>
        <w:tc>
          <w:tcPr>
            <w:tcW w:w="370" w:type="pct"/>
            <w:tcBorders>
              <w:top w:val="double" w:sz="4" w:space="0" w:color="auto"/>
              <w:left w:val="nil"/>
              <w:bottom w:val="nil"/>
              <w:right w:val="nil"/>
            </w:tcBorders>
            <w:vAlign w:val="bottom"/>
          </w:tcPr>
          <w:p w:rsidR="00523FB7" w:rsidRPr="00740526" w:rsidRDefault="00523FB7" w:rsidP="003132FD">
            <w:pPr>
              <w:snapToGrid w:val="0"/>
              <w:ind w:firstLineChars="100" w:firstLine="20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11" w:type="pct"/>
            <w:tcBorders>
              <w:top w:val="double" w:sz="4" w:space="0" w:color="auto"/>
              <w:left w:val="nil"/>
              <w:bottom w:val="single" w:sz="8" w:space="0" w:color="auto"/>
              <w:right w:val="nil"/>
            </w:tcBorders>
            <w:tcMar>
              <w:bottom w:w="0"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20" w:type="pct"/>
            <w:tcBorders>
              <w:top w:val="double" w:sz="4" w:space="0" w:color="auto"/>
              <w:left w:val="nil"/>
              <w:bottom w:val="single" w:sz="8" w:space="0" w:color="auto"/>
              <w:right w:val="nil"/>
            </w:tcBorders>
            <w:tcMar>
              <w:top w:w="15" w:type="dxa"/>
              <w:left w:w="22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45" w:type="pct"/>
            <w:tcBorders>
              <w:top w:val="double" w:sz="4" w:space="0" w:color="auto"/>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45" w:type="pct"/>
            <w:tcBorders>
              <w:top w:val="double" w:sz="4" w:space="0" w:color="auto"/>
              <w:left w:val="nil"/>
              <w:bottom w:val="single" w:sz="8" w:space="0" w:color="auto"/>
              <w:right w:val="nil"/>
            </w:tcBorders>
            <w:tcMar>
              <w:top w:w="1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2222" w:type="pct"/>
            <w:gridSpan w:val="7"/>
            <w:tcBorders>
              <w:top w:val="double" w:sz="4" w:space="0" w:color="auto"/>
              <w:left w:val="nil"/>
              <w:bottom w:val="single" w:sz="8" w:space="0" w:color="auto"/>
              <w:right w:val="nil"/>
            </w:tcBorders>
            <w:tcMar>
              <w:top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Size Quintile</w:t>
            </w:r>
          </w:p>
        </w:tc>
        <w:tc>
          <w:tcPr>
            <w:tcW w:w="345" w:type="pct"/>
            <w:tcBorders>
              <w:top w:val="double" w:sz="4" w:space="0" w:color="auto"/>
              <w:left w:val="nil"/>
              <w:bottom w:val="single" w:sz="8" w:space="0" w:color="auto"/>
              <w:right w:val="nil"/>
            </w:tcBorders>
            <w:tcMar>
              <w:top w:w="1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70" w:type="pct"/>
            <w:tcBorders>
              <w:top w:val="double" w:sz="4" w:space="0" w:color="auto"/>
              <w:left w:val="nil"/>
              <w:bottom w:val="single" w:sz="8" w:space="0" w:color="auto"/>
              <w:right w:val="nil"/>
            </w:tcBorders>
            <w:tcMar>
              <w:top w:w="1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371" w:type="pct"/>
            <w:tcBorders>
              <w:top w:val="double" w:sz="4" w:space="0" w:color="auto"/>
              <w:left w:val="nil"/>
              <w:bottom w:val="single" w:sz="8" w:space="0" w:color="auto"/>
              <w:right w:val="nil"/>
            </w:tcBorders>
            <w:tcMar>
              <w:top w:w="15" w:type="dxa"/>
              <w:bottom w:w="0" w:type="dxa"/>
              <w:right w:w="15" w:type="dxa"/>
            </w:tcMar>
            <w:vAlign w:val="bottom"/>
          </w:tcPr>
          <w:p w:rsidR="00523FB7" w:rsidRPr="00740526" w:rsidRDefault="00523FB7" w:rsidP="00C62239">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r>
      <w:tr w:rsidR="00523FB7" w:rsidRPr="00740526">
        <w:trPr>
          <w:trHeight w:val="345"/>
          <w:jc w:val="center"/>
        </w:trPr>
        <w:tc>
          <w:tcPr>
            <w:tcW w:w="370" w:type="pct"/>
            <w:tcBorders>
              <w:top w:val="nil"/>
              <w:left w:val="nil"/>
              <w:bottom w:val="nil"/>
              <w:right w:val="nil"/>
            </w:tcBorders>
            <w:vAlign w:val="bottom"/>
          </w:tcPr>
          <w:p w:rsidR="00523FB7" w:rsidRPr="00740526" w:rsidRDefault="00523FB7" w:rsidP="003132FD">
            <w:pPr>
              <w:snapToGrid w:val="0"/>
              <w:ind w:firstLineChars="100" w:firstLine="200"/>
              <w:rPr>
                <w:rFonts w:ascii="Times New Roman" w:hAnsi="Times New Roman" w:cs="Times New Roman"/>
                <w:color w:val="000000"/>
                <w:sz w:val="20"/>
                <w:szCs w:val="20"/>
              </w:rPr>
            </w:pPr>
          </w:p>
        </w:tc>
        <w:tc>
          <w:tcPr>
            <w:tcW w:w="1978" w:type="pct"/>
            <w:gridSpan w:val="6"/>
            <w:tcBorders>
              <w:top w:val="single" w:sz="8" w:space="0" w:color="auto"/>
              <w:left w:val="nil"/>
              <w:bottom w:val="single" w:sz="8" w:space="0" w:color="auto"/>
              <w:right w:val="nil"/>
            </w:tcBorders>
            <w:tcMar>
              <w:bottom w:w="0" w:type="dxa"/>
            </w:tcMar>
            <w:vAlign w:val="bottom"/>
          </w:tcPr>
          <w:p w:rsidR="00523FB7" w:rsidRPr="00740526" w:rsidRDefault="00523FB7" w:rsidP="00E578DE">
            <w:pPr>
              <w:snapToGrid w:val="0"/>
              <w:jc w:val="center"/>
              <w:rPr>
                <w:rFonts w:ascii="Times New Roman" w:hAnsi="Times New Roman" w:cs="Times New Roman"/>
                <w:i/>
                <w:color w:val="000000"/>
                <w:sz w:val="20"/>
                <w:szCs w:val="20"/>
              </w:rPr>
            </w:pPr>
            <w:r w:rsidRPr="00740526">
              <w:rPr>
                <w:rFonts w:ascii="Times New Roman" w:hAnsi="Times New Roman" w:cs="Times New Roman"/>
                <w:color w:val="000000"/>
                <w:sz w:val="20"/>
                <w:szCs w:val="20"/>
              </w:rPr>
              <w:t xml:space="preserve">Panel C: </w:t>
            </w:r>
            <w:r w:rsidRPr="00740526">
              <w:rPr>
                <w:rFonts w:ascii="Times New Roman" w:hAnsi="Times New Roman" w:cs="Times New Roman"/>
                <w:i/>
                <w:sz w:val="20"/>
                <w:szCs w:val="20"/>
              </w:rPr>
              <w:t>AdjDITH</w:t>
            </w:r>
          </w:p>
        </w:tc>
        <w:tc>
          <w:tcPr>
            <w:tcW w:w="177" w:type="pct"/>
            <w:tcBorders>
              <w:top w:val="nil"/>
              <w:left w:val="nil"/>
              <w:bottom w:val="nil"/>
              <w:right w:val="nil"/>
            </w:tcBorders>
            <w:tcMar>
              <w:top w:w="15" w:type="dxa"/>
              <w:left w:w="22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2104" w:type="pct"/>
            <w:gridSpan w:val="6"/>
            <w:tcBorders>
              <w:top w:val="single" w:sz="8" w:space="0" w:color="auto"/>
              <w:left w:val="nil"/>
              <w:bottom w:val="single" w:sz="8" w:space="0" w:color="auto"/>
              <w:right w:val="nil"/>
            </w:tcBorders>
            <w:tcMar>
              <w:top w:w="15" w:type="dxa"/>
              <w:bottom w:w="0" w:type="dxa"/>
              <w:right w:w="15" w:type="dxa"/>
            </w:tcMar>
            <w:vAlign w:val="bottom"/>
          </w:tcPr>
          <w:p w:rsidR="00523FB7" w:rsidRPr="00740526" w:rsidRDefault="00523FB7" w:rsidP="00E578DE">
            <w:pPr>
              <w:snapToGrid w:val="0"/>
              <w:jc w:val="center"/>
              <w:rPr>
                <w:rFonts w:ascii="Times New Roman" w:hAnsi="Times New Roman" w:cs="Times New Roman"/>
                <w:i/>
                <w:color w:val="000000"/>
                <w:sz w:val="20"/>
                <w:szCs w:val="20"/>
              </w:rPr>
            </w:pPr>
            <w:r w:rsidRPr="00740526">
              <w:rPr>
                <w:rFonts w:ascii="Times New Roman" w:hAnsi="Times New Roman" w:cs="Times New Roman"/>
                <w:color w:val="000000"/>
                <w:sz w:val="20"/>
                <w:szCs w:val="20"/>
              </w:rPr>
              <w:t xml:space="preserve">Panel D: </w:t>
            </w:r>
            <w:r w:rsidRPr="00740526">
              <w:rPr>
                <w:rFonts w:ascii="Times New Roman" w:hAnsi="Times New Roman" w:cs="Times New Roman"/>
                <w:i/>
                <w:sz w:val="20"/>
                <w:szCs w:val="20"/>
              </w:rPr>
              <w:t>AdjDIND</w:t>
            </w:r>
          </w:p>
        </w:tc>
      </w:tr>
      <w:tr w:rsidR="00523FB7" w:rsidRPr="00740526">
        <w:trPr>
          <w:trHeight w:val="645"/>
          <w:jc w:val="center"/>
        </w:trPr>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1E0394">
            <w:pPr>
              <w:snapToGrid w:val="0"/>
              <w:jc w:val="center"/>
              <w:rPr>
                <w:rFonts w:ascii="Times New Roman" w:hAnsi="Times New Roman" w:cs="Times New Roman"/>
                <w:color w:val="000000"/>
                <w:sz w:val="20"/>
                <w:szCs w:val="20"/>
              </w:rPr>
            </w:pPr>
            <w:r w:rsidRPr="00740526">
              <w:rPr>
                <w:rFonts w:ascii="Times New Roman" w:hAnsi="Times New Roman" w:cs="Times New Roman"/>
                <w:i/>
                <w:sz w:val="20"/>
                <w:szCs w:val="20"/>
              </w:rPr>
              <w:t>BE/ME</w:t>
            </w:r>
            <w:r w:rsidRPr="00740526">
              <w:rPr>
                <w:rFonts w:ascii="Times New Roman" w:hAnsi="Times New Roman" w:cs="Times New Roman"/>
                <w:color w:val="000000"/>
                <w:sz w:val="20"/>
                <w:szCs w:val="20"/>
              </w:rPr>
              <w:t xml:space="preserve"> Quintile</w:t>
            </w:r>
          </w:p>
        </w:tc>
        <w:tc>
          <w:tcPr>
            <w:tcW w:w="31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Small</w:t>
            </w:r>
          </w:p>
        </w:tc>
        <w:tc>
          <w:tcPr>
            <w:tcW w:w="32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45"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45"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1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Large</w:t>
            </w:r>
          </w:p>
        </w:tc>
        <w:tc>
          <w:tcPr>
            <w:tcW w:w="346"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1E0394">
            <w:pPr>
              <w:snapToGrid w:val="0"/>
              <w:jc w:val="center"/>
              <w:rPr>
                <w:rFonts w:ascii="Times New Roman" w:hAnsi="Times New Roman" w:cs="Times New Roman"/>
                <w:color w:val="000000"/>
                <w:sz w:val="20"/>
                <w:szCs w:val="20"/>
              </w:rPr>
            </w:pPr>
            <w:r w:rsidRPr="00740526">
              <w:rPr>
                <w:rFonts w:ascii="Times New Roman" w:hAnsi="Times New Roman" w:cs="Times New Roman"/>
                <w:i/>
                <w:sz w:val="20"/>
                <w:szCs w:val="20"/>
              </w:rPr>
              <w:t>BE/ME</w:t>
            </w:r>
            <w:r w:rsidRPr="00740526">
              <w:rPr>
                <w:rFonts w:ascii="Times New Roman" w:hAnsi="Times New Roman" w:cs="Times New Roman"/>
                <w:color w:val="000000"/>
                <w:sz w:val="20"/>
                <w:szCs w:val="20"/>
              </w:rPr>
              <w:t xml:space="preserve"> Quintile</w:t>
            </w:r>
          </w:p>
        </w:tc>
        <w:tc>
          <w:tcPr>
            <w:tcW w:w="31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Small</w:t>
            </w:r>
          </w:p>
        </w:tc>
        <w:tc>
          <w:tcPr>
            <w:tcW w:w="337"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45"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Large</w:t>
            </w:r>
          </w:p>
        </w:tc>
        <w:tc>
          <w:tcPr>
            <w:tcW w:w="37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r>
      <w:tr w:rsidR="00523FB7" w:rsidRPr="00740526">
        <w:trPr>
          <w:trHeight w:val="315"/>
          <w:jc w:val="center"/>
        </w:trPr>
        <w:tc>
          <w:tcPr>
            <w:tcW w:w="37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Low</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0.23</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0.23</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0.57</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0.63</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0.24</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0.38</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Low</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-0.82</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-1.65</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-1.23</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-0.67</w:t>
            </w:r>
          </w:p>
        </w:tc>
      </w:tr>
      <w:tr w:rsidR="00523FB7" w:rsidRPr="00740526">
        <w:trPr>
          <w:trHeight w:val="315"/>
          <w:jc w:val="center"/>
        </w:trPr>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0.17</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0.26</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0.45</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0.63</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0.31</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0.44</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-0.47</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-0.91</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-1.07</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-0.38</w:t>
            </w:r>
          </w:p>
        </w:tc>
      </w:tr>
      <w:tr w:rsidR="00523FB7" w:rsidRPr="00740526">
        <w:trPr>
          <w:trHeight w:val="315"/>
          <w:jc w:val="center"/>
        </w:trPr>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0.18</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0.18</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0.20</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0.17</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0.60</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0.26</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-0.36</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-0.66</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0.15</w:t>
            </w:r>
          </w:p>
        </w:tc>
      </w:tr>
      <w:tr w:rsidR="00523FB7" w:rsidRPr="00740526">
        <w:trPr>
          <w:trHeight w:val="315"/>
          <w:jc w:val="center"/>
        </w:trPr>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0.28</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-0.01</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-0.07</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1.41</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0.58</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0.26</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-0.77</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0.31</w:t>
            </w:r>
          </w:p>
        </w:tc>
      </w:tr>
      <w:tr w:rsidR="00523FB7" w:rsidRPr="00740526">
        <w:trPr>
          <w:trHeight w:val="315"/>
          <w:jc w:val="center"/>
        </w:trPr>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High</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-0.17</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0.11</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-0.04</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High</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1.61</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0.90</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0.64</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0.41</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0.07</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0.73</w:t>
            </w:r>
          </w:p>
        </w:tc>
      </w:tr>
      <w:tr w:rsidR="00523FB7" w:rsidRPr="00740526">
        <w:trPr>
          <w:trHeight w:val="330"/>
          <w:jc w:val="center"/>
        </w:trPr>
        <w:tc>
          <w:tcPr>
            <w:tcW w:w="370"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c>
          <w:tcPr>
            <w:tcW w:w="31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320"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0.20</w:t>
            </w:r>
          </w:p>
        </w:tc>
        <w:tc>
          <w:tcPr>
            <w:tcW w:w="345"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0.20</w:t>
            </w:r>
          </w:p>
        </w:tc>
        <w:tc>
          <w:tcPr>
            <w:tcW w:w="345"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p>
        </w:tc>
        <w:tc>
          <w:tcPr>
            <w:tcW w:w="31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0.11</w:t>
            </w:r>
          </w:p>
        </w:tc>
        <w:tc>
          <w:tcPr>
            <w:tcW w:w="346"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c>
          <w:tcPr>
            <w:tcW w:w="31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0.91</w:t>
            </w:r>
          </w:p>
        </w:tc>
        <w:tc>
          <w:tcPr>
            <w:tcW w:w="337"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0.47</w:t>
            </w:r>
          </w:p>
        </w:tc>
        <w:tc>
          <w:tcPr>
            <w:tcW w:w="370"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345"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-0.49</w:t>
            </w:r>
          </w:p>
        </w:tc>
        <w:tc>
          <w:tcPr>
            <w:tcW w:w="370"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-0.73</w:t>
            </w:r>
          </w:p>
        </w:tc>
        <w:tc>
          <w:tcPr>
            <w:tcW w:w="37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r>
      <w:tr w:rsidR="00523FB7" w:rsidRPr="00740526">
        <w:trPr>
          <w:trHeight w:val="345"/>
          <w:jc w:val="center"/>
        </w:trPr>
        <w:tc>
          <w:tcPr>
            <w:tcW w:w="370" w:type="pct"/>
            <w:tcBorders>
              <w:top w:val="nil"/>
              <w:left w:val="nil"/>
              <w:bottom w:val="nil"/>
              <w:right w:val="nil"/>
            </w:tcBorders>
            <w:vAlign w:val="bottom"/>
          </w:tcPr>
          <w:p w:rsidR="00523FB7" w:rsidRPr="00740526" w:rsidRDefault="00523FB7" w:rsidP="003132FD">
            <w:pPr>
              <w:snapToGrid w:val="0"/>
              <w:ind w:firstLineChars="100" w:firstLine="200"/>
              <w:rPr>
                <w:rFonts w:ascii="Times New Roman" w:hAnsi="Times New Roman" w:cs="Times New Roman"/>
                <w:color w:val="000000"/>
                <w:sz w:val="20"/>
                <w:szCs w:val="20"/>
              </w:rPr>
            </w:pPr>
          </w:p>
        </w:tc>
        <w:tc>
          <w:tcPr>
            <w:tcW w:w="1978" w:type="pct"/>
            <w:gridSpan w:val="6"/>
            <w:tcBorders>
              <w:top w:val="single" w:sz="8" w:space="0" w:color="auto"/>
              <w:left w:val="nil"/>
              <w:bottom w:val="single" w:sz="8" w:space="0" w:color="auto"/>
              <w:right w:val="nil"/>
            </w:tcBorders>
            <w:tcMar>
              <w:bottom w:w="0" w:type="dxa"/>
            </w:tcMar>
            <w:vAlign w:val="bottom"/>
          </w:tcPr>
          <w:p w:rsidR="00523FB7" w:rsidRPr="00740526" w:rsidRDefault="00523FB7" w:rsidP="00E578DE">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Panel E: Average </w:t>
            </w:r>
            <w:r w:rsidRPr="00740526">
              <w:rPr>
                <w:rFonts w:ascii="Times New Roman" w:hAnsi="Times New Roman" w:cs="Times New Roman"/>
                <w:i/>
                <w:color w:val="000000"/>
                <w:sz w:val="20"/>
                <w:szCs w:val="20"/>
              </w:rPr>
              <w:t>ITH</w:t>
            </w:r>
          </w:p>
        </w:tc>
        <w:tc>
          <w:tcPr>
            <w:tcW w:w="177" w:type="pct"/>
            <w:tcBorders>
              <w:top w:val="nil"/>
              <w:left w:val="nil"/>
              <w:bottom w:val="nil"/>
              <w:right w:val="nil"/>
            </w:tcBorders>
            <w:tcMar>
              <w:top w:w="15" w:type="dxa"/>
              <w:left w:w="22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2104" w:type="pct"/>
            <w:gridSpan w:val="6"/>
            <w:tcBorders>
              <w:top w:val="single" w:sz="8" w:space="0" w:color="auto"/>
              <w:left w:val="nil"/>
              <w:bottom w:val="single" w:sz="8" w:space="0" w:color="auto"/>
              <w:right w:val="nil"/>
            </w:tcBorders>
            <w:tcMar>
              <w:top w:w="15" w:type="dxa"/>
              <w:bottom w:w="0" w:type="dxa"/>
              <w:right w:w="15" w:type="dxa"/>
            </w:tcMar>
            <w:vAlign w:val="bottom"/>
          </w:tcPr>
          <w:p w:rsidR="00523FB7" w:rsidRPr="00740526" w:rsidRDefault="00523FB7" w:rsidP="00E578DE">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Panel F: Average </w:t>
            </w:r>
            <w:r w:rsidRPr="00740526">
              <w:rPr>
                <w:rFonts w:ascii="Times New Roman" w:hAnsi="Times New Roman" w:cs="Times New Roman"/>
                <w:i/>
                <w:color w:val="000000"/>
                <w:sz w:val="20"/>
                <w:szCs w:val="20"/>
              </w:rPr>
              <w:t>IND</w:t>
            </w:r>
          </w:p>
        </w:tc>
      </w:tr>
      <w:tr w:rsidR="00523FB7" w:rsidRPr="00740526">
        <w:trPr>
          <w:trHeight w:val="645"/>
          <w:jc w:val="center"/>
        </w:trPr>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1E0394">
            <w:pPr>
              <w:snapToGrid w:val="0"/>
              <w:jc w:val="center"/>
              <w:rPr>
                <w:rFonts w:ascii="Times New Roman" w:hAnsi="Times New Roman" w:cs="Times New Roman"/>
                <w:color w:val="000000"/>
                <w:sz w:val="20"/>
                <w:szCs w:val="20"/>
              </w:rPr>
            </w:pPr>
            <w:r w:rsidRPr="00740526">
              <w:rPr>
                <w:rFonts w:ascii="Times New Roman" w:hAnsi="Times New Roman" w:cs="Times New Roman"/>
                <w:i/>
                <w:sz w:val="20"/>
                <w:szCs w:val="20"/>
              </w:rPr>
              <w:t>BE/ME</w:t>
            </w:r>
            <w:r w:rsidRPr="00740526">
              <w:rPr>
                <w:rFonts w:ascii="Times New Roman" w:hAnsi="Times New Roman" w:cs="Times New Roman"/>
                <w:color w:val="000000"/>
                <w:sz w:val="20"/>
                <w:szCs w:val="20"/>
              </w:rPr>
              <w:t xml:space="preserve"> Quintile</w:t>
            </w:r>
          </w:p>
        </w:tc>
        <w:tc>
          <w:tcPr>
            <w:tcW w:w="31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Small</w:t>
            </w:r>
          </w:p>
        </w:tc>
        <w:tc>
          <w:tcPr>
            <w:tcW w:w="32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45"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45"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1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Large</w:t>
            </w:r>
          </w:p>
        </w:tc>
        <w:tc>
          <w:tcPr>
            <w:tcW w:w="346"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1E0394">
            <w:pPr>
              <w:snapToGrid w:val="0"/>
              <w:jc w:val="center"/>
              <w:rPr>
                <w:rFonts w:ascii="Times New Roman" w:hAnsi="Times New Roman" w:cs="Times New Roman"/>
                <w:color w:val="000000"/>
                <w:sz w:val="20"/>
                <w:szCs w:val="20"/>
              </w:rPr>
            </w:pPr>
            <w:r w:rsidRPr="00740526">
              <w:rPr>
                <w:rFonts w:ascii="Times New Roman" w:hAnsi="Times New Roman" w:cs="Times New Roman"/>
                <w:i/>
                <w:sz w:val="20"/>
                <w:szCs w:val="20"/>
              </w:rPr>
              <w:t>BE/ME</w:t>
            </w:r>
            <w:r w:rsidRPr="00740526">
              <w:rPr>
                <w:rFonts w:ascii="Times New Roman" w:hAnsi="Times New Roman" w:cs="Times New Roman"/>
                <w:color w:val="000000"/>
                <w:sz w:val="20"/>
                <w:szCs w:val="20"/>
              </w:rPr>
              <w:t xml:space="preserve"> Quintile</w:t>
            </w:r>
          </w:p>
        </w:tc>
        <w:tc>
          <w:tcPr>
            <w:tcW w:w="31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Small</w:t>
            </w:r>
          </w:p>
        </w:tc>
        <w:tc>
          <w:tcPr>
            <w:tcW w:w="337"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45"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70"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Large</w:t>
            </w:r>
          </w:p>
        </w:tc>
        <w:tc>
          <w:tcPr>
            <w:tcW w:w="37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r>
      <w:tr w:rsidR="00523FB7" w:rsidRPr="00740526">
        <w:trPr>
          <w:trHeight w:val="315"/>
          <w:jc w:val="center"/>
        </w:trPr>
        <w:tc>
          <w:tcPr>
            <w:tcW w:w="37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Low</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60.24</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63.77</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65.70</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64.29</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62.37</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63.27</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Low</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37.53</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32.62</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30.01</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29.22</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24.84</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30.84</w:t>
            </w:r>
          </w:p>
        </w:tc>
      </w:tr>
      <w:tr w:rsidR="00523FB7" w:rsidRPr="00740526">
        <w:trPr>
          <w:trHeight w:val="315"/>
          <w:jc w:val="center"/>
        </w:trPr>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57.68</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62.52</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62.57</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63.82</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64.36</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62.19</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39.53</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33.49</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32.70</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29.17</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24.56</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31.89</w:t>
            </w:r>
          </w:p>
        </w:tc>
      </w:tr>
      <w:tr w:rsidR="00523FB7" w:rsidRPr="00740526">
        <w:trPr>
          <w:trHeight w:val="315"/>
          <w:jc w:val="center"/>
        </w:trPr>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58.21</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60.25</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61.71</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65.10</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65.66</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62.19</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38.83</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35.56</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33.00</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27.85</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24.82</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32.01</w:t>
            </w:r>
          </w:p>
        </w:tc>
      </w:tr>
      <w:tr w:rsidR="00523FB7" w:rsidRPr="00740526">
        <w:trPr>
          <w:trHeight w:val="315"/>
          <w:jc w:val="center"/>
        </w:trPr>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57.52</w:t>
            </w:r>
          </w:p>
        </w:tc>
        <w:tc>
          <w:tcPr>
            <w:tcW w:w="32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59.53</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62.25</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65.26</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65.59</w:t>
            </w:r>
          </w:p>
        </w:tc>
        <w:tc>
          <w:tcPr>
            <w:tcW w:w="346"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62.03</w:t>
            </w:r>
          </w:p>
        </w:tc>
        <w:tc>
          <w:tcPr>
            <w:tcW w:w="17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3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39.08</w:t>
            </w:r>
          </w:p>
        </w:tc>
        <w:tc>
          <w:tcPr>
            <w:tcW w:w="337"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36.15</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32.62</w:t>
            </w:r>
          </w:p>
        </w:tc>
        <w:tc>
          <w:tcPr>
            <w:tcW w:w="345"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27.93</w:t>
            </w:r>
          </w:p>
        </w:tc>
        <w:tc>
          <w:tcPr>
            <w:tcW w:w="370"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26.25</w:t>
            </w:r>
          </w:p>
        </w:tc>
        <w:tc>
          <w:tcPr>
            <w:tcW w:w="37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32.41</w:t>
            </w:r>
          </w:p>
        </w:tc>
      </w:tr>
      <w:tr w:rsidR="00523FB7" w:rsidRPr="00740526">
        <w:trPr>
          <w:trHeight w:val="315"/>
          <w:jc w:val="center"/>
        </w:trPr>
        <w:tc>
          <w:tcPr>
            <w:tcW w:w="370"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High</w:t>
            </w:r>
          </w:p>
        </w:tc>
        <w:tc>
          <w:tcPr>
            <w:tcW w:w="311"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55.67</w:t>
            </w:r>
          </w:p>
        </w:tc>
        <w:tc>
          <w:tcPr>
            <w:tcW w:w="320"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57.68</w:t>
            </w:r>
          </w:p>
        </w:tc>
        <w:tc>
          <w:tcPr>
            <w:tcW w:w="345"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62.91</w:t>
            </w:r>
          </w:p>
        </w:tc>
        <w:tc>
          <w:tcPr>
            <w:tcW w:w="345"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64.94</w:t>
            </w:r>
          </w:p>
        </w:tc>
        <w:tc>
          <w:tcPr>
            <w:tcW w:w="311"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64.52</w:t>
            </w:r>
          </w:p>
        </w:tc>
        <w:tc>
          <w:tcPr>
            <w:tcW w:w="346"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61.14</w:t>
            </w:r>
          </w:p>
        </w:tc>
        <w:tc>
          <w:tcPr>
            <w:tcW w:w="177" w:type="pct"/>
            <w:tcBorders>
              <w:top w:val="nil"/>
              <w:left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High</w:t>
            </w:r>
          </w:p>
        </w:tc>
        <w:tc>
          <w:tcPr>
            <w:tcW w:w="311"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40.25</w:t>
            </w:r>
          </w:p>
        </w:tc>
        <w:tc>
          <w:tcPr>
            <w:tcW w:w="337"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37.47</w:t>
            </w:r>
          </w:p>
        </w:tc>
        <w:tc>
          <w:tcPr>
            <w:tcW w:w="370"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31.94</w:t>
            </w:r>
          </w:p>
        </w:tc>
        <w:tc>
          <w:tcPr>
            <w:tcW w:w="345"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28.93</w:t>
            </w:r>
          </w:p>
        </w:tc>
        <w:tc>
          <w:tcPr>
            <w:tcW w:w="370"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27.82</w:t>
            </w:r>
          </w:p>
        </w:tc>
        <w:tc>
          <w:tcPr>
            <w:tcW w:w="371"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33.28</w:t>
            </w:r>
          </w:p>
        </w:tc>
      </w:tr>
      <w:tr w:rsidR="00523FB7" w:rsidRPr="00740526">
        <w:trPr>
          <w:trHeight w:val="330"/>
          <w:jc w:val="center"/>
        </w:trPr>
        <w:tc>
          <w:tcPr>
            <w:tcW w:w="37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c>
          <w:tcPr>
            <w:tcW w:w="31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57.86</w:t>
            </w:r>
          </w:p>
        </w:tc>
        <w:tc>
          <w:tcPr>
            <w:tcW w:w="32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60.75</w:t>
            </w:r>
          </w:p>
        </w:tc>
        <w:tc>
          <w:tcPr>
            <w:tcW w:w="345"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63.03</w:t>
            </w:r>
          </w:p>
        </w:tc>
        <w:tc>
          <w:tcPr>
            <w:tcW w:w="345"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64.68</w:t>
            </w:r>
          </w:p>
        </w:tc>
        <w:tc>
          <w:tcPr>
            <w:tcW w:w="31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64.50</w:t>
            </w:r>
          </w:p>
        </w:tc>
        <w:tc>
          <w:tcPr>
            <w:tcW w:w="346"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77" w:type="pct"/>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37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All</w:t>
            </w:r>
          </w:p>
        </w:tc>
        <w:tc>
          <w:tcPr>
            <w:tcW w:w="31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39.04</w:t>
            </w:r>
          </w:p>
        </w:tc>
        <w:tc>
          <w:tcPr>
            <w:tcW w:w="337"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35.06</w:t>
            </w:r>
          </w:p>
        </w:tc>
        <w:tc>
          <w:tcPr>
            <w:tcW w:w="37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32.05</w:t>
            </w:r>
          </w:p>
        </w:tc>
        <w:tc>
          <w:tcPr>
            <w:tcW w:w="345"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28.62</w:t>
            </w:r>
          </w:p>
        </w:tc>
        <w:tc>
          <w:tcPr>
            <w:tcW w:w="37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Times New Roman"/>
                <w:color w:val="000000"/>
                <w:sz w:val="20"/>
                <w:szCs w:val="20"/>
              </w:rPr>
              <w:t>25.66</w:t>
            </w:r>
          </w:p>
        </w:tc>
        <w:tc>
          <w:tcPr>
            <w:tcW w:w="37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r>
    </w:tbl>
    <w:p w:rsidR="00523FB7" w:rsidRPr="003410DE" w:rsidRDefault="00523FB7" w:rsidP="00F86FF5">
      <w:pPr>
        <w:widowControl/>
        <w:rPr>
          <w:rFonts w:ascii="Times New Roman" w:hAnsi="Times New Roman" w:cs="Times New Roman"/>
          <w:b/>
          <w:bCs/>
          <w:kern w:val="0"/>
        </w:rPr>
      </w:pPr>
      <w:r w:rsidRPr="003410DE">
        <w:rPr>
          <w:rFonts w:ascii="Times New Roman" w:hAnsi="Times New Roman" w:cs="Times New Roman"/>
          <w:kern w:val="0"/>
        </w:rPr>
        <w:br w:type="page"/>
      </w:r>
      <w:r w:rsidRPr="003410DE">
        <w:rPr>
          <w:rFonts w:ascii="Times New Roman" w:hAnsi="Times New Roman" w:cs="Times New Roman"/>
          <w:b/>
          <w:bCs/>
          <w:kern w:val="0"/>
        </w:rPr>
        <w:t xml:space="preserve">Table 3. Characteristics </w:t>
      </w:r>
      <w:r>
        <w:rPr>
          <w:rFonts w:ascii="Times New Roman" w:hAnsi="Times New Roman" w:cs="Times New Roman"/>
          <w:b/>
          <w:bCs/>
          <w:kern w:val="0"/>
        </w:rPr>
        <w:t>of the</w:t>
      </w:r>
      <w:r w:rsidRPr="003410DE">
        <w:rPr>
          <w:rFonts w:ascii="Times New Roman" w:hAnsi="Times New Roman" w:cs="Times New Roman"/>
          <w:b/>
          <w:bCs/>
          <w:kern w:val="0"/>
        </w:rPr>
        <w:t xml:space="preserve"> quintile portfolios formed on book-to-market equity ratio or size</w:t>
      </w:r>
    </w:p>
    <w:p w:rsidR="00523FB7" w:rsidRPr="003410DE" w:rsidRDefault="00523FB7" w:rsidP="00B07CA5">
      <w:pPr>
        <w:snapToGrid w:val="0"/>
        <w:jc w:val="both"/>
        <w:rPr>
          <w:rFonts w:ascii="Times New Roman" w:hAnsi="Times New Roman" w:cs="Times New Roman"/>
          <w:color w:val="000000"/>
          <w:sz w:val="22"/>
          <w:szCs w:val="22"/>
        </w:rPr>
      </w:pPr>
      <w:r w:rsidRPr="003410DE">
        <w:rPr>
          <w:rFonts w:ascii="Times New Roman" w:hAnsi="Times New Roman" w:cs="Times New Roman"/>
          <w:kern w:val="0"/>
          <w:sz w:val="22"/>
          <w:szCs w:val="22"/>
        </w:rPr>
        <w:t>The table reports the mean values of</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monthly equal- and value-weighted stock returns and adjusted changes in institutional ownership, adjusted changes in individual ownership, institutional ownership, and individual ownership for stocks grouped into five portfolios based on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or size. Only</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values for stocks in the smallest/largest group and the lowest/highest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group are shown. All returns are in percentage. </w:t>
      </w:r>
      <w:r>
        <w:rPr>
          <w:rFonts w:ascii="Times New Roman" w:hAnsi="Times New Roman" w:cs="Times New Roman"/>
          <w:kern w:val="0"/>
          <w:sz w:val="22"/>
          <w:szCs w:val="22"/>
        </w:rPr>
        <w:t>The v</w:t>
      </w:r>
      <w:r w:rsidRPr="003410DE">
        <w:rPr>
          <w:rFonts w:ascii="Times New Roman" w:hAnsi="Times New Roman" w:cs="Times New Roman"/>
          <w:kern w:val="0"/>
          <w:sz w:val="22"/>
          <w:szCs w:val="22"/>
        </w:rPr>
        <w:t xml:space="preserve">ariable definitions are </w:t>
      </w:r>
      <w:r>
        <w:rPr>
          <w:rFonts w:ascii="Times New Roman" w:hAnsi="Times New Roman" w:cs="Times New Roman"/>
          <w:kern w:val="0"/>
          <w:sz w:val="22"/>
          <w:szCs w:val="22"/>
        </w:rPr>
        <w:t>presented</w:t>
      </w:r>
      <w:r w:rsidRPr="003410DE">
        <w:rPr>
          <w:rFonts w:ascii="Times New Roman" w:hAnsi="Times New Roman" w:cs="Times New Roman"/>
          <w:kern w:val="0"/>
          <w:sz w:val="22"/>
          <w:szCs w:val="22"/>
        </w:rPr>
        <w:t xml:space="preserve"> in Table 1. </w:t>
      </w:r>
      <w:r w:rsidRPr="00514B74">
        <w:rPr>
          <w:rFonts w:ascii="Times New Roman" w:hAnsi="Times New Roman" w:cs="Times New Roman"/>
          <w:i/>
          <w:iCs/>
          <w:kern w:val="0"/>
          <w:sz w:val="22"/>
          <w:szCs w:val="22"/>
        </w:rPr>
        <w:t>t</w:t>
      </w:r>
      <w:r w:rsidRPr="00514B74">
        <w:rPr>
          <w:rFonts w:ascii="Times New Roman" w:hAnsi="Times New Roman" w:cs="Times New Roman"/>
          <w:kern w:val="0"/>
          <w:sz w:val="22"/>
          <w:szCs w:val="22"/>
        </w:rPr>
        <w:t xml:space="preserve">-statistics are shown in parentheses. </w:t>
      </w:r>
      <w:r w:rsidRPr="003410DE">
        <w:rPr>
          <w:rFonts w:ascii="Times New Roman" w:hAnsi="Times New Roman" w:cs="Times New Roman"/>
          <w:sz w:val="22"/>
          <w:szCs w:val="22"/>
        </w:rPr>
        <w:t xml:space="preserve">The asterisks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and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indicate significance at the 10%, 5%, and 1% levels, respectively.</w:t>
      </w:r>
      <w:r>
        <w:rPr>
          <w:rFonts w:ascii="Times New Roman" w:hAnsi="Times New Roman" w:cs="Times New Roman"/>
          <w:color w:val="000000"/>
          <w:sz w:val="22"/>
          <w:szCs w:val="22"/>
        </w:rPr>
        <w:t xml:space="preserve"> All numbers are presented in percentage. </w:t>
      </w:r>
    </w:p>
    <w:p w:rsidR="00523FB7" w:rsidRPr="003410DE" w:rsidRDefault="00523FB7" w:rsidP="00F86FF5">
      <w:pPr>
        <w:snapToGrid w:val="0"/>
        <w:rPr>
          <w:rFonts w:ascii="Times New Roman" w:hAnsi="Times New Roman" w:cs="Times New Roman"/>
          <w:kern w:val="0"/>
          <w:sz w:val="22"/>
          <w:szCs w:val="22"/>
        </w:rPr>
      </w:pPr>
    </w:p>
    <w:tbl>
      <w:tblPr>
        <w:tblW w:w="5000" w:type="pct"/>
        <w:jc w:val="center"/>
        <w:tblCellMar>
          <w:left w:w="0" w:type="dxa"/>
          <w:right w:w="0" w:type="dxa"/>
        </w:tblCellMar>
        <w:tblLook w:val="00A0"/>
      </w:tblPr>
      <w:tblGrid>
        <w:gridCol w:w="1506"/>
        <w:gridCol w:w="1505"/>
        <w:gridCol w:w="1505"/>
        <w:gridCol w:w="1505"/>
        <w:gridCol w:w="1505"/>
        <w:gridCol w:w="445"/>
        <w:gridCol w:w="1505"/>
        <w:gridCol w:w="1505"/>
        <w:gridCol w:w="1505"/>
        <w:gridCol w:w="352"/>
        <w:gridCol w:w="1150"/>
      </w:tblGrid>
      <w:tr w:rsidR="00523FB7" w:rsidRPr="00740526">
        <w:trPr>
          <w:trHeight w:val="315"/>
          <w:jc w:val="center"/>
        </w:trPr>
        <w:tc>
          <w:tcPr>
            <w:tcW w:w="5000" w:type="pct"/>
            <w:gridSpan w:val="11"/>
            <w:tcBorders>
              <w:top w:val="double" w:sz="4" w:space="0" w:color="auto"/>
              <w:left w:val="nil"/>
              <w:bottom w:val="single" w:sz="4" w:space="0" w:color="auto"/>
              <w:right w:val="nil"/>
            </w:tcBorders>
            <w:noWrap/>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b/>
                <w:color w:val="000000"/>
                <w:sz w:val="20"/>
                <w:szCs w:val="20"/>
              </w:rPr>
            </w:pPr>
            <w:r w:rsidRPr="00740526">
              <w:rPr>
                <w:rFonts w:ascii="Times New Roman" w:hAnsi="Times New Roman" w:cs="Times New Roman"/>
                <w:b/>
                <w:kern w:val="0"/>
                <w:sz w:val="20"/>
                <w:szCs w:val="20"/>
              </w:rPr>
              <w:t>Time-Series Averages of Monthly Cross-Sectional Means</w:t>
            </w:r>
          </w:p>
        </w:tc>
      </w:tr>
      <w:tr w:rsidR="00523FB7" w:rsidRPr="00740526">
        <w:trPr>
          <w:trHeight w:val="55"/>
          <w:jc w:val="center"/>
        </w:trPr>
        <w:tc>
          <w:tcPr>
            <w:tcW w:w="538"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159"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7" w:type="pct"/>
            <w:gridSpan w:val="2"/>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r>
      <w:tr w:rsidR="00523FB7" w:rsidRPr="00740526">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b/>
                <w:color w:val="000000"/>
                <w:sz w:val="20"/>
                <w:szCs w:val="20"/>
              </w:rPr>
            </w:pPr>
          </w:p>
        </w:tc>
        <w:tc>
          <w:tcPr>
            <w:tcW w:w="2152" w:type="pct"/>
            <w:gridSpan w:val="4"/>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center"/>
              <w:rPr>
                <w:rFonts w:ascii="Times New Roman" w:hAnsi="Times New Roman" w:cs="Times New Roman"/>
                <w:b/>
                <w:color w:val="000000"/>
                <w:sz w:val="20"/>
                <w:szCs w:val="20"/>
              </w:rPr>
            </w:pPr>
            <w:r w:rsidRPr="00740526">
              <w:rPr>
                <w:rFonts w:ascii="Times New Roman" w:hAnsi="Times New Roman" w:cs="Times New Roman"/>
                <w:b/>
                <w:sz w:val="20"/>
                <w:szCs w:val="20"/>
              </w:rPr>
              <w:t xml:space="preserve">Panel A: </w:t>
            </w:r>
            <w:r w:rsidRPr="00740526">
              <w:rPr>
                <w:rFonts w:ascii="Times New Roman" w:hAnsi="Times New Roman" w:cs="Times New Roman"/>
                <w:b/>
                <w:i/>
                <w:sz w:val="20"/>
                <w:szCs w:val="20"/>
              </w:rPr>
              <w:t>BE/ME</w:t>
            </w:r>
            <w:r w:rsidRPr="00740526">
              <w:rPr>
                <w:rFonts w:ascii="Times New Roman" w:hAnsi="Times New Roman" w:cs="Times New Roman"/>
                <w:b/>
                <w:color w:val="000000"/>
                <w:sz w:val="20"/>
                <w:szCs w:val="20"/>
              </w:rPr>
              <w:t xml:space="preserve"> Quintiles</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b/>
                <w:color w:val="000000"/>
                <w:sz w:val="20"/>
                <w:szCs w:val="20"/>
              </w:rPr>
            </w:pPr>
          </w:p>
        </w:tc>
        <w:tc>
          <w:tcPr>
            <w:tcW w:w="2151" w:type="pct"/>
            <w:gridSpan w:val="5"/>
            <w:tcBorders>
              <w:top w:val="nil"/>
              <w:left w:val="nil"/>
              <w:bottom w:val="nil"/>
              <w:right w:val="nil"/>
            </w:tcBorders>
            <w:noWrap/>
            <w:tcMar>
              <w:top w:w="15" w:type="dxa"/>
              <w:left w:w="15" w:type="dxa"/>
              <w:bottom w:w="0" w:type="dxa"/>
              <w:right w:w="15" w:type="dxa"/>
            </w:tcMar>
            <w:vAlign w:val="center"/>
          </w:tcPr>
          <w:p w:rsidR="00523FB7" w:rsidRPr="00740526" w:rsidRDefault="00523FB7" w:rsidP="00364543">
            <w:pPr>
              <w:snapToGrid w:val="0"/>
              <w:jc w:val="center"/>
              <w:rPr>
                <w:rFonts w:ascii="Times New Roman" w:hAnsi="Times New Roman" w:cs="Times New Roman"/>
                <w:b/>
                <w:color w:val="000000"/>
                <w:sz w:val="20"/>
                <w:szCs w:val="20"/>
              </w:rPr>
            </w:pPr>
            <w:r w:rsidRPr="00740526">
              <w:rPr>
                <w:rFonts w:ascii="Times New Roman" w:hAnsi="Times New Roman" w:cs="Times New Roman"/>
                <w:b/>
                <w:sz w:val="20"/>
                <w:szCs w:val="20"/>
              </w:rPr>
              <w:t xml:space="preserve">Panel B: </w:t>
            </w:r>
            <w:r w:rsidRPr="00740526">
              <w:rPr>
                <w:rFonts w:ascii="Times New Roman" w:hAnsi="Times New Roman" w:cs="Times New Roman"/>
                <w:b/>
                <w:color w:val="000000"/>
                <w:sz w:val="20"/>
                <w:szCs w:val="20"/>
              </w:rPr>
              <w:t>Size Quintiles</w:t>
            </w:r>
          </w:p>
        </w:tc>
      </w:tr>
      <w:tr w:rsidR="00523FB7" w:rsidRPr="00740526">
        <w:trPr>
          <w:trHeight w:val="330"/>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b/>
                <w:color w:val="000000"/>
                <w:sz w:val="20"/>
                <w:szCs w:val="20"/>
              </w:rPr>
            </w:pPr>
          </w:p>
        </w:tc>
        <w:tc>
          <w:tcPr>
            <w:tcW w:w="538"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High</w:t>
            </w:r>
          </w:p>
        </w:tc>
        <w:tc>
          <w:tcPr>
            <w:tcW w:w="538"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Low</w:t>
            </w:r>
          </w:p>
        </w:tc>
        <w:tc>
          <w:tcPr>
            <w:tcW w:w="538" w:type="pct"/>
            <w:tcBorders>
              <w:top w:val="nil"/>
              <w:left w:val="nil"/>
              <w:bottom w:val="single" w:sz="8" w:space="0" w:color="auto"/>
              <w:right w:val="nil"/>
            </w:tcBorders>
            <w:tcMar>
              <w:top w:w="15" w:type="dxa"/>
              <w:left w:w="15" w:type="dxa"/>
              <w:bottom w:w="0" w:type="dxa"/>
              <w:right w:w="225" w:type="dxa"/>
            </w:tcMar>
            <w:vAlign w:val="center"/>
          </w:tcPr>
          <w:p w:rsidR="00523FB7" w:rsidRPr="00740526" w:rsidRDefault="00523FB7" w:rsidP="003132FD">
            <w:pPr>
              <w:snapToGrid w:val="0"/>
              <w:ind w:rightChars="-74" w:right="-178" w:firstLineChars="100" w:firstLine="20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High-Low</w:t>
            </w:r>
          </w:p>
        </w:tc>
        <w:tc>
          <w:tcPr>
            <w:tcW w:w="538"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t-stat.</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b/>
                <w:color w:val="000000"/>
                <w:sz w:val="20"/>
                <w:szCs w:val="20"/>
              </w:rPr>
            </w:pPr>
          </w:p>
        </w:tc>
        <w:tc>
          <w:tcPr>
            <w:tcW w:w="538"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Small</w:t>
            </w:r>
          </w:p>
        </w:tc>
        <w:tc>
          <w:tcPr>
            <w:tcW w:w="538"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Large</w:t>
            </w:r>
          </w:p>
        </w:tc>
        <w:tc>
          <w:tcPr>
            <w:tcW w:w="664" w:type="pct"/>
            <w:gridSpan w:val="2"/>
            <w:tcBorders>
              <w:top w:val="nil"/>
              <w:left w:val="nil"/>
              <w:bottom w:val="single" w:sz="8" w:space="0" w:color="auto"/>
              <w:right w:val="nil"/>
            </w:tcBorders>
            <w:tcMar>
              <w:top w:w="15" w:type="dxa"/>
              <w:left w:w="15" w:type="dxa"/>
              <w:bottom w:w="0" w:type="dxa"/>
              <w:right w:w="225" w:type="dxa"/>
            </w:tcMar>
            <w:vAlign w:val="center"/>
          </w:tcPr>
          <w:p w:rsidR="00523FB7" w:rsidRPr="00740526" w:rsidRDefault="00523FB7" w:rsidP="003132FD">
            <w:pPr>
              <w:snapToGrid w:val="0"/>
              <w:ind w:rightChars="-93" w:right="-223" w:firstLineChars="100" w:firstLine="20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Small-Large</w:t>
            </w:r>
          </w:p>
        </w:tc>
        <w:tc>
          <w:tcPr>
            <w:tcW w:w="41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t-stat.</w:t>
            </w:r>
          </w:p>
        </w:tc>
      </w:tr>
      <w:tr w:rsidR="00523FB7" w:rsidRPr="00740526">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66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c>
          <w:tcPr>
            <w:tcW w:w="41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rPr>
                <w:rFonts w:ascii="Times New Roman" w:hAnsi="Times New Roman" w:cs="Times New Roman"/>
                <w:color w:val="000000"/>
                <w:sz w:val="20"/>
                <w:szCs w:val="20"/>
              </w:rPr>
            </w:pPr>
          </w:p>
        </w:tc>
      </w:tr>
      <w:tr w:rsidR="00523FB7" w:rsidRPr="00740526">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Ewret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1.24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0.89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0.35</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(1.97)</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1.47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0.77 </w:t>
            </w:r>
          </w:p>
        </w:tc>
        <w:tc>
          <w:tcPr>
            <w:tcW w:w="664" w:type="pct"/>
            <w:gridSpan w:val="2"/>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0.70</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4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(2.41)</w:t>
            </w:r>
          </w:p>
        </w:tc>
      </w:tr>
      <w:tr w:rsidR="00523FB7" w:rsidRPr="00740526">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Vwret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1.08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0.62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0.46</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(1.82)</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1.38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0.75 </w:t>
            </w:r>
          </w:p>
        </w:tc>
        <w:tc>
          <w:tcPr>
            <w:tcW w:w="664" w:type="pct"/>
            <w:gridSpan w:val="2"/>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0.63</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4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(1.93)</w:t>
            </w:r>
          </w:p>
        </w:tc>
      </w:tr>
      <w:tr w:rsidR="00523FB7" w:rsidRPr="00740526">
        <w:trPr>
          <w:trHeight w:val="315"/>
          <w:jc w:val="center"/>
        </w:trPr>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ITH</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59.14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62.28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-3.14</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(-4.99)</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57.01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63.46 </w:t>
            </w:r>
          </w:p>
        </w:tc>
        <w:tc>
          <w:tcPr>
            <w:tcW w:w="664" w:type="pct"/>
            <w:gridSpan w:val="2"/>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-6.45</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4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(-14.08)</w:t>
            </w:r>
          </w:p>
        </w:tc>
      </w:tr>
      <w:tr w:rsidR="00523FB7" w:rsidRPr="00740526">
        <w:trPr>
          <w:trHeight w:val="315"/>
          <w:jc w:val="center"/>
        </w:trPr>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IND</w:t>
            </w: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35.83 </w:t>
            </w: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30.41 </w:t>
            </w: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5.42</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(5.81)</w:t>
            </w:r>
          </w:p>
        </w:tc>
        <w:tc>
          <w:tcPr>
            <w:tcW w:w="159" w:type="pct"/>
            <w:tcBorders>
              <w:top w:val="nil"/>
              <w:left w:val="nil"/>
              <w:right w:val="nil"/>
            </w:tcBorders>
            <w:noWrap/>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39.70 </w:t>
            </w: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25.56 </w:t>
            </w:r>
          </w:p>
        </w:tc>
        <w:tc>
          <w:tcPr>
            <w:tcW w:w="664" w:type="pct"/>
            <w:gridSpan w:val="2"/>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14.14</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411" w:type="pct"/>
            <w:tcBorders>
              <w:top w:val="nil"/>
              <w:left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(8.20)</w:t>
            </w:r>
          </w:p>
        </w:tc>
      </w:tr>
      <w:tr w:rsidR="00523FB7" w:rsidRPr="00740526">
        <w:trPr>
          <w:trHeight w:val="315"/>
          <w:jc w:val="center"/>
        </w:trPr>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AdjDITH</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-0.04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0.41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-0.45</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(-2.58)</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0.03 </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0.10 </w:t>
            </w:r>
          </w:p>
        </w:tc>
        <w:tc>
          <w:tcPr>
            <w:tcW w:w="664" w:type="pct"/>
            <w:gridSpan w:val="2"/>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-0.07 </w:t>
            </w:r>
          </w:p>
        </w:tc>
        <w:tc>
          <w:tcPr>
            <w:tcW w:w="411" w:type="pct"/>
            <w:tcBorders>
              <w:top w:val="nil"/>
              <w:left w:val="nil"/>
              <w:bottom w:val="nil"/>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(-0.31)</w:t>
            </w:r>
          </w:p>
        </w:tc>
      </w:tr>
      <w:tr w:rsidR="00523FB7" w:rsidRPr="00740526">
        <w:trPr>
          <w:trHeight w:val="315"/>
          <w:jc w:val="center"/>
        </w:trPr>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AdjDIND</w:t>
            </w:r>
          </w:p>
        </w:tc>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0.99 </w:t>
            </w:r>
          </w:p>
        </w:tc>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-0.75 </w:t>
            </w:r>
          </w:p>
        </w:tc>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1.74</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(5.53)</w:t>
            </w:r>
          </w:p>
        </w:tc>
        <w:tc>
          <w:tcPr>
            <w:tcW w:w="159" w:type="pct"/>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p>
        </w:tc>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1.31 </w:t>
            </w:r>
          </w:p>
        </w:tc>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-1.00 </w:t>
            </w:r>
          </w:p>
        </w:tc>
        <w:tc>
          <w:tcPr>
            <w:tcW w:w="664" w:type="pct"/>
            <w:gridSpan w:val="2"/>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2.31</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41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C62239">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(2.35)</w:t>
            </w:r>
          </w:p>
        </w:tc>
      </w:tr>
    </w:tbl>
    <w:p w:rsidR="00523FB7" w:rsidRPr="003410DE" w:rsidRDefault="00523FB7" w:rsidP="00F86FF5">
      <w:pPr>
        <w:autoSpaceDE w:val="0"/>
        <w:autoSpaceDN w:val="0"/>
        <w:adjustRightInd w:val="0"/>
        <w:rPr>
          <w:rFonts w:ascii="Times New Roman" w:hAnsi="Times New Roman" w:cs="Times New Roman"/>
          <w:kern w:val="0"/>
        </w:rPr>
      </w:pPr>
    </w:p>
    <w:p w:rsidR="00523FB7" w:rsidRPr="003410DE" w:rsidRDefault="00523FB7">
      <w:pPr>
        <w:rPr>
          <w:rFonts w:ascii="Times New Roman" w:hAnsi="Times New Roman" w:cs="Times New Roman"/>
        </w:rPr>
      </w:pPr>
    </w:p>
    <w:p w:rsidR="00523FB7" w:rsidRPr="003410DE" w:rsidRDefault="00523FB7">
      <w:pPr>
        <w:rPr>
          <w:rFonts w:ascii="Times New Roman" w:hAnsi="Times New Roman" w:cs="Times New Roman"/>
        </w:rPr>
      </w:pPr>
    </w:p>
    <w:p w:rsidR="00523FB7" w:rsidRPr="003410DE" w:rsidRDefault="00523FB7">
      <w:pPr>
        <w:rPr>
          <w:rFonts w:ascii="Times New Roman" w:hAnsi="Times New Roman" w:cs="Times New Roman"/>
        </w:rPr>
      </w:pPr>
    </w:p>
    <w:p w:rsidR="00523FB7" w:rsidRPr="003410DE" w:rsidRDefault="00523FB7">
      <w:pPr>
        <w:rPr>
          <w:rFonts w:ascii="Times New Roman" w:hAnsi="Times New Roman" w:cs="Times New Roman"/>
        </w:rPr>
        <w:sectPr w:rsidR="00523FB7" w:rsidRPr="003410DE" w:rsidSect="00F86FF5">
          <w:pgSz w:w="16838" w:h="11906" w:orient="landscape" w:code="9"/>
          <w:pgMar w:top="1797" w:right="1440" w:bottom="1797" w:left="1440" w:header="851" w:footer="992" w:gutter="0"/>
          <w:cols w:space="425"/>
          <w:docGrid w:type="linesAndChars" w:linePitch="360"/>
        </w:sectPr>
      </w:pPr>
    </w:p>
    <w:p w:rsidR="00523FB7" w:rsidRPr="003410DE" w:rsidRDefault="00523FB7" w:rsidP="00F86FF5">
      <w:pPr>
        <w:snapToGrid w:val="0"/>
        <w:spacing w:line="360" w:lineRule="auto"/>
        <w:rPr>
          <w:rFonts w:ascii="Times New Roman" w:hAnsi="Times New Roman" w:cs="Times New Roman"/>
          <w:b/>
          <w:bCs/>
          <w:kern w:val="0"/>
        </w:rPr>
      </w:pPr>
      <w:r w:rsidRPr="003410DE">
        <w:rPr>
          <w:rFonts w:ascii="Times New Roman" w:hAnsi="Times New Roman" w:cs="Times New Roman"/>
          <w:b/>
          <w:bCs/>
          <w:kern w:val="0"/>
        </w:rPr>
        <w:t>Table 4. Average parameter values from</w:t>
      </w:r>
      <w:r>
        <w:rPr>
          <w:rFonts w:ascii="Times New Roman" w:hAnsi="Times New Roman" w:cs="Times New Roman"/>
          <w:b/>
          <w:bCs/>
          <w:kern w:val="0"/>
        </w:rPr>
        <w:t xml:space="preserve"> the</w:t>
      </w:r>
      <w:r w:rsidRPr="003410DE">
        <w:rPr>
          <w:rFonts w:ascii="Times New Roman" w:hAnsi="Times New Roman" w:cs="Times New Roman"/>
          <w:b/>
          <w:bCs/>
          <w:kern w:val="0"/>
        </w:rPr>
        <w:t xml:space="preserve"> cross-sectional regressions of annual book-to-market ratio and size on changes in institutional and individual ownership</w:t>
      </w:r>
    </w:p>
    <w:p w:rsidR="00523FB7" w:rsidRPr="003410DE" w:rsidRDefault="00523FB7" w:rsidP="00B07CA5">
      <w:pPr>
        <w:snapToGrid w:val="0"/>
        <w:jc w:val="both"/>
        <w:rPr>
          <w:rFonts w:ascii="Times New Roman" w:hAnsi="Times New Roman" w:cs="Times New Roman"/>
          <w:kern w:val="0"/>
          <w:sz w:val="22"/>
          <w:szCs w:val="22"/>
        </w:rPr>
      </w:pPr>
      <w:r>
        <w:rPr>
          <w:rFonts w:ascii="Times New Roman" w:hAnsi="Times New Roman" w:cs="Times New Roman"/>
          <w:kern w:val="0"/>
          <w:sz w:val="22"/>
          <w:szCs w:val="22"/>
        </w:rPr>
        <w:t>The a</w:t>
      </w:r>
      <w:r w:rsidRPr="003410DE">
        <w:rPr>
          <w:rFonts w:ascii="Times New Roman" w:hAnsi="Times New Roman" w:cs="Times New Roman"/>
          <w:kern w:val="0"/>
          <w:sz w:val="22"/>
          <w:szCs w:val="22"/>
        </w:rPr>
        <w:t>nnual l</w:t>
      </w:r>
      <w:r w:rsidRPr="00D052B6">
        <w:rPr>
          <w:rFonts w:ascii="Times New Roman" w:hAnsi="Times New Roman" w:cs="Times New Roman"/>
          <w:kern w:val="0"/>
          <w:sz w:val="22"/>
          <w:szCs w:val="22"/>
        </w:rPr>
        <w:t>ogarithm</w:t>
      </w:r>
      <w:r w:rsidRPr="003410DE">
        <w:rPr>
          <w:rFonts w:ascii="Times New Roman" w:hAnsi="Times New Roman" w:cs="Times New Roman"/>
          <w:kern w:val="0"/>
          <w:sz w:val="22"/>
          <w:szCs w:val="22"/>
        </w:rPr>
        <w:t xml:space="preserve"> of book-to-market ratio (size) is regressed on</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adjusted changes in institutional ownership (</w:t>
      </w:r>
      <w:r w:rsidRPr="00D5561B">
        <w:rPr>
          <w:rFonts w:ascii="Times New Roman" w:hAnsi="Times New Roman" w:cs="Times New Roman"/>
          <w:i/>
          <w:kern w:val="0"/>
          <w:sz w:val="22"/>
          <w:szCs w:val="22"/>
        </w:rPr>
        <w:t>AdjD</w:t>
      </w:r>
      <w:r w:rsidRPr="0017025B">
        <w:rPr>
          <w:rFonts w:ascii="Times New Roman" w:hAnsi="Times New Roman" w:cs="Times New Roman"/>
          <w:i/>
          <w:kern w:val="0"/>
          <w:sz w:val="22"/>
          <w:szCs w:val="22"/>
        </w:rPr>
        <w:t>ITH</w:t>
      </w:r>
      <w:r w:rsidRPr="003410DE">
        <w:rPr>
          <w:rFonts w:ascii="Times New Roman" w:hAnsi="Times New Roman" w:cs="Times New Roman"/>
          <w:kern w:val="0"/>
          <w:sz w:val="22"/>
          <w:szCs w:val="22"/>
        </w:rPr>
        <w:t>) and adjusted changes in individual ownership (</w:t>
      </w:r>
      <w:r w:rsidRPr="00D5561B">
        <w:rPr>
          <w:rFonts w:ascii="Times New Roman" w:hAnsi="Times New Roman" w:cs="Times New Roman"/>
          <w:i/>
          <w:kern w:val="0"/>
          <w:sz w:val="22"/>
          <w:szCs w:val="22"/>
        </w:rPr>
        <w:t>AdjDIND</w:t>
      </w:r>
      <w:r w:rsidRPr="003410DE">
        <w:rPr>
          <w:rFonts w:ascii="Times New Roman" w:hAnsi="Times New Roman" w:cs="Times New Roman"/>
          <w:kern w:val="0"/>
          <w:sz w:val="22"/>
          <w:szCs w:val="22"/>
        </w:rPr>
        <w:t xml:space="preserve">). Average parameter values are the time series averages, and </w:t>
      </w:r>
      <w:r w:rsidRPr="00C330AE">
        <w:rPr>
          <w:rFonts w:ascii="Times New Roman" w:hAnsi="Times New Roman" w:cs="Times New Roman"/>
          <w:i/>
          <w:iCs/>
          <w:kern w:val="0"/>
          <w:sz w:val="22"/>
          <w:szCs w:val="22"/>
        </w:rPr>
        <w:t>t</w:t>
      </w:r>
      <w:r w:rsidRPr="003410DE">
        <w:rPr>
          <w:rFonts w:ascii="Times New Roman" w:hAnsi="Times New Roman" w:cs="Times New Roman"/>
          <w:kern w:val="0"/>
          <w:sz w:val="22"/>
          <w:szCs w:val="22"/>
        </w:rPr>
        <w:t>-statistics are time-series averages divided by</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time-series standard errors (198 months). Ln denotes </w:t>
      </w:r>
      <w:r>
        <w:rPr>
          <w:rFonts w:ascii="Times New Roman" w:hAnsi="Times New Roman" w:cs="Times New Roman"/>
          <w:kern w:val="0"/>
          <w:sz w:val="22"/>
          <w:szCs w:val="22"/>
        </w:rPr>
        <w:t xml:space="preserve">the </w:t>
      </w:r>
      <w:r w:rsidRPr="003410DE">
        <w:rPr>
          <w:rFonts w:ascii="Times New Roman" w:hAnsi="Times New Roman" w:cs="Times New Roman"/>
          <w:kern w:val="0"/>
          <w:sz w:val="22"/>
          <w:szCs w:val="22"/>
        </w:rPr>
        <w:t>natural l</w:t>
      </w:r>
      <w:r w:rsidRPr="00D052B6">
        <w:rPr>
          <w:rFonts w:ascii="Times New Roman" w:hAnsi="Times New Roman" w:cs="Times New Roman"/>
          <w:kern w:val="0"/>
          <w:sz w:val="22"/>
          <w:szCs w:val="22"/>
        </w:rPr>
        <w:t>ogarithm</w:t>
      </w:r>
      <w:r w:rsidRPr="003410DE">
        <w:rPr>
          <w:rFonts w:ascii="Times New Roman" w:hAnsi="Times New Roman" w:cs="Times New Roman"/>
          <w:kern w:val="0"/>
          <w:sz w:val="22"/>
          <w:szCs w:val="22"/>
        </w:rPr>
        <w:t xml:space="preserve">. </w:t>
      </w:r>
      <w:r>
        <w:rPr>
          <w:rFonts w:ascii="Times New Roman" w:hAnsi="Times New Roman" w:cs="Times New Roman"/>
          <w:kern w:val="0"/>
          <w:sz w:val="22"/>
          <w:szCs w:val="22"/>
        </w:rPr>
        <w:t>The v</w:t>
      </w:r>
      <w:r w:rsidRPr="003410DE">
        <w:rPr>
          <w:rFonts w:ascii="Times New Roman" w:hAnsi="Times New Roman" w:cs="Times New Roman"/>
          <w:kern w:val="0"/>
          <w:sz w:val="22"/>
          <w:szCs w:val="22"/>
        </w:rPr>
        <w:t>ariable definitions are</w:t>
      </w:r>
      <w:r>
        <w:rPr>
          <w:rFonts w:ascii="Times New Roman" w:hAnsi="Times New Roman" w:cs="Times New Roman"/>
          <w:kern w:val="0"/>
          <w:sz w:val="22"/>
          <w:szCs w:val="22"/>
        </w:rPr>
        <w:t xml:space="preserve"> presented</w:t>
      </w:r>
      <w:r w:rsidRPr="003410DE">
        <w:rPr>
          <w:rFonts w:ascii="Times New Roman" w:hAnsi="Times New Roman" w:cs="Times New Roman"/>
          <w:kern w:val="0"/>
          <w:sz w:val="22"/>
          <w:szCs w:val="22"/>
        </w:rPr>
        <w:t xml:space="preserve"> in Table </w:t>
      </w:r>
      <w:r>
        <w:rPr>
          <w:rFonts w:ascii="Times New Roman" w:hAnsi="Times New Roman" w:cs="Times New Roman"/>
          <w:kern w:val="0"/>
          <w:sz w:val="22"/>
          <w:szCs w:val="22"/>
        </w:rPr>
        <w:t>1</w:t>
      </w:r>
      <w:r w:rsidRPr="003410DE">
        <w:rPr>
          <w:rFonts w:ascii="Times New Roman" w:hAnsi="Times New Roman" w:cs="Times New Roman"/>
          <w:kern w:val="0"/>
          <w:sz w:val="22"/>
          <w:szCs w:val="22"/>
        </w:rPr>
        <w:t xml:space="preserve">. </w:t>
      </w:r>
      <w:r w:rsidRPr="00514B74">
        <w:rPr>
          <w:rFonts w:ascii="Times New Roman" w:hAnsi="Times New Roman" w:cs="Times New Roman"/>
          <w:i/>
          <w:iCs/>
          <w:kern w:val="0"/>
          <w:sz w:val="22"/>
          <w:szCs w:val="22"/>
        </w:rPr>
        <w:t>t</w:t>
      </w:r>
      <w:r w:rsidRPr="00514B74">
        <w:rPr>
          <w:rFonts w:ascii="Times New Roman" w:hAnsi="Times New Roman" w:cs="Times New Roman"/>
          <w:kern w:val="0"/>
          <w:sz w:val="22"/>
          <w:szCs w:val="22"/>
        </w:rPr>
        <w:t xml:space="preserve">-statistics are shown in parentheses. </w:t>
      </w:r>
      <w:r w:rsidRPr="003410DE">
        <w:rPr>
          <w:rFonts w:ascii="Times New Roman" w:hAnsi="Times New Roman" w:cs="Times New Roman"/>
          <w:sz w:val="22"/>
          <w:szCs w:val="22"/>
        </w:rPr>
        <w:t xml:space="preserve">The asterisks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and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indicate significance at the 10%, 5%, and 1% levels, respectively.</w:t>
      </w:r>
    </w:p>
    <w:p w:rsidR="00523FB7" w:rsidRPr="003410DE" w:rsidRDefault="00523FB7" w:rsidP="00F86FF5">
      <w:pPr>
        <w:snapToGrid w:val="0"/>
        <w:spacing w:line="360" w:lineRule="auto"/>
        <w:rPr>
          <w:rFonts w:ascii="Times New Roman" w:hAnsi="Times New Roman" w:cs="Times New Roman"/>
        </w:rPr>
      </w:pPr>
    </w:p>
    <w:tbl>
      <w:tblPr>
        <w:tblW w:w="5000" w:type="pct"/>
        <w:tblInd w:w="2" w:type="dxa"/>
        <w:tblCellMar>
          <w:left w:w="0" w:type="dxa"/>
          <w:right w:w="0" w:type="dxa"/>
        </w:tblCellMar>
        <w:tblLook w:val="00A0"/>
      </w:tblPr>
      <w:tblGrid>
        <w:gridCol w:w="1965"/>
        <w:gridCol w:w="1592"/>
        <w:gridCol w:w="501"/>
        <w:gridCol w:w="1093"/>
        <w:gridCol w:w="999"/>
        <w:gridCol w:w="2092"/>
        <w:gridCol w:w="100"/>
      </w:tblGrid>
      <w:tr w:rsidR="00523FB7" w:rsidRPr="00740526">
        <w:trPr>
          <w:trHeight w:val="315"/>
        </w:trPr>
        <w:tc>
          <w:tcPr>
            <w:tcW w:w="5000" w:type="pct"/>
            <w:gridSpan w:val="7"/>
            <w:tcBorders>
              <w:top w:val="double" w:sz="4" w:space="0" w:color="auto"/>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center"/>
              <w:rPr>
                <w:rFonts w:ascii="Times New Roman" w:hAnsi="Times New Roman" w:cs="Times New Roman"/>
                <w:b/>
                <w:color w:val="000000"/>
                <w:sz w:val="20"/>
                <w:szCs w:val="20"/>
              </w:rPr>
            </w:pPr>
            <w:r w:rsidRPr="00740526">
              <w:rPr>
                <w:rFonts w:ascii="Times New Roman" w:hAnsi="Times New Roman" w:cs="Times New Roman"/>
                <w:b/>
                <w:kern w:val="0"/>
                <w:sz w:val="20"/>
                <w:szCs w:val="20"/>
              </w:rPr>
              <w:t>Regression Specification, Average Parameter Values (%) and t-statistics</w:t>
            </w:r>
          </w:p>
        </w:tc>
      </w:tr>
      <w:tr w:rsidR="00523FB7" w:rsidRPr="00740526">
        <w:trPr>
          <w:trHeight w:val="65"/>
        </w:trPr>
        <w:tc>
          <w:tcPr>
            <w:tcW w:w="1178" w:type="pct"/>
            <w:tcBorders>
              <w:top w:val="nil"/>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4" w:type="pct"/>
            <w:tcBorders>
              <w:top w:val="nil"/>
              <w:left w:val="nil"/>
              <w:right w:val="nil"/>
            </w:tcBorders>
            <w:tcMar>
              <w:top w:w="15" w:type="dxa"/>
              <w:left w:w="15" w:type="dxa"/>
              <w:bottom w:w="0" w:type="dxa"/>
              <w:right w:w="15" w:type="dxa"/>
            </w:tcMar>
            <w:vAlign w:val="bottom"/>
          </w:tcPr>
          <w:p w:rsidR="00523FB7" w:rsidRPr="00740526" w:rsidRDefault="00523FB7" w:rsidP="00043FEB">
            <w:pPr>
              <w:snapToGrid w:val="0"/>
              <w:jc w:val="center"/>
              <w:rPr>
                <w:rFonts w:ascii="Times New Roman" w:hAnsi="Times New Roman" w:cs="Times New Roman"/>
                <w:color w:val="000000"/>
                <w:sz w:val="20"/>
                <w:szCs w:val="20"/>
              </w:rPr>
            </w:pPr>
          </w:p>
        </w:tc>
        <w:tc>
          <w:tcPr>
            <w:tcW w:w="955" w:type="pct"/>
            <w:gridSpan w:val="2"/>
            <w:tcBorders>
              <w:top w:val="nil"/>
              <w:left w:val="nil"/>
              <w:right w:val="nil"/>
            </w:tcBorders>
            <w:tcMar>
              <w:top w:w="15" w:type="dxa"/>
              <w:left w:w="15" w:type="dxa"/>
              <w:bottom w:w="0" w:type="dxa"/>
              <w:right w:w="15" w:type="dxa"/>
            </w:tcMar>
            <w:vAlign w:val="bottom"/>
          </w:tcPr>
          <w:p w:rsidR="00523FB7" w:rsidRPr="00740526" w:rsidRDefault="00523FB7" w:rsidP="00043FEB">
            <w:pPr>
              <w:snapToGrid w:val="0"/>
              <w:jc w:val="center"/>
              <w:rPr>
                <w:rFonts w:ascii="Times New Roman" w:hAnsi="Times New Roman" w:cs="Times New Roman"/>
                <w:color w:val="000000"/>
                <w:sz w:val="20"/>
                <w:szCs w:val="20"/>
              </w:rPr>
            </w:pPr>
          </w:p>
        </w:tc>
        <w:tc>
          <w:tcPr>
            <w:tcW w:w="1853" w:type="pct"/>
            <w:gridSpan w:val="2"/>
            <w:tcBorders>
              <w:top w:val="nil"/>
              <w:left w:val="nil"/>
              <w:right w:val="nil"/>
            </w:tcBorders>
            <w:tcMar>
              <w:top w:w="15" w:type="dxa"/>
              <w:left w:w="15" w:type="dxa"/>
              <w:bottom w:w="0" w:type="dxa"/>
              <w:right w:w="15" w:type="dxa"/>
            </w:tcMar>
            <w:vAlign w:val="bottom"/>
          </w:tcPr>
          <w:p w:rsidR="00523FB7" w:rsidRPr="00740526" w:rsidRDefault="00523FB7" w:rsidP="00043FEB">
            <w:pPr>
              <w:snapToGrid w:val="0"/>
              <w:jc w:val="center"/>
              <w:rPr>
                <w:rFonts w:ascii="Times New Roman" w:hAnsi="Times New Roman" w:cs="Times New Roman"/>
                <w:color w:val="000000"/>
                <w:sz w:val="20"/>
                <w:szCs w:val="20"/>
              </w:rPr>
            </w:pPr>
          </w:p>
        </w:tc>
        <w:tc>
          <w:tcPr>
            <w:tcW w:w="60" w:type="pct"/>
            <w:tcBorders>
              <w:top w:val="nil"/>
              <w:left w:val="nil"/>
              <w:right w:val="nil"/>
            </w:tcBorders>
            <w:tcMar>
              <w:top w:w="15" w:type="dxa"/>
              <w:left w:w="15" w:type="dxa"/>
              <w:bottom w:w="0" w:type="dxa"/>
              <w:right w:w="15" w:type="dxa"/>
            </w:tcMar>
            <w:vAlign w:val="bottom"/>
          </w:tcPr>
          <w:p w:rsidR="00523FB7" w:rsidRPr="00740526" w:rsidRDefault="00523FB7" w:rsidP="00043FEB">
            <w:pPr>
              <w:snapToGrid w:val="0"/>
              <w:jc w:val="center"/>
              <w:rPr>
                <w:rFonts w:ascii="Times New Roman" w:hAnsi="Times New Roman" w:cs="Times New Roman"/>
                <w:color w:val="000000"/>
                <w:sz w:val="20"/>
                <w:szCs w:val="20"/>
              </w:rPr>
            </w:pPr>
          </w:p>
        </w:tc>
      </w:tr>
      <w:tr w:rsidR="00523FB7" w:rsidRPr="00740526" w:rsidTr="00B15EEC">
        <w:trPr>
          <w:trHeight w:val="315"/>
        </w:trPr>
        <w:tc>
          <w:tcPr>
            <w:tcW w:w="1178" w:type="pct"/>
            <w:tcBorders>
              <w:top w:val="nil"/>
              <w:left w:val="nil"/>
              <w:bottom w:val="single" w:sz="4" w:space="0" w:color="auto"/>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Dependent variable</w:t>
            </w:r>
          </w:p>
        </w:tc>
        <w:tc>
          <w:tcPr>
            <w:tcW w:w="1254" w:type="pct"/>
            <w:gridSpan w:val="2"/>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B15EEC">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Intercept</w:t>
            </w:r>
          </w:p>
        </w:tc>
        <w:tc>
          <w:tcPr>
            <w:tcW w:w="1254" w:type="pct"/>
            <w:gridSpan w:val="2"/>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B15EEC">
            <w:pPr>
              <w:snapToGrid w:val="0"/>
              <w:jc w:val="right"/>
              <w:rPr>
                <w:rFonts w:ascii="Times New Roman" w:hAnsi="Times New Roman" w:cs="Times New Roman"/>
                <w:b/>
                <w:i/>
                <w:color w:val="000000"/>
                <w:sz w:val="20"/>
                <w:szCs w:val="20"/>
              </w:rPr>
            </w:pPr>
            <w:r w:rsidRPr="00740526">
              <w:rPr>
                <w:rFonts w:ascii="Times New Roman" w:hAnsi="Times New Roman" w:cs="Times New Roman"/>
                <w:b/>
                <w:i/>
                <w:color w:val="000000"/>
                <w:sz w:val="20"/>
                <w:szCs w:val="20"/>
              </w:rPr>
              <w:t>AdjDITH</w:t>
            </w:r>
          </w:p>
        </w:tc>
        <w:tc>
          <w:tcPr>
            <w:tcW w:w="1254" w:type="pct"/>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B15EEC">
            <w:pPr>
              <w:snapToGrid w:val="0"/>
              <w:jc w:val="right"/>
              <w:rPr>
                <w:rFonts w:ascii="Times New Roman" w:hAnsi="Times New Roman" w:cs="Times New Roman"/>
                <w:b/>
                <w:i/>
                <w:color w:val="000000"/>
                <w:sz w:val="20"/>
                <w:szCs w:val="20"/>
              </w:rPr>
            </w:pPr>
            <w:r w:rsidRPr="00740526">
              <w:rPr>
                <w:rFonts w:ascii="Times New Roman" w:hAnsi="Times New Roman" w:cs="Times New Roman"/>
                <w:b/>
                <w:i/>
                <w:color w:val="000000"/>
                <w:sz w:val="20"/>
                <w:szCs w:val="20"/>
              </w:rPr>
              <w:t>AdjDIND</w:t>
            </w:r>
          </w:p>
        </w:tc>
        <w:tc>
          <w:tcPr>
            <w:tcW w:w="60" w:type="pct"/>
            <w:tcBorders>
              <w:top w:val="nil"/>
              <w:left w:val="nil"/>
              <w:bottom w:val="single" w:sz="4" w:space="0" w:color="auto"/>
              <w:right w:val="nil"/>
            </w:tcBorders>
            <w:tcMar>
              <w:top w:w="15" w:type="dxa"/>
              <w:left w:w="15" w:type="dxa"/>
              <w:bottom w:w="0" w:type="dxa"/>
              <w:right w:w="15" w:type="dxa"/>
            </w:tcMar>
            <w:vAlign w:val="bottom"/>
          </w:tcPr>
          <w:p w:rsidR="00523FB7" w:rsidRPr="00740526" w:rsidRDefault="00523FB7" w:rsidP="00043FEB">
            <w:pPr>
              <w:snapToGrid w:val="0"/>
              <w:jc w:val="right"/>
              <w:rPr>
                <w:rFonts w:ascii="Times New Roman" w:hAnsi="Times New Roman" w:cs="Times New Roman"/>
                <w:b/>
                <w:color w:val="000000"/>
                <w:sz w:val="20"/>
                <w:szCs w:val="20"/>
              </w:rPr>
            </w:pPr>
          </w:p>
        </w:tc>
      </w:tr>
      <w:tr w:rsidR="00523FB7" w:rsidRPr="00740526">
        <w:trPr>
          <w:trHeight w:val="315"/>
        </w:trPr>
        <w:tc>
          <w:tcPr>
            <w:tcW w:w="1178"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60"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trPr>
          <w:trHeight w:val="315"/>
        </w:trPr>
        <w:tc>
          <w:tcPr>
            <w:tcW w:w="1178" w:type="pct"/>
            <w:vMerge w:val="restart"/>
            <w:tcBorders>
              <w:top w:val="nil"/>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Ln(</w:t>
            </w:r>
            <w:r w:rsidRPr="00740526">
              <w:rPr>
                <w:rFonts w:ascii="Times New Roman" w:hAnsi="Times New Roman" w:cs="Times New Roman"/>
                <w:i/>
                <w:color w:val="000000"/>
                <w:sz w:val="20"/>
                <w:szCs w:val="20"/>
              </w:rPr>
              <w:t>BE/ME</w:t>
            </w:r>
            <w:r w:rsidRPr="00740526">
              <w:rPr>
                <w:rFonts w:ascii="Times New Roman" w:hAnsi="Times New Roman" w:cs="Times New Roman"/>
                <w:color w:val="000000"/>
                <w:sz w:val="20"/>
                <w:szCs w:val="20"/>
              </w:rPr>
              <w:t>)</w:t>
            </w: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-0.61</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-0.70</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125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6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trPr>
          <w:trHeight w:val="315"/>
        </w:trPr>
        <w:tc>
          <w:tcPr>
            <w:tcW w:w="1178" w:type="pct"/>
            <w:vMerge/>
            <w:tcBorders>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(-7.36)</w:t>
            </w: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(-2.79)</w:t>
            </w:r>
          </w:p>
        </w:tc>
        <w:tc>
          <w:tcPr>
            <w:tcW w:w="125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6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trPr>
          <w:trHeight w:val="315"/>
        </w:trPr>
        <w:tc>
          <w:tcPr>
            <w:tcW w:w="1178" w:type="pct"/>
            <w:vMerge/>
            <w:tcBorders>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-0.61</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0.74</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6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trPr>
          <w:trHeight w:val="315"/>
        </w:trPr>
        <w:tc>
          <w:tcPr>
            <w:tcW w:w="1178" w:type="pct"/>
            <w:vMerge/>
            <w:tcBorders>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(-7.40)</w:t>
            </w: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(4.77)</w:t>
            </w:r>
          </w:p>
        </w:tc>
        <w:tc>
          <w:tcPr>
            <w:tcW w:w="6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trPr>
          <w:trHeight w:val="315"/>
        </w:trPr>
        <w:tc>
          <w:tcPr>
            <w:tcW w:w="117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6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trPr>
          <w:trHeight w:val="315"/>
        </w:trPr>
        <w:tc>
          <w:tcPr>
            <w:tcW w:w="1178" w:type="pct"/>
            <w:vMerge w:val="restart"/>
            <w:tcBorders>
              <w:top w:val="nil"/>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Ln(</w:t>
            </w:r>
            <w:r w:rsidRPr="00740526">
              <w:rPr>
                <w:rFonts w:ascii="Times New Roman" w:hAnsi="Times New Roman" w:cs="Times New Roman"/>
                <w:i/>
                <w:color w:val="000000"/>
                <w:sz w:val="20"/>
                <w:szCs w:val="20"/>
              </w:rPr>
              <w:t>ME</w:t>
            </w:r>
            <w:r w:rsidRPr="00740526">
              <w:rPr>
                <w:rFonts w:ascii="Times New Roman" w:hAnsi="Times New Roman" w:cs="Times New Roman"/>
                <w:color w:val="000000"/>
                <w:sz w:val="20"/>
                <w:szCs w:val="20"/>
              </w:rPr>
              <w:t>)</w:t>
            </w: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10.40</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0.42 </w:t>
            </w:r>
          </w:p>
        </w:tc>
        <w:tc>
          <w:tcPr>
            <w:tcW w:w="125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6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trPr>
          <w:trHeight w:val="315"/>
        </w:trPr>
        <w:tc>
          <w:tcPr>
            <w:tcW w:w="1178" w:type="pct"/>
            <w:vMerge/>
            <w:tcBorders>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(98.95)</w:t>
            </w: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(0.54)</w:t>
            </w:r>
          </w:p>
        </w:tc>
        <w:tc>
          <w:tcPr>
            <w:tcW w:w="125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6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trPr>
          <w:trHeight w:val="315"/>
        </w:trPr>
        <w:tc>
          <w:tcPr>
            <w:tcW w:w="1178" w:type="pct"/>
            <w:vMerge/>
            <w:tcBorders>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10.41</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125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-1.94</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6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trPr>
          <w:trHeight w:val="315"/>
        </w:trPr>
        <w:tc>
          <w:tcPr>
            <w:tcW w:w="1178" w:type="pct"/>
            <w:vMerge/>
            <w:tcBorders>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(99.49)</w:t>
            </w:r>
          </w:p>
        </w:tc>
        <w:tc>
          <w:tcPr>
            <w:tcW w:w="1254" w:type="pct"/>
            <w:gridSpan w:val="2"/>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125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(-4.90)</w:t>
            </w:r>
          </w:p>
        </w:tc>
        <w:tc>
          <w:tcPr>
            <w:tcW w:w="6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trPr>
          <w:trHeight w:val="315"/>
        </w:trPr>
        <w:tc>
          <w:tcPr>
            <w:tcW w:w="1178" w:type="pct"/>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gridSpan w:val="2"/>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1254" w:type="pct"/>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60" w:type="pct"/>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bl>
    <w:p w:rsidR="00523FB7" w:rsidRPr="003410DE" w:rsidRDefault="00523FB7">
      <w:pPr>
        <w:rPr>
          <w:rFonts w:ascii="Times New Roman" w:hAnsi="Times New Roman" w:cs="Times New Roman"/>
        </w:rPr>
        <w:sectPr w:rsidR="00523FB7" w:rsidRPr="003410DE" w:rsidSect="00F86FF5">
          <w:type w:val="continuous"/>
          <w:pgSz w:w="11906" w:h="16838" w:code="9"/>
          <w:pgMar w:top="1440" w:right="1797" w:bottom="1440" w:left="1797" w:header="851" w:footer="992" w:gutter="0"/>
          <w:cols w:space="425"/>
          <w:docGrid w:type="lines" w:linePitch="360"/>
        </w:sectPr>
      </w:pPr>
    </w:p>
    <w:p w:rsidR="00523FB7" w:rsidRPr="003410DE" w:rsidRDefault="00523FB7" w:rsidP="000F25EB">
      <w:pPr>
        <w:snapToGrid w:val="0"/>
        <w:spacing w:line="360" w:lineRule="auto"/>
        <w:rPr>
          <w:rFonts w:ascii="Times New Roman" w:hAnsi="Times New Roman" w:cs="Times New Roman"/>
          <w:b/>
          <w:bCs/>
          <w:kern w:val="0"/>
        </w:rPr>
      </w:pPr>
      <w:r w:rsidRPr="003410DE">
        <w:rPr>
          <w:rFonts w:ascii="Times New Roman" w:hAnsi="Times New Roman" w:cs="Times New Roman"/>
          <w:b/>
          <w:bCs/>
          <w:kern w:val="0"/>
        </w:rPr>
        <w:t xml:space="preserve">Table 5. Average monthly percent returns and characteristics </w:t>
      </w:r>
      <w:r>
        <w:rPr>
          <w:rFonts w:ascii="Times New Roman" w:hAnsi="Times New Roman" w:cs="Times New Roman"/>
          <w:b/>
          <w:bCs/>
          <w:kern w:val="0"/>
        </w:rPr>
        <w:t>of the</w:t>
      </w:r>
      <w:r w:rsidRPr="003410DE">
        <w:rPr>
          <w:rFonts w:ascii="Times New Roman" w:hAnsi="Times New Roman" w:cs="Times New Roman"/>
          <w:b/>
          <w:bCs/>
          <w:kern w:val="0"/>
        </w:rPr>
        <w:t xml:space="preserve"> decile portfolios formed on </w:t>
      </w:r>
      <w:r w:rsidRPr="00D5561B">
        <w:rPr>
          <w:rFonts w:ascii="Times New Roman" w:hAnsi="Times New Roman" w:cs="Times New Roman"/>
          <w:b/>
          <w:bCs/>
          <w:i/>
          <w:kern w:val="0"/>
        </w:rPr>
        <w:t>AdjD</w:t>
      </w:r>
      <w:r w:rsidRPr="0017025B">
        <w:rPr>
          <w:rFonts w:ascii="Times New Roman" w:hAnsi="Times New Roman" w:cs="Times New Roman"/>
          <w:b/>
          <w:bCs/>
          <w:i/>
          <w:kern w:val="0"/>
        </w:rPr>
        <w:t>ITH</w:t>
      </w:r>
    </w:p>
    <w:p w:rsidR="00523FB7" w:rsidRPr="003410DE" w:rsidRDefault="00523FB7" w:rsidP="000F25EB">
      <w:pPr>
        <w:snapToGrid w:val="0"/>
        <w:jc w:val="both"/>
        <w:rPr>
          <w:rFonts w:ascii="Times New Roman" w:hAnsi="Times New Roman" w:cs="Times New Roman"/>
          <w:color w:val="000000"/>
          <w:sz w:val="22"/>
          <w:szCs w:val="22"/>
        </w:rPr>
      </w:pPr>
      <w:r w:rsidRPr="003410DE">
        <w:rPr>
          <w:rFonts w:ascii="Times New Roman" w:hAnsi="Times New Roman" w:cs="Times New Roman"/>
          <w:sz w:val="22"/>
          <w:szCs w:val="22"/>
        </w:rPr>
        <w:t xml:space="preserve">For each year from 1975 to 2005, all selected stocks in the sample are first sorted into 10 portfolios based on the fraction of shares held by institutional investors. </w:t>
      </w:r>
      <w:r>
        <w:rPr>
          <w:rFonts w:ascii="Times New Roman" w:hAnsi="Times New Roman" w:cs="Times New Roman"/>
          <w:sz w:val="22"/>
          <w:szCs w:val="22"/>
        </w:rPr>
        <w:t>Then</w:t>
      </w:r>
      <w:r w:rsidRPr="003410DE">
        <w:rPr>
          <w:rFonts w:ascii="Times New Roman" w:hAnsi="Times New Roman" w:cs="Times New Roman"/>
          <w:sz w:val="22"/>
          <w:szCs w:val="22"/>
        </w:rPr>
        <w:t xml:space="preserve">, firms </w:t>
      </w:r>
      <w:r>
        <w:rPr>
          <w:rFonts w:ascii="Times New Roman" w:hAnsi="Times New Roman" w:cs="Times New Roman"/>
          <w:sz w:val="22"/>
          <w:szCs w:val="22"/>
        </w:rPr>
        <w:t>with</w:t>
      </w:r>
      <w:r w:rsidRPr="003410DE">
        <w:rPr>
          <w:rFonts w:ascii="Times New Roman" w:hAnsi="Times New Roman" w:cs="Times New Roman"/>
          <w:sz w:val="22"/>
          <w:szCs w:val="22"/>
        </w:rPr>
        <w:t xml:space="preserve">in each initial institutional-ownership-sorted portfolio are sorted into 10 portfolios based on the institutional trade imbalance. Finally, firms </w:t>
      </w:r>
      <w:r>
        <w:rPr>
          <w:rFonts w:ascii="Times New Roman" w:hAnsi="Times New Roman" w:cs="Times New Roman"/>
          <w:sz w:val="22"/>
          <w:szCs w:val="22"/>
        </w:rPr>
        <w:t>with</w:t>
      </w:r>
      <w:r w:rsidRPr="003410DE">
        <w:rPr>
          <w:rFonts w:ascii="Times New Roman" w:hAnsi="Times New Roman" w:cs="Times New Roman"/>
          <w:sz w:val="22"/>
          <w:szCs w:val="22"/>
        </w:rPr>
        <w:t xml:space="preserve"> the largest institutional trade imbalance are re-aggregated across the 10 initial institutional ownership sorted portfolios to form a stratified portfolio that shows the largest increase in institutional ownership. Similarly, firms</w:t>
      </w:r>
      <w:r w:rsidRPr="00D052B6">
        <w:rPr>
          <w:rFonts w:ascii="Times New Roman" w:hAnsi="Times New Roman" w:cs="Times New Roman"/>
          <w:sz w:val="22"/>
          <w:szCs w:val="22"/>
        </w:rPr>
        <w:t xml:space="preserve"> </w:t>
      </w:r>
      <w:r>
        <w:rPr>
          <w:rFonts w:ascii="Times New Roman" w:hAnsi="Times New Roman" w:cs="Times New Roman"/>
          <w:sz w:val="22"/>
          <w:szCs w:val="22"/>
        </w:rPr>
        <w:t>with</w:t>
      </w:r>
      <w:r w:rsidRPr="00D052B6">
        <w:rPr>
          <w:rFonts w:ascii="Times New Roman" w:hAnsi="Times New Roman" w:cs="Times New Roman"/>
          <w:sz w:val="22"/>
          <w:szCs w:val="22"/>
        </w:rPr>
        <w:t>in</w:t>
      </w:r>
      <w:r w:rsidRPr="003410DE">
        <w:rPr>
          <w:rFonts w:ascii="Times New Roman" w:hAnsi="Times New Roman" w:cs="Times New Roman"/>
          <w:sz w:val="22"/>
          <w:szCs w:val="22"/>
        </w:rPr>
        <w:t xml:space="preserve"> each of the other nine portfolios are re-aggregated in the same manner. </w:t>
      </w:r>
      <w:r w:rsidRPr="00173CCE">
        <w:rPr>
          <w:rFonts w:ascii="Times New Roman" w:hAnsi="Times New Roman" w:cs="Times New Roman"/>
          <w:i/>
          <w:sz w:val="22"/>
          <w:szCs w:val="22"/>
        </w:rPr>
        <w:t>EW</w:t>
      </w:r>
      <w:r w:rsidRPr="003410DE">
        <w:rPr>
          <w:rFonts w:ascii="Times New Roman" w:hAnsi="Times New Roman" w:cs="Times New Roman"/>
          <w:sz w:val="22"/>
          <w:szCs w:val="22"/>
        </w:rPr>
        <w:t xml:space="preserve"> (</w:t>
      </w:r>
      <w:r w:rsidRPr="00173CCE">
        <w:rPr>
          <w:rFonts w:ascii="Times New Roman" w:hAnsi="Times New Roman" w:cs="Times New Roman"/>
          <w:i/>
          <w:sz w:val="22"/>
          <w:szCs w:val="22"/>
        </w:rPr>
        <w:t>VW</w:t>
      </w:r>
      <w:r w:rsidRPr="003410DE">
        <w:rPr>
          <w:rFonts w:ascii="Times New Roman" w:hAnsi="Times New Roman" w:cs="Times New Roman"/>
          <w:sz w:val="22"/>
          <w:szCs w:val="22"/>
        </w:rPr>
        <w:t>) return is calculated as</w:t>
      </w:r>
      <w:r>
        <w:rPr>
          <w:rFonts w:ascii="Times New Roman" w:hAnsi="Times New Roman" w:cs="Times New Roman"/>
          <w:sz w:val="22"/>
          <w:szCs w:val="22"/>
        </w:rPr>
        <w:t xml:space="preserve"> an </w:t>
      </w:r>
      <w:r w:rsidRPr="003410DE">
        <w:rPr>
          <w:rFonts w:ascii="Times New Roman" w:hAnsi="Times New Roman" w:cs="Times New Roman"/>
          <w:kern w:val="0"/>
          <w:sz w:val="22"/>
          <w:szCs w:val="22"/>
        </w:rPr>
        <w:t>equal- (value-) weighted portfolio based on the adjusted changes in institutional ownership. “</w:t>
      </w:r>
      <w:r w:rsidRPr="006363B4">
        <w:rPr>
          <w:rFonts w:ascii="Times New Roman" w:hAnsi="Times New Roman" w:cs="Times New Roman"/>
          <w:color w:val="000000"/>
          <w:sz w:val="22"/>
          <w:szCs w:val="22"/>
        </w:rPr>
        <w:t>Carhart</w:t>
      </w:r>
      <w:r w:rsidRPr="003410DE">
        <w:rPr>
          <w:rFonts w:ascii="Times New Roman" w:hAnsi="Times New Roman" w:cs="Times New Roman"/>
          <w:color w:val="000000"/>
          <w:sz w:val="20"/>
          <w:szCs w:val="20"/>
        </w:rPr>
        <w:t>’s alpha”</w:t>
      </w:r>
      <w:r w:rsidRPr="003410DE">
        <w:rPr>
          <w:rFonts w:ascii="Times New Roman" w:hAnsi="Times New Roman" w:cs="Times New Roman"/>
          <w:sz w:val="22"/>
          <w:szCs w:val="22"/>
        </w:rPr>
        <w:t xml:space="preserve"> indicates the risk adjusted returns by</w:t>
      </w:r>
      <w:r>
        <w:rPr>
          <w:rFonts w:ascii="Times New Roman" w:hAnsi="Times New Roman" w:cs="Times New Roman"/>
          <w:sz w:val="22"/>
          <w:szCs w:val="22"/>
        </w:rPr>
        <w:t xml:space="preserve"> </w:t>
      </w:r>
      <w:r w:rsidRPr="00A63856">
        <w:rPr>
          <w:rFonts w:ascii="Times New Roman" w:hAnsi="Times New Roman" w:cs="Times New Roman"/>
          <w:color w:val="000000"/>
          <w:sz w:val="22"/>
          <w:szCs w:val="22"/>
        </w:rPr>
        <w:t>Carhart</w:t>
      </w:r>
      <w:r>
        <w:rPr>
          <w:rFonts w:ascii="Times New Roman" w:hAnsi="Times New Roman" w:cs="Times New Roman"/>
          <w:color w:val="000000"/>
          <w:sz w:val="22"/>
          <w:szCs w:val="22"/>
        </w:rPr>
        <w:t>’s</w:t>
      </w:r>
      <w:r w:rsidRPr="00A63856">
        <w:rPr>
          <w:rFonts w:ascii="Times New Roman" w:hAnsi="Times New Roman" w:cs="Times New Roman"/>
          <w:color w:val="000000"/>
          <w:sz w:val="22"/>
          <w:szCs w:val="22"/>
        </w:rPr>
        <w:t xml:space="preserve"> (1997)</w:t>
      </w:r>
      <w:r w:rsidRPr="00A63856">
        <w:rPr>
          <w:rFonts w:ascii="Times New Roman" w:hAnsi="Times New Roman" w:cs="Times New Roman"/>
          <w:sz w:val="22"/>
          <w:szCs w:val="22"/>
        </w:rPr>
        <w:t xml:space="preserve"> f</w:t>
      </w:r>
      <w:r>
        <w:rPr>
          <w:rFonts w:ascii="Times New Roman" w:hAnsi="Times New Roman" w:cs="Times New Roman"/>
          <w:sz w:val="22"/>
          <w:szCs w:val="22"/>
        </w:rPr>
        <w:t xml:space="preserve">our </w:t>
      </w:r>
      <w:r w:rsidRPr="003410DE">
        <w:rPr>
          <w:rFonts w:ascii="Times New Roman" w:hAnsi="Times New Roman" w:cs="Times New Roman"/>
          <w:sz w:val="22"/>
          <w:szCs w:val="22"/>
        </w:rPr>
        <w:t xml:space="preserve">factors, i.e., market excess returns, </w:t>
      </w:r>
      <w:r w:rsidRPr="00173CCE">
        <w:rPr>
          <w:rFonts w:ascii="Times New Roman" w:hAnsi="Times New Roman" w:cs="Times New Roman"/>
          <w:i/>
          <w:sz w:val="22"/>
          <w:szCs w:val="22"/>
        </w:rPr>
        <w:t>HML</w:t>
      </w:r>
      <w:r w:rsidRPr="003410DE">
        <w:rPr>
          <w:rFonts w:ascii="Times New Roman" w:hAnsi="Times New Roman" w:cs="Times New Roman"/>
          <w:sz w:val="22"/>
          <w:szCs w:val="22"/>
        </w:rPr>
        <w:t>,</w:t>
      </w:r>
      <w:r w:rsidRPr="00173CCE">
        <w:rPr>
          <w:rFonts w:ascii="Times New Roman" w:hAnsi="Times New Roman" w:cs="Times New Roman"/>
          <w:i/>
          <w:sz w:val="22"/>
          <w:szCs w:val="22"/>
        </w:rPr>
        <w:t xml:space="preserve"> SMB</w:t>
      </w:r>
      <w:r>
        <w:rPr>
          <w:rFonts w:ascii="Times New Roman" w:hAnsi="Times New Roman" w:cs="Times New Roman"/>
          <w:i/>
          <w:sz w:val="22"/>
          <w:szCs w:val="22"/>
        </w:rPr>
        <w:t xml:space="preserve">, </w:t>
      </w:r>
      <w:r w:rsidRPr="00A63856">
        <w:rPr>
          <w:rFonts w:ascii="Times New Roman" w:hAnsi="Times New Roman" w:cs="Times New Roman"/>
          <w:sz w:val="22"/>
          <w:szCs w:val="22"/>
        </w:rPr>
        <w:t>and</w:t>
      </w:r>
      <w:r>
        <w:rPr>
          <w:rFonts w:ascii="Times New Roman" w:hAnsi="Times New Roman" w:cs="Times New Roman"/>
          <w:i/>
          <w:sz w:val="22"/>
          <w:szCs w:val="22"/>
        </w:rPr>
        <w:t xml:space="preserve"> MOM</w:t>
      </w:r>
      <w:r w:rsidRPr="003410DE">
        <w:rPr>
          <w:rFonts w:ascii="Times New Roman" w:hAnsi="Times New Roman" w:cs="Times New Roman"/>
          <w:sz w:val="22"/>
          <w:szCs w:val="22"/>
        </w:rPr>
        <w:t>. “</w:t>
      </w:r>
      <w:r w:rsidRPr="00173CCE">
        <w:rPr>
          <w:rFonts w:ascii="Times New Roman" w:hAnsi="Times New Roman" w:cs="Times New Roman"/>
          <w:i/>
          <w:color w:val="000000"/>
          <w:sz w:val="20"/>
          <w:szCs w:val="20"/>
        </w:rPr>
        <w:t>SZBM</w:t>
      </w:r>
      <w:r w:rsidRPr="003410DE">
        <w:rPr>
          <w:rFonts w:ascii="Times New Roman" w:hAnsi="Times New Roman" w:cs="Times New Roman"/>
          <w:color w:val="000000"/>
          <w:sz w:val="20"/>
          <w:szCs w:val="20"/>
        </w:rPr>
        <w:t>-adjusted”</w:t>
      </w:r>
      <w:r w:rsidRPr="003410DE">
        <w:rPr>
          <w:rFonts w:ascii="Times New Roman" w:hAnsi="Times New Roman" w:cs="Times New Roman"/>
          <w:sz w:val="22"/>
          <w:szCs w:val="22"/>
        </w:rPr>
        <w:t xml:space="preserve"> denotes </w:t>
      </w:r>
      <w:r w:rsidRPr="00D5561B">
        <w:rPr>
          <w:rFonts w:ascii="Times New Roman" w:hAnsi="Times New Roman" w:cs="Times New Roman"/>
          <w:i/>
          <w:sz w:val="22"/>
          <w:szCs w:val="22"/>
        </w:rPr>
        <w:t>BE/ME</w:t>
      </w:r>
      <w:r>
        <w:rPr>
          <w:rFonts w:ascii="Times New Roman" w:hAnsi="Times New Roman" w:cs="Times New Roman"/>
          <w:sz w:val="22"/>
          <w:szCs w:val="22"/>
        </w:rPr>
        <w:t xml:space="preserve"> and size </w:t>
      </w:r>
      <w:r w:rsidRPr="003410DE">
        <w:rPr>
          <w:rFonts w:ascii="Times New Roman" w:hAnsi="Times New Roman" w:cs="Times New Roman"/>
          <w:sz w:val="22"/>
          <w:szCs w:val="22"/>
        </w:rPr>
        <w:t>benchmark</w:t>
      </w:r>
      <w:r>
        <w:rPr>
          <w:rFonts w:ascii="Times New Roman" w:hAnsi="Times New Roman" w:cs="Times New Roman"/>
          <w:sz w:val="22"/>
          <w:szCs w:val="22"/>
        </w:rPr>
        <w:t>-</w:t>
      </w:r>
      <w:r w:rsidRPr="003410DE">
        <w:rPr>
          <w:rFonts w:ascii="Times New Roman" w:hAnsi="Times New Roman" w:cs="Times New Roman"/>
          <w:sz w:val="22"/>
          <w:szCs w:val="22"/>
        </w:rPr>
        <w:t xml:space="preserve">adjusted returns. </w:t>
      </w:r>
      <w:r w:rsidRPr="00514B74">
        <w:rPr>
          <w:rFonts w:ascii="Times New Roman" w:hAnsi="Times New Roman" w:cs="Times New Roman"/>
          <w:i/>
          <w:iCs/>
          <w:kern w:val="0"/>
          <w:sz w:val="22"/>
          <w:szCs w:val="22"/>
        </w:rPr>
        <w:t>t</w:t>
      </w:r>
      <w:r w:rsidRPr="00514B74">
        <w:rPr>
          <w:rFonts w:ascii="Times New Roman" w:hAnsi="Times New Roman" w:cs="Times New Roman"/>
          <w:kern w:val="0"/>
          <w:sz w:val="22"/>
          <w:szCs w:val="22"/>
        </w:rPr>
        <w:t xml:space="preserve">-statistics are shown in parentheses. </w:t>
      </w:r>
      <w:r w:rsidRPr="003410DE">
        <w:rPr>
          <w:rFonts w:ascii="Times New Roman" w:hAnsi="Times New Roman" w:cs="Times New Roman"/>
          <w:sz w:val="22"/>
          <w:szCs w:val="22"/>
        </w:rPr>
        <w:t xml:space="preserve">The asterisks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and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indicate significance at the 10</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5</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and 1</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xml:space="preserve"> levels, respectively.</w:t>
      </w:r>
    </w:p>
    <w:p w:rsidR="00523FB7" w:rsidRPr="003410DE" w:rsidRDefault="00523FB7" w:rsidP="000F25EB">
      <w:pPr>
        <w:snapToGrid w:val="0"/>
        <w:rPr>
          <w:rFonts w:ascii="Times New Roman" w:hAnsi="Times New Roman" w:cs="Times New Roman"/>
          <w:color w:val="000000"/>
          <w:sz w:val="22"/>
          <w:szCs w:val="22"/>
        </w:rPr>
      </w:pPr>
    </w:p>
    <w:tbl>
      <w:tblPr>
        <w:tblW w:w="13900" w:type="dxa"/>
        <w:tblInd w:w="2" w:type="dxa"/>
        <w:tblCellMar>
          <w:left w:w="0" w:type="dxa"/>
          <w:right w:w="0" w:type="dxa"/>
        </w:tblCellMar>
        <w:tblLook w:val="00A0"/>
      </w:tblPr>
      <w:tblGrid>
        <w:gridCol w:w="2021"/>
        <w:gridCol w:w="1076"/>
        <w:gridCol w:w="1075"/>
        <w:gridCol w:w="1075"/>
        <w:gridCol w:w="1075"/>
        <w:gridCol w:w="1075"/>
        <w:gridCol w:w="1075"/>
        <w:gridCol w:w="1073"/>
        <w:gridCol w:w="1075"/>
        <w:gridCol w:w="1075"/>
        <w:gridCol w:w="1075"/>
        <w:gridCol w:w="1130"/>
      </w:tblGrid>
      <w:tr w:rsidR="00523FB7" w:rsidRPr="00740526" w:rsidTr="008825CF">
        <w:trPr>
          <w:trHeight w:val="315"/>
        </w:trPr>
        <w:tc>
          <w:tcPr>
            <w:tcW w:w="2021" w:type="dxa"/>
            <w:tcBorders>
              <w:top w:val="double" w:sz="4" w:space="0" w:color="auto"/>
              <w:left w:val="nil"/>
              <w:bottom w:val="nil"/>
              <w:right w:val="nil"/>
            </w:tcBorders>
            <w:noWrap/>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Panel A: Returns</w:t>
            </w:r>
          </w:p>
        </w:tc>
        <w:tc>
          <w:tcPr>
            <w:tcW w:w="1076" w:type="dxa"/>
            <w:tcBorders>
              <w:top w:val="double" w:sz="4" w:space="0" w:color="auto"/>
              <w:left w:val="nil"/>
              <w:bottom w:val="nil"/>
              <w:right w:val="nil"/>
            </w:tcBorders>
            <w:tcMar>
              <w:top w:w="15" w:type="dxa"/>
              <w:left w:w="225" w:type="dxa"/>
              <w:bottom w:w="0" w:type="dxa"/>
              <w:right w:w="15" w:type="dxa"/>
            </w:tcMar>
            <w:vAlign w:val="center"/>
          </w:tcPr>
          <w:p w:rsidR="00523FB7" w:rsidRPr="00740526" w:rsidRDefault="00523FB7" w:rsidP="003132FD">
            <w:pPr>
              <w:snapToGrid w:val="0"/>
              <w:ind w:firstLineChars="50" w:firstLine="10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Low</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2</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3</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4</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5</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6</w:t>
            </w:r>
          </w:p>
        </w:tc>
        <w:tc>
          <w:tcPr>
            <w:tcW w:w="1073"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7</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8</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9</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High</w:t>
            </w:r>
          </w:p>
        </w:tc>
        <w:tc>
          <w:tcPr>
            <w:tcW w:w="1130"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High-Low</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EW</w:t>
            </w:r>
            <w:r w:rsidRPr="00740526">
              <w:rPr>
                <w:rFonts w:ascii="Times New Roman" w:hAnsi="Times New Roman" w:cs="Times New Roman"/>
                <w:color w:val="000000"/>
                <w:sz w:val="20"/>
                <w:szCs w:val="20"/>
              </w:rPr>
              <w:t xml:space="preserve"> raw return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1.12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1.22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1.07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1.14 </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1.05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1.07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0.82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0.66 </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-0.46</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(3.42)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(3.43)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(3.46)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(3.71)</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(3.55)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(2.77)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(2.19)</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(-2.97)</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EW</w:t>
            </w:r>
            <w:r w:rsidRPr="00740526">
              <w:rPr>
                <w:rFonts w:ascii="Times New Roman" w:hAnsi="Times New Roman" w:cs="Times New Roman"/>
                <w:color w:val="000000"/>
                <w:sz w:val="20"/>
                <w:szCs w:val="20"/>
              </w:rPr>
              <w:t xml:space="preserve"> </w:t>
            </w:r>
            <w:r w:rsidRPr="00740526">
              <w:rPr>
                <w:rFonts w:ascii="Times New Roman" w:hAnsi="Times New Roman" w:cs="Times New Roman"/>
                <w:color w:val="000000"/>
                <w:sz w:val="22"/>
                <w:szCs w:val="22"/>
              </w:rPr>
              <w:t>Carhart</w:t>
            </w:r>
            <w:r w:rsidRPr="00740526">
              <w:rPr>
                <w:rFonts w:ascii="Times New Roman" w:hAnsi="Times New Roman" w:cs="Times New Roman"/>
                <w:color w:val="000000"/>
                <w:sz w:val="20"/>
                <w:szCs w:val="20"/>
              </w:rPr>
              <w:t>’s alpha</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-0.01</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(1.36)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(2.10)</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(-0.11)</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(-1.06)</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EW SZBM</w:t>
            </w:r>
            <w:r w:rsidRPr="00740526">
              <w:rPr>
                <w:rFonts w:ascii="Times New Roman" w:hAnsi="Times New Roman" w:cs="Times New Roman"/>
                <w:color w:val="000000"/>
                <w:sz w:val="20"/>
                <w:szCs w:val="20"/>
              </w:rPr>
              <w:t>-adjusted</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-0.20</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-0.29</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(0.82)</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(-2.51)</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(-2.29)</w:t>
            </w:r>
          </w:p>
        </w:tc>
      </w:tr>
      <w:tr w:rsidR="00523FB7" w:rsidRPr="00740526" w:rsidTr="008825CF">
        <w:trPr>
          <w:trHeight w:val="37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VW</w:t>
            </w:r>
            <w:r w:rsidRPr="00740526">
              <w:rPr>
                <w:rFonts w:ascii="Times New Roman" w:hAnsi="Times New Roman" w:cs="Times New Roman"/>
                <w:color w:val="000000"/>
                <w:sz w:val="20"/>
                <w:szCs w:val="20"/>
              </w:rPr>
              <w:t xml:space="preserve"> raw return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0.95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0.92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0.83 </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0.83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0.88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0.65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0.45 </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-0.45</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(2.86)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(2.89)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(3.18)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(3.48)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(2.99)</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(3.14)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(2.78)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(1.52)</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(-2.78)</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VW</w:t>
            </w:r>
            <w:r w:rsidRPr="00740526">
              <w:rPr>
                <w:rFonts w:ascii="Times New Roman" w:hAnsi="Times New Roman" w:cs="Times New Roman"/>
                <w:color w:val="000000"/>
                <w:sz w:val="20"/>
                <w:szCs w:val="20"/>
              </w:rPr>
              <w:t xml:space="preserve"> </w:t>
            </w:r>
            <w:r w:rsidRPr="00740526">
              <w:rPr>
                <w:rFonts w:ascii="Times New Roman" w:hAnsi="Times New Roman" w:cs="Times New Roman"/>
                <w:color w:val="000000"/>
                <w:sz w:val="22"/>
                <w:szCs w:val="22"/>
              </w:rPr>
              <w:t>Carhart</w:t>
            </w:r>
            <w:r w:rsidRPr="00740526">
              <w:rPr>
                <w:rFonts w:ascii="Times New Roman" w:hAnsi="Times New Roman" w:cs="Times New Roman"/>
                <w:color w:val="000000"/>
                <w:sz w:val="20"/>
                <w:szCs w:val="20"/>
              </w:rPr>
              <w:t>’s alpha</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-0.11</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-0.26</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(0.59)</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(-0.70)</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(-1.75)</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VW</w:t>
            </w:r>
            <w:r w:rsidRPr="00740526">
              <w:rPr>
                <w:rFonts w:ascii="Times New Roman" w:hAnsi="Times New Roman" w:cs="Times New Roman"/>
                <w:color w:val="000000"/>
                <w:sz w:val="20"/>
                <w:szCs w:val="20"/>
              </w:rPr>
              <w:t xml:space="preserve"> </w:t>
            </w:r>
            <w:r w:rsidRPr="00740526">
              <w:rPr>
                <w:rFonts w:ascii="Times New Roman" w:hAnsi="Times New Roman" w:cs="Times New Roman"/>
                <w:i/>
                <w:color w:val="000000"/>
                <w:sz w:val="20"/>
                <w:szCs w:val="20"/>
              </w:rPr>
              <w:t>SZBM</w:t>
            </w:r>
            <w:r w:rsidRPr="00740526">
              <w:rPr>
                <w:rFonts w:ascii="Times New Roman" w:hAnsi="Times New Roman" w:cs="Times New Roman"/>
                <w:color w:val="000000"/>
                <w:sz w:val="20"/>
                <w:szCs w:val="20"/>
              </w:rPr>
              <w:t>-adjusted</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-0.19</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(0.55)</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(-1.38)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(-1.76)</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(-1.98)</w:t>
            </w:r>
          </w:p>
        </w:tc>
      </w:tr>
    </w:tbl>
    <w:p w:rsidR="00523FB7" w:rsidRPr="003410DE" w:rsidRDefault="00523FB7" w:rsidP="000F25EB">
      <w:pPr>
        <w:rPr>
          <w:rFonts w:ascii="Times New Roman" w:hAnsi="Times New Roman" w:cs="Times New Roman"/>
        </w:rPr>
      </w:pPr>
    </w:p>
    <w:p w:rsidR="00523FB7" w:rsidRPr="003410DE" w:rsidRDefault="00523FB7" w:rsidP="000F25EB">
      <w:pPr>
        <w:widowControl/>
        <w:rPr>
          <w:rFonts w:ascii="Times New Roman" w:hAnsi="Times New Roman" w:cs="Times New Roman"/>
        </w:rPr>
      </w:pPr>
      <w:r w:rsidRPr="003410DE">
        <w:rPr>
          <w:rFonts w:ascii="Times New Roman" w:hAnsi="Times New Roman" w:cs="Times New Roman"/>
        </w:rPr>
        <w:br w:type="page"/>
      </w:r>
    </w:p>
    <w:tbl>
      <w:tblPr>
        <w:tblW w:w="13900" w:type="dxa"/>
        <w:tblInd w:w="2" w:type="dxa"/>
        <w:tblCellMar>
          <w:left w:w="0" w:type="dxa"/>
          <w:right w:w="0" w:type="dxa"/>
        </w:tblCellMar>
        <w:tblLook w:val="00A0"/>
      </w:tblPr>
      <w:tblGrid>
        <w:gridCol w:w="2021"/>
        <w:gridCol w:w="1076"/>
        <w:gridCol w:w="1075"/>
        <w:gridCol w:w="1075"/>
        <w:gridCol w:w="1075"/>
        <w:gridCol w:w="1075"/>
        <w:gridCol w:w="1075"/>
        <w:gridCol w:w="1073"/>
        <w:gridCol w:w="1075"/>
        <w:gridCol w:w="1075"/>
        <w:gridCol w:w="1075"/>
        <w:gridCol w:w="1130"/>
      </w:tblGrid>
      <w:tr w:rsidR="00523FB7" w:rsidRPr="00740526" w:rsidTr="008825CF">
        <w:trPr>
          <w:trHeight w:val="315"/>
        </w:trPr>
        <w:tc>
          <w:tcPr>
            <w:tcW w:w="3097" w:type="dxa"/>
            <w:gridSpan w:val="2"/>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rPr>
                <w:rFonts w:ascii="Times New Roman" w:hAnsi="Times New Roman" w:cs="Times New Roman"/>
                <w:color w:val="000000"/>
                <w:sz w:val="20"/>
                <w:szCs w:val="20"/>
              </w:rPr>
            </w:pPr>
            <w:r w:rsidRPr="00740526">
              <w:rPr>
                <w:rFonts w:ascii="Times New Roman" w:hAnsi="Times New Roman" w:cs="Times New Roman"/>
                <w:b/>
                <w:bCs/>
                <w:color w:val="000000"/>
                <w:sz w:val="20"/>
                <w:szCs w:val="20"/>
              </w:rPr>
              <w:t>Panel B: Characteristics</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PR1 EW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0.81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0.85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0.96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0.86 </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1.03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1.28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1.37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1.83 </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0.74</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(3.00)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(2.67)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(3.03)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(2.94)</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(3.55)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(4.29)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(4.82)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(6.01)</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(3.66)</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PR1 VW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1.41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1.12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1.18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1.13 </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1.63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1.59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1.90 </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0.49</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(4.48)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(3.83)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(3.94)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(4.16)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(4.23)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(4.12)</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(4.23)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(5.58)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(5.81)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(6.57)</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(2.21)</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PR2EW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1.34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0.75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0.67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0.90 </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0.86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1.40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1.80 </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0.46</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(3.81)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(2.68)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(2.97)</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(2.89)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(3.54)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(4.66)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(5.89)</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(3.36)</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PR2 VW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1.40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1.02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1.09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0.97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1.29 </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1.17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1.56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1.69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1.88 </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0.48</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(4.60)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(3.75)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(3.45)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(3.41)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(4.76)</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(3.97)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(5.36)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(6.02)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(6.21)</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(2.50)</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ITH</w:t>
            </w:r>
            <w:r w:rsidRPr="00740526">
              <w:rPr>
                <w:rFonts w:ascii="Times New Roman" w:hAnsi="Times New Roman" w:cs="Times New Roman"/>
                <w:color w:val="000000"/>
                <w:sz w:val="20"/>
                <w:szCs w:val="20"/>
              </w:rPr>
              <w:t xml:space="preserve">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61.83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61.37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61.29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61.25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61.40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61.28 </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61.38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61.23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61.23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61.31 </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-0.52 </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IND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32.70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32.61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33.11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32.94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33.50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33.01 </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33.04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32.58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31.75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30.77 </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-1.93 </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AdjDITH</w:t>
            </w:r>
            <w:r w:rsidRPr="00740526">
              <w:rPr>
                <w:rFonts w:ascii="Times New Roman" w:hAnsi="Times New Roman" w:cs="Times New Roman"/>
                <w:color w:val="000000"/>
                <w:sz w:val="20"/>
                <w:szCs w:val="20"/>
              </w:rPr>
              <w:t xml:space="preserve">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-7.56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-3.38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-1.83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-0.93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-0.20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0.40 </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1.16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2.17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3.83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7.81 </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15.37</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AdjDIND</w:t>
            </w:r>
            <w:r w:rsidRPr="00740526">
              <w:rPr>
                <w:rFonts w:ascii="Times New Roman" w:hAnsi="Times New Roman" w:cs="Times New Roman"/>
                <w:color w:val="000000"/>
                <w:sz w:val="20"/>
                <w:szCs w:val="20"/>
              </w:rPr>
              <w:t xml:space="preserve">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4.13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2.05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1.21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0.88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0.22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-0.31 </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-0.62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-1.21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-2.07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-3.87 </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-8.00</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BE/ME</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0.67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0.71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0.73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0.74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0.76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0.73 </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0.71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0.67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0.65 </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0.55 </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r>
      <w:tr w:rsidR="00523FB7" w:rsidRPr="00740526" w:rsidTr="008825CF">
        <w:trPr>
          <w:trHeight w:val="315"/>
        </w:trPr>
        <w:tc>
          <w:tcPr>
            <w:tcW w:w="2021"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 xml:space="preserve">ME </w:t>
            </w:r>
            <w:r w:rsidRPr="00740526">
              <w:rPr>
                <w:rFonts w:ascii="Times New Roman" w:hAnsi="Times New Roman" w:cs="Times New Roman"/>
                <w:color w:val="000000"/>
                <w:sz w:val="20"/>
                <w:szCs w:val="20"/>
              </w:rPr>
              <w:t>($millions)</w:t>
            </w:r>
          </w:p>
        </w:tc>
        <w:tc>
          <w:tcPr>
            <w:tcW w:w="1076"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106,077</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122,663</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116,509</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103,048</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103,253</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103,015</w:t>
            </w:r>
          </w:p>
        </w:tc>
        <w:tc>
          <w:tcPr>
            <w:tcW w:w="1073"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98,830</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114,870</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112,126</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108,080</w:t>
            </w:r>
          </w:p>
        </w:tc>
        <w:tc>
          <w:tcPr>
            <w:tcW w:w="1130"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2,003 </w:t>
            </w:r>
          </w:p>
        </w:tc>
      </w:tr>
      <w:tr w:rsidR="00523FB7" w:rsidRPr="00740526" w:rsidTr="008825CF">
        <w:trPr>
          <w:trHeight w:val="330"/>
        </w:trPr>
        <w:tc>
          <w:tcPr>
            <w:tcW w:w="2021"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6"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3"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130"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r>
    </w:tbl>
    <w:p w:rsidR="00523FB7" w:rsidRPr="003410DE" w:rsidRDefault="00523FB7" w:rsidP="000F25EB">
      <w:pPr>
        <w:autoSpaceDE w:val="0"/>
        <w:autoSpaceDN w:val="0"/>
        <w:adjustRightInd w:val="0"/>
        <w:spacing w:line="291" w:lineRule="exact"/>
        <w:rPr>
          <w:rFonts w:ascii="Times New Roman" w:hAnsi="Times New Roman" w:cs="Times New Roman"/>
          <w:kern w:val="0"/>
        </w:rPr>
      </w:pPr>
    </w:p>
    <w:p w:rsidR="00523FB7" w:rsidRPr="003410DE" w:rsidRDefault="00523FB7" w:rsidP="000F25EB">
      <w:pPr>
        <w:widowControl/>
        <w:rPr>
          <w:rFonts w:ascii="Times New Roman" w:hAnsi="Times New Roman" w:cs="Times New Roman"/>
        </w:rPr>
      </w:pPr>
      <w:r w:rsidRPr="003410DE">
        <w:rPr>
          <w:rFonts w:ascii="Times New Roman" w:hAnsi="Times New Roman" w:cs="Times New Roman"/>
        </w:rPr>
        <w:br w:type="page"/>
      </w:r>
    </w:p>
    <w:p w:rsidR="00523FB7" w:rsidRPr="003410DE" w:rsidRDefault="00523FB7" w:rsidP="000F25EB">
      <w:pPr>
        <w:widowControl/>
        <w:spacing w:line="360" w:lineRule="auto"/>
        <w:rPr>
          <w:rFonts w:ascii="Times New Roman" w:hAnsi="Times New Roman" w:cs="Times New Roman"/>
          <w:b/>
          <w:bCs/>
          <w:kern w:val="0"/>
        </w:rPr>
      </w:pPr>
      <w:r w:rsidRPr="003410DE">
        <w:rPr>
          <w:rFonts w:ascii="Times New Roman" w:hAnsi="Times New Roman" w:cs="Times New Roman"/>
          <w:b/>
          <w:bCs/>
          <w:kern w:val="0"/>
        </w:rPr>
        <w:t xml:space="preserve">Table 6. Average monthly percent returns and characteristics for decile portfolios formed on the </w:t>
      </w:r>
      <w:r w:rsidRPr="00D5561B">
        <w:rPr>
          <w:rFonts w:ascii="Times New Roman" w:hAnsi="Times New Roman" w:cs="Times New Roman"/>
          <w:b/>
          <w:bCs/>
          <w:i/>
          <w:kern w:val="0"/>
        </w:rPr>
        <w:t>AdjDIND</w:t>
      </w:r>
    </w:p>
    <w:p w:rsidR="00523FB7" w:rsidRPr="006363B4" w:rsidRDefault="00523FB7" w:rsidP="000F25EB">
      <w:pPr>
        <w:autoSpaceDE w:val="0"/>
        <w:autoSpaceDN w:val="0"/>
        <w:adjustRightInd w:val="0"/>
        <w:snapToGrid w:val="0"/>
        <w:jc w:val="both"/>
        <w:rPr>
          <w:rFonts w:ascii="Times New Roman" w:hAnsi="Times New Roman" w:cs="Times New Roman"/>
          <w:kern w:val="0"/>
          <w:sz w:val="22"/>
          <w:szCs w:val="22"/>
        </w:rPr>
      </w:pPr>
      <w:r w:rsidRPr="006363B4">
        <w:rPr>
          <w:rFonts w:ascii="Times New Roman" w:hAnsi="Times New Roman" w:cs="Times New Roman"/>
          <w:sz w:val="22"/>
          <w:szCs w:val="22"/>
        </w:rPr>
        <w:t xml:space="preserve">For each year from 1975 to 2005, all selected stocks in the sample are first sorted into 10 portfolios based on the fraction of shares held by individual investors. Secondly, firms within each initial individual-ownership-sorted portfolio are then sorted into 10 portfolios based on the individual trade imbalance. Finally, firms with the largest individual trade imbalance are then re-aggregated across the 10 initial individual ownership sorted portfolios to form a stratified portfolio that shows the largest increase in individual ownership. Similarly, firms within each of the other nine portfolios are re-aggregated in the same manner. </w:t>
      </w:r>
      <w:r w:rsidRPr="006363B4">
        <w:rPr>
          <w:rFonts w:ascii="Times New Roman" w:hAnsi="Times New Roman" w:cs="Times New Roman"/>
          <w:i/>
          <w:sz w:val="22"/>
          <w:szCs w:val="22"/>
        </w:rPr>
        <w:t>EW</w:t>
      </w:r>
      <w:r w:rsidRPr="006363B4">
        <w:rPr>
          <w:rFonts w:ascii="Times New Roman" w:hAnsi="Times New Roman" w:cs="Times New Roman"/>
          <w:sz w:val="22"/>
          <w:szCs w:val="22"/>
        </w:rPr>
        <w:t xml:space="preserve"> (</w:t>
      </w:r>
      <w:r w:rsidRPr="006363B4">
        <w:rPr>
          <w:rFonts w:ascii="Times New Roman" w:hAnsi="Times New Roman" w:cs="Times New Roman"/>
          <w:i/>
          <w:sz w:val="22"/>
          <w:szCs w:val="22"/>
        </w:rPr>
        <w:t>VW</w:t>
      </w:r>
      <w:r w:rsidRPr="006363B4">
        <w:rPr>
          <w:rFonts w:ascii="Times New Roman" w:hAnsi="Times New Roman" w:cs="Times New Roman"/>
          <w:sz w:val="22"/>
          <w:szCs w:val="22"/>
        </w:rPr>
        <w:t>) return is calculated as</w:t>
      </w:r>
      <w:r>
        <w:rPr>
          <w:rFonts w:ascii="Times New Roman" w:hAnsi="Times New Roman" w:cs="Times New Roman"/>
          <w:sz w:val="22"/>
          <w:szCs w:val="22"/>
        </w:rPr>
        <w:t xml:space="preserve"> an</w:t>
      </w:r>
      <w:r w:rsidRPr="006363B4">
        <w:rPr>
          <w:rFonts w:ascii="Times New Roman" w:hAnsi="Times New Roman" w:cs="Times New Roman"/>
          <w:kern w:val="0"/>
          <w:sz w:val="22"/>
          <w:szCs w:val="22"/>
        </w:rPr>
        <w:t xml:space="preserve"> equal- (value-) weighted portfolio based on the adjusted changes in </w:t>
      </w:r>
      <w:r w:rsidRPr="006363B4">
        <w:rPr>
          <w:rFonts w:ascii="Times New Roman" w:hAnsi="Times New Roman" w:cs="Times New Roman"/>
          <w:sz w:val="22"/>
          <w:szCs w:val="22"/>
        </w:rPr>
        <w:t>individual</w:t>
      </w:r>
      <w:r w:rsidRPr="006363B4">
        <w:rPr>
          <w:rFonts w:ascii="Times New Roman" w:hAnsi="Times New Roman" w:cs="Times New Roman"/>
          <w:kern w:val="0"/>
          <w:sz w:val="22"/>
          <w:szCs w:val="22"/>
        </w:rPr>
        <w:t xml:space="preserve"> ownership. “</w:t>
      </w:r>
      <w:r w:rsidRPr="006363B4">
        <w:rPr>
          <w:rFonts w:ascii="Times New Roman" w:hAnsi="Times New Roman" w:cs="Times New Roman"/>
          <w:color w:val="000000"/>
          <w:sz w:val="22"/>
          <w:szCs w:val="22"/>
        </w:rPr>
        <w:t>Carhart’s alpha”</w:t>
      </w:r>
      <w:r w:rsidRPr="006363B4">
        <w:rPr>
          <w:rFonts w:ascii="Times New Roman" w:hAnsi="Times New Roman" w:cs="Times New Roman"/>
          <w:sz w:val="22"/>
          <w:szCs w:val="22"/>
        </w:rPr>
        <w:t xml:space="preserve"> indicates the risk adjusted returns by </w:t>
      </w:r>
      <w:r w:rsidRPr="006363B4">
        <w:rPr>
          <w:rFonts w:ascii="Times New Roman" w:hAnsi="Times New Roman" w:cs="Times New Roman"/>
          <w:color w:val="000000"/>
          <w:sz w:val="22"/>
          <w:szCs w:val="22"/>
        </w:rPr>
        <w:t>Carhart</w:t>
      </w:r>
      <w:r>
        <w:rPr>
          <w:rFonts w:ascii="Times New Roman" w:hAnsi="Times New Roman" w:cs="Times New Roman"/>
          <w:color w:val="000000"/>
          <w:sz w:val="22"/>
          <w:szCs w:val="22"/>
        </w:rPr>
        <w:t>’s</w:t>
      </w:r>
      <w:r w:rsidRPr="006363B4">
        <w:rPr>
          <w:rFonts w:ascii="Times New Roman" w:hAnsi="Times New Roman" w:cs="Times New Roman"/>
          <w:color w:val="000000"/>
          <w:sz w:val="22"/>
          <w:szCs w:val="22"/>
        </w:rPr>
        <w:t xml:space="preserve"> (1997)</w:t>
      </w:r>
      <w:r w:rsidRPr="006363B4">
        <w:rPr>
          <w:rFonts w:ascii="Times New Roman" w:hAnsi="Times New Roman" w:cs="Times New Roman"/>
          <w:sz w:val="22"/>
          <w:szCs w:val="22"/>
        </w:rPr>
        <w:t xml:space="preserve"> four factors, i.e., market excess returns, </w:t>
      </w:r>
      <w:r w:rsidRPr="006363B4">
        <w:rPr>
          <w:rFonts w:ascii="Times New Roman" w:hAnsi="Times New Roman" w:cs="Times New Roman"/>
          <w:i/>
          <w:sz w:val="22"/>
          <w:szCs w:val="22"/>
        </w:rPr>
        <w:t>HML</w:t>
      </w:r>
      <w:r w:rsidRPr="006363B4">
        <w:rPr>
          <w:rFonts w:ascii="Times New Roman" w:hAnsi="Times New Roman" w:cs="Times New Roman"/>
          <w:sz w:val="22"/>
          <w:szCs w:val="22"/>
        </w:rPr>
        <w:t>,</w:t>
      </w:r>
      <w:r w:rsidRPr="006363B4">
        <w:rPr>
          <w:rFonts w:ascii="Times New Roman" w:hAnsi="Times New Roman" w:cs="Times New Roman"/>
          <w:i/>
          <w:sz w:val="22"/>
          <w:szCs w:val="22"/>
        </w:rPr>
        <w:t xml:space="preserve"> SMB, </w:t>
      </w:r>
      <w:r w:rsidRPr="006363B4">
        <w:rPr>
          <w:rFonts w:ascii="Times New Roman" w:hAnsi="Times New Roman" w:cs="Times New Roman"/>
          <w:sz w:val="22"/>
          <w:szCs w:val="22"/>
        </w:rPr>
        <w:t>and</w:t>
      </w:r>
      <w:r w:rsidRPr="006363B4">
        <w:rPr>
          <w:rFonts w:ascii="Times New Roman" w:hAnsi="Times New Roman" w:cs="Times New Roman"/>
          <w:i/>
          <w:sz w:val="22"/>
          <w:szCs w:val="22"/>
        </w:rPr>
        <w:t xml:space="preserve"> MOM</w:t>
      </w:r>
      <w:r w:rsidRPr="006363B4">
        <w:rPr>
          <w:rFonts w:ascii="Times New Roman" w:hAnsi="Times New Roman" w:cs="Times New Roman"/>
          <w:sz w:val="22"/>
          <w:szCs w:val="22"/>
        </w:rPr>
        <w:t>. “</w:t>
      </w:r>
      <w:r w:rsidRPr="006363B4">
        <w:rPr>
          <w:rFonts w:ascii="Times New Roman" w:hAnsi="Times New Roman" w:cs="Times New Roman"/>
          <w:i/>
          <w:color w:val="000000"/>
          <w:sz w:val="22"/>
          <w:szCs w:val="22"/>
        </w:rPr>
        <w:t>SZBM</w:t>
      </w:r>
      <w:r w:rsidRPr="006363B4">
        <w:rPr>
          <w:rFonts w:ascii="Times New Roman" w:hAnsi="Times New Roman" w:cs="Times New Roman"/>
          <w:color w:val="000000"/>
          <w:sz w:val="22"/>
          <w:szCs w:val="22"/>
        </w:rPr>
        <w:t>-adjusted”</w:t>
      </w:r>
      <w:r w:rsidRPr="006363B4">
        <w:rPr>
          <w:rFonts w:ascii="Times New Roman" w:hAnsi="Times New Roman" w:cs="Times New Roman"/>
          <w:sz w:val="22"/>
          <w:szCs w:val="22"/>
        </w:rPr>
        <w:t xml:space="preserve"> denotes </w:t>
      </w:r>
      <w:r w:rsidRPr="006363B4">
        <w:rPr>
          <w:rFonts w:ascii="Times New Roman" w:hAnsi="Times New Roman" w:cs="Times New Roman"/>
          <w:i/>
          <w:sz w:val="22"/>
          <w:szCs w:val="22"/>
        </w:rPr>
        <w:t>BE/ME</w:t>
      </w:r>
      <w:r w:rsidRPr="006363B4">
        <w:rPr>
          <w:rFonts w:ascii="Times New Roman" w:hAnsi="Times New Roman" w:cs="Times New Roman"/>
          <w:sz w:val="22"/>
          <w:szCs w:val="22"/>
        </w:rPr>
        <w:t xml:space="preserve"> and size benchmark</w:t>
      </w:r>
      <w:r>
        <w:rPr>
          <w:rFonts w:ascii="Times New Roman" w:hAnsi="Times New Roman" w:cs="Times New Roman"/>
          <w:sz w:val="22"/>
          <w:szCs w:val="22"/>
        </w:rPr>
        <w:t>-</w:t>
      </w:r>
      <w:r w:rsidRPr="006363B4">
        <w:rPr>
          <w:rFonts w:ascii="Times New Roman" w:hAnsi="Times New Roman" w:cs="Times New Roman"/>
          <w:sz w:val="22"/>
          <w:szCs w:val="22"/>
        </w:rPr>
        <w:t xml:space="preserve">adjusted returns. </w:t>
      </w:r>
      <w:r w:rsidRPr="00514B74">
        <w:rPr>
          <w:rFonts w:ascii="Times New Roman" w:hAnsi="Times New Roman" w:cs="Times New Roman"/>
          <w:i/>
          <w:iCs/>
          <w:kern w:val="0"/>
          <w:sz w:val="22"/>
          <w:szCs w:val="22"/>
        </w:rPr>
        <w:t>t</w:t>
      </w:r>
      <w:r w:rsidRPr="00514B74">
        <w:rPr>
          <w:rFonts w:ascii="Times New Roman" w:hAnsi="Times New Roman" w:cs="Times New Roman"/>
          <w:kern w:val="0"/>
          <w:sz w:val="22"/>
          <w:szCs w:val="22"/>
        </w:rPr>
        <w:t xml:space="preserve">-statistics are shown in parentheses. </w:t>
      </w:r>
      <w:r w:rsidRPr="006363B4">
        <w:rPr>
          <w:rFonts w:ascii="Times New Roman" w:hAnsi="Times New Roman" w:cs="Times New Roman"/>
          <w:sz w:val="22"/>
          <w:szCs w:val="22"/>
        </w:rPr>
        <w:t xml:space="preserve">The asterisks </w:t>
      </w:r>
      <w:r w:rsidRPr="006363B4">
        <w:rPr>
          <w:rFonts w:ascii="Times New Roman" w:hAnsi="Times New Roman" w:cs="Times New Roman"/>
          <w:color w:val="000000"/>
          <w:sz w:val="22"/>
          <w:szCs w:val="22"/>
          <w:vertAlign w:val="superscript"/>
        </w:rPr>
        <w:t>*</w:t>
      </w:r>
      <w:r w:rsidRPr="006363B4">
        <w:rPr>
          <w:rFonts w:ascii="Times New Roman" w:hAnsi="Times New Roman" w:cs="Times New Roman"/>
          <w:color w:val="000000"/>
          <w:sz w:val="22"/>
          <w:szCs w:val="22"/>
        </w:rPr>
        <w:t xml:space="preserve">, </w:t>
      </w:r>
      <w:r w:rsidRPr="006363B4">
        <w:rPr>
          <w:rFonts w:ascii="Times New Roman" w:hAnsi="Times New Roman" w:cs="Times New Roman"/>
          <w:color w:val="000000"/>
          <w:sz w:val="22"/>
          <w:szCs w:val="22"/>
          <w:vertAlign w:val="superscript"/>
        </w:rPr>
        <w:t>**</w:t>
      </w:r>
      <w:r w:rsidRPr="006363B4">
        <w:rPr>
          <w:rFonts w:ascii="Times New Roman" w:hAnsi="Times New Roman" w:cs="Times New Roman"/>
          <w:color w:val="000000"/>
          <w:sz w:val="22"/>
          <w:szCs w:val="22"/>
        </w:rPr>
        <w:t xml:space="preserve">, and </w:t>
      </w:r>
      <w:r w:rsidRPr="006363B4">
        <w:rPr>
          <w:rFonts w:ascii="Times New Roman" w:hAnsi="Times New Roman" w:cs="Times New Roman"/>
          <w:color w:val="000000"/>
          <w:sz w:val="22"/>
          <w:szCs w:val="22"/>
          <w:vertAlign w:val="superscript"/>
        </w:rPr>
        <w:t>***</w:t>
      </w:r>
      <w:r w:rsidRPr="006363B4">
        <w:rPr>
          <w:rFonts w:ascii="Times New Roman" w:hAnsi="Times New Roman" w:cs="Times New Roman"/>
          <w:color w:val="000000"/>
          <w:sz w:val="22"/>
          <w:szCs w:val="22"/>
        </w:rPr>
        <w:t xml:space="preserve"> indicate significance at the </w:t>
      </w:r>
      <w:r w:rsidRPr="003410DE">
        <w:rPr>
          <w:rFonts w:ascii="Times New Roman" w:hAnsi="Times New Roman" w:cs="Times New Roman"/>
          <w:color w:val="000000"/>
          <w:sz w:val="22"/>
          <w:szCs w:val="22"/>
        </w:rPr>
        <w:t>10</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5</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and 1</w:t>
      </w:r>
      <w:r>
        <w:rPr>
          <w:rFonts w:ascii="Times New Roman" w:hAnsi="Times New Roman" w:cs="Times New Roman"/>
          <w:color w:val="000000"/>
          <w:sz w:val="22"/>
          <w:szCs w:val="22"/>
        </w:rPr>
        <w:t>%</w:t>
      </w:r>
      <w:r w:rsidRPr="006363B4">
        <w:rPr>
          <w:rFonts w:ascii="Times New Roman" w:hAnsi="Times New Roman" w:cs="Times New Roman"/>
          <w:color w:val="000000"/>
          <w:sz w:val="22"/>
          <w:szCs w:val="22"/>
        </w:rPr>
        <w:t xml:space="preserve"> levels, respectively.</w:t>
      </w:r>
    </w:p>
    <w:p w:rsidR="00523FB7" w:rsidRPr="003410DE" w:rsidRDefault="00523FB7" w:rsidP="000F25EB">
      <w:pPr>
        <w:autoSpaceDE w:val="0"/>
        <w:autoSpaceDN w:val="0"/>
        <w:adjustRightInd w:val="0"/>
        <w:snapToGrid w:val="0"/>
        <w:rPr>
          <w:rFonts w:ascii="Times New Roman" w:hAnsi="Times New Roman" w:cs="Times New Roman"/>
          <w:kern w:val="0"/>
          <w:sz w:val="22"/>
          <w:szCs w:val="22"/>
        </w:rPr>
      </w:pPr>
    </w:p>
    <w:tbl>
      <w:tblPr>
        <w:tblW w:w="13900" w:type="dxa"/>
        <w:tblInd w:w="2" w:type="dxa"/>
        <w:tblCellMar>
          <w:left w:w="0" w:type="dxa"/>
          <w:right w:w="0" w:type="dxa"/>
        </w:tblCellMar>
        <w:tblLook w:val="00A0"/>
      </w:tblPr>
      <w:tblGrid>
        <w:gridCol w:w="2021"/>
        <w:gridCol w:w="1076"/>
        <w:gridCol w:w="1075"/>
        <w:gridCol w:w="1075"/>
        <w:gridCol w:w="1075"/>
        <w:gridCol w:w="1075"/>
        <w:gridCol w:w="1075"/>
        <w:gridCol w:w="1073"/>
        <w:gridCol w:w="1075"/>
        <w:gridCol w:w="1075"/>
        <w:gridCol w:w="1075"/>
        <w:gridCol w:w="1130"/>
      </w:tblGrid>
      <w:tr w:rsidR="00523FB7" w:rsidRPr="00740526" w:rsidTr="008825CF">
        <w:trPr>
          <w:trHeight w:val="315"/>
        </w:trPr>
        <w:tc>
          <w:tcPr>
            <w:tcW w:w="2021" w:type="dxa"/>
            <w:tcBorders>
              <w:top w:val="double" w:sz="4" w:space="0" w:color="auto"/>
              <w:left w:val="nil"/>
              <w:bottom w:val="nil"/>
              <w:right w:val="nil"/>
            </w:tcBorders>
            <w:noWrap/>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Panel A: Returns</w:t>
            </w:r>
          </w:p>
        </w:tc>
        <w:tc>
          <w:tcPr>
            <w:tcW w:w="1076" w:type="dxa"/>
            <w:tcBorders>
              <w:top w:val="double" w:sz="4" w:space="0" w:color="auto"/>
              <w:left w:val="nil"/>
              <w:bottom w:val="nil"/>
              <w:right w:val="nil"/>
            </w:tcBorders>
            <w:tcMar>
              <w:top w:w="15" w:type="dxa"/>
              <w:left w:w="225" w:type="dxa"/>
              <w:bottom w:w="0" w:type="dxa"/>
              <w:right w:w="15" w:type="dxa"/>
            </w:tcMar>
            <w:vAlign w:val="center"/>
          </w:tcPr>
          <w:p w:rsidR="00523FB7" w:rsidRPr="00740526" w:rsidRDefault="00523FB7" w:rsidP="003132FD">
            <w:pPr>
              <w:snapToGrid w:val="0"/>
              <w:ind w:firstLineChars="50" w:firstLine="10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Low</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2</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3</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4</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5</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6</w:t>
            </w:r>
          </w:p>
        </w:tc>
        <w:tc>
          <w:tcPr>
            <w:tcW w:w="1073"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7</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8</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9</w:t>
            </w:r>
          </w:p>
        </w:tc>
        <w:tc>
          <w:tcPr>
            <w:tcW w:w="1075"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High</w:t>
            </w:r>
          </w:p>
        </w:tc>
        <w:tc>
          <w:tcPr>
            <w:tcW w:w="1130" w:type="dxa"/>
            <w:tcBorders>
              <w:top w:val="double" w:sz="4" w:space="0" w:color="auto"/>
              <w:left w:val="nil"/>
              <w:bottom w:val="nil"/>
              <w:right w:val="nil"/>
            </w:tcBorders>
            <w:tcMar>
              <w:top w:w="15" w:type="dxa"/>
              <w:left w:w="15" w:type="dxa"/>
              <w:bottom w:w="0" w:type="dxa"/>
              <w:right w:w="15" w:type="dxa"/>
            </w:tcMar>
            <w:vAlign w:val="center"/>
          </w:tcPr>
          <w:p w:rsidR="00523FB7" w:rsidRPr="00740526" w:rsidRDefault="00523FB7" w:rsidP="003132FD">
            <w:pPr>
              <w:snapToGrid w:val="0"/>
              <w:ind w:rightChars="-9" w:right="-22"/>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 xml:space="preserve"> High-Low</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EW</w:t>
            </w:r>
            <w:r w:rsidRPr="00740526">
              <w:rPr>
                <w:rFonts w:ascii="Times New Roman" w:hAnsi="Times New Roman" w:cs="Times New Roman"/>
                <w:color w:val="000000"/>
                <w:sz w:val="20"/>
                <w:szCs w:val="20"/>
              </w:rPr>
              <w:t xml:space="preserve"> raw return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1.12</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1.34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0.99</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0.28</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(2.70)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(3.70)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(3.58)</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(3.43)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(3.78)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(3.00)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(2.61)</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(1.19)</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EW</w:t>
            </w:r>
            <w:r w:rsidRPr="00740526">
              <w:rPr>
                <w:rFonts w:ascii="Times New Roman" w:hAnsi="Times New Roman" w:cs="Times New Roman"/>
                <w:color w:val="000000"/>
                <w:sz w:val="20"/>
                <w:szCs w:val="20"/>
              </w:rPr>
              <w:t xml:space="preserve"> </w:t>
            </w:r>
            <w:r w:rsidRPr="00740526">
              <w:rPr>
                <w:rFonts w:ascii="Times New Roman" w:hAnsi="Times New Roman" w:cs="Times New Roman"/>
                <w:color w:val="000000"/>
                <w:sz w:val="22"/>
                <w:szCs w:val="22"/>
              </w:rPr>
              <w:t>Carhart</w:t>
            </w:r>
            <w:r w:rsidRPr="00740526">
              <w:rPr>
                <w:rFonts w:ascii="Times New Roman" w:hAnsi="Times New Roman" w:cs="Times New Roman"/>
                <w:color w:val="000000"/>
                <w:sz w:val="20"/>
                <w:szCs w:val="20"/>
              </w:rPr>
              <w:t>’s alpha</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-0.20</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-0.81</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(7.29)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(4.73)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(-1.90)</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(1.15)</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(-5.46)</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EW SZBM</w:t>
            </w:r>
            <w:r w:rsidRPr="00740526">
              <w:rPr>
                <w:rFonts w:ascii="Times New Roman" w:hAnsi="Times New Roman" w:cs="Times New Roman"/>
                <w:color w:val="000000"/>
                <w:sz w:val="20"/>
                <w:szCs w:val="20"/>
              </w:rPr>
              <w:t>-adjusted</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0.01</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(-0.77)</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(0.25)</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r>
      <w:tr w:rsidR="00523FB7" w:rsidRPr="00740526" w:rsidTr="008825CF">
        <w:trPr>
          <w:trHeight w:val="37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VW</w:t>
            </w:r>
            <w:r w:rsidRPr="00740526">
              <w:rPr>
                <w:rFonts w:ascii="Times New Roman" w:hAnsi="Times New Roman" w:cs="Times New Roman"/>
                <w:color w:val="000000"/>
                <w:sz w:val="20"/>
                <w:szCs w:val="20"/>
              </w:rPr>
              <w:t xml:space="preserve"> raw return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0.91</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0.79</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0.17</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(2.85)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(3.19)</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(2.65)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(2.73)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(2.36)</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(0.37)</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VW</w:t>
            </w:r>
            <w:r w:rsidRPr="00740526">
              <w:rPr>
                <w:rFonts w:ascii="Times New Roman" w:hAnsi="Times New Roman" w:cs="Times New Roman"/>
                <w:color w:val="000000"/>
                <w:sz w:val="20"/>
                <w:szCs w:val="20"/>
              </w:rPr>
              <w:t xml:space="preserve"> </w:t>
            </w:r>
            <w:r w:rsidRPr="00740526">
              <w:rPr>
                <w:rFonts w:ascii="Times New Roman" w:hAnsi="Times New Roman" w:cs="Times New Roman"/>
                <w:color w:val="000000"/>
                <w:sz w:val="22"/>
                <w:szCs w:val="22"/>
              </w:rPr>
              <w:t>Carhart</w:t>
            </w:r>
            <w:r w:rsidRPr="00740526">
              <w:rPr>
                <w:rFonts w:ascii="Times New Roman" w:hAnsi="Times New Roman" w:cs="Times New Roman"/>
                <w:color w:val="000000"/>
                <w:sz w:val="20"/>
                <w:szCs w:val="20"/>
              </w:rPr>
              <w:t>’s alpha</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0.42</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-0.81</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(6.92)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(5.46)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(5.91)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(3.72)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(1.57)</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(2.39)</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(-3.75)</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VW</w:t>
            </w:r>
            <w:r w:rsidRPr="00740526">
              <w:rPr>
                <w:rFonts w:ascii="Times New Roman" w:hAnsi="Times New Roman" w:cs="Times New Roman"/>
                <w:color w:val="000000"/>
                <w:sz w:val="20"/>
                <w:szCs w:val="20"/>
              </w:rPr>
              <w:t xml:space="preserve"> SZBM-adjusted</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-0.04</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-0.07</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(-0.45)</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(-0.48)</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(-0.46)</w:t>
            </w:r>
          </w:p>
        </w:tc>
      </w:tr>
    </w:tbl>
    <w:p w:rsidR="00523FB7" w:rsidRPr="003410DE" w:rsidRDefault="00523FB7" w:rsidP="000F25EB">
      <w:pPr>
        <w:rPr>
          <w:rFonts w:ascii="Times New Roman" w:hAnsi="Times New Roman" w:cs="Times New Roman"/>
        </w:rPr>
      </w:pPr>
    </w:p>
    <w:p w:rsidR="00523FB7" w:rsidRPr="003410DE" w:rsidRDefault="00523FB7" w:rsidP="000F25EB">
      <w:pPr>
        <w:widowControl/>
        <w:rPr>
          <w:rFonts w:ascii="Times New Roman" w:hAnsi="Times New Roman" w:cs="Times New Roman"/>
        </w:rPr>
      </w:pPr>
      <w:r w:rsidRPr="003410DE">
        <w:rPr>
          <w:rFonts w:ascii="Times New Roman" w:hAnsi="Times New Roman" w:cs="Times New Roman"/>
        </w:rPr>
        <w:br w:type="page"/>
      </w:r>
    </w:p>
    <w:tbl>
      <w:tblPr>
        <w:tblW w:w="13900" w:type="dxa"/>
        <w:tblInd w:w="2" w:type="dxa"/>
        <w:tblCellMar>
          <w:left w:w="0" w:type="dxa"/>
          <w:right w:w="0" w:type="dxa"/>
        </w:tblCellMar>
        <w:tblLook w:val="00A0"/>
      </w:tblPr>
      <w:tblGrid>
        <w:gridCol w:w="2021"/>
        <w:gridCol w:w="1076"/>
        <w:gridCol w:w="1075"/>
        <w:gridCol w:w="1075"/>
        <w:gridCol w:w="1075"/>
        <w:gridCol w:w="1075"/>
        <w:gridCol w:w="1075"/>
        <w:gridCol w:w="1073"/>
        <w:gridCol w:w="1075"/>
        <w:gridCol w:w="1075"/>
        <w:gridCol w:w="1075"/>
        <w:gridCol w:w="1130"/>
      </w:tblGrid>
      <w:tr w:rsidR="00523FB7" w:rsidRPr="00740526" w:rsidTr="008825CF">
        <w:trPr>
          <w:trHeight w:val="315"/>
        </w:trPr>
        <w:tc>
          <w:tcPr>
            <w:tcW w:w="3097" w:type="dxa"/>
            <w:gridSpan w:val="2"/>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rPr>
                <w:rFonts w:ascii="Times New Roman" w:hAnsi="Times New Roman" w:cs="Times New Roman"/>
                <w:color w:val="000000"/>
                <w:sz w:val="20"/>
                <w:szCs w:val="20"/>
              </w:rPr>
            </w:pPr>
            <w:r w:rsidRPr="00740526">
              <w:rPr>
                <w:rFonts w:ascii="Times New Roman" w:hAnsi="Times New Roman" w:cs="Times New Roman"/>
                <w:sz w:val="20"/>
                <w:szCs w:val="20"/>
              </w:rPr>
              <w:br w:type="page"/>
            </w:r>
            <w:r w:rsidRPr="00740526">
              <w:rPr>
                <w:rFonts w:ascii="Times New Roman" w:hAnsi="Times New Roman" w:cs="Times New Roman"/>
                <w:b/>
                <w:bCs/>
                <w:color w:val="000000"/>
                <w:sz w:val="20"/>
                <w:szCs w:val="20"/>
              </w:rPr>
              <w:t>Panel B: Characteristics</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PR1 EW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0.86</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0.75</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-1.49</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(6.68)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(5.86)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(4.52)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(4.12)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(3.48)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(2.80)</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(1.93)</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(-7.40)</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PR1 VW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0.93</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1.04</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-1.47</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(7.73)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(6.75)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(5.68)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(4.84)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(4.05)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(3.25)</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(3.03)</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(-5.89)</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PR2EW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0.73</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1.12</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-0.81</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(6.10)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(4.88)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(4.08)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(2.43)</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(3.04)</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(-5.19)</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PR2 VW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0.93</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1.14</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-0.94</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color w:val="000000"/>
                <w:sz w:val="20"/>
                <w:szCs w:val="20"/>
              </w:rPr>
              <w:t>t ratio</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(6.78)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(5.70)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(5.79)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(4.65)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(3.93)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(3.36)</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(2.65)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(3.34)</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(-4.17)</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ITH</w:t>
            </w:r>
            <w:r w:rsidRPr="00740526">
              <w:rPr>
                <w:rFonts w:ascii="Times New Roman" w:hAnsi="Times New Roman" w:cs="Times New Roman"/>
                <w:color w:val="000000"/>
                <w:sz w:val="20"/>
                <w:szCs w:val="20"/>
              </w:rPr>
              <w:t xml:space="preserve">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62.91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61.91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61.60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62.02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62.01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61.75</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61.57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61.27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60.51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57.58</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-5.33</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i/>
                <w:color w:val="000000"/>
                <w:sz w:val="20"/>
                <w:szCs w:val="20"/>
              </w:rPr>
            </w:pPr>
            <w:r w:rsidRPr="00740526">
              <w:rPr>
                <w:rFonts w:ascii="Times New Roman" w:hAnsi="Times New Roman" w:cs="Times New Roman"/>
                <w:i/>
                <w:color w:val="000000"/>
                <w:sz w:val="20"/>
                <w:szCs w:val="20"/>
              </w:rPr>
              <w:t xml:space="preserve">IND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33.55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32.78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32.59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32.55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32.43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32.48</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32.48</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32.63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32.36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32.17</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-1.38</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AdjDITH</w:t>
            </w:r>
            <w:r w:rsidRPr="00740526">
              <w:rPr>
                <w:rFonts w:ascii="Times New Roman" w:hAnsi="Times New Roman" w:cs="Times New Roman"/>
                <w:color w:val="000000"/>
                <w:sz w:val="20"/>
                <w:szCs w:val="20"/>
              </w:rPr>
              <w:t xml:space="preserve">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3.03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0.10</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-3.31</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-6.34</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AdjDIND</w:t>
            </w:r>
            <w:r w:rsidRPr="00740526">
              <w:rPr>
                <w:rFonts w:ascii="Times New Roman" w:hAnsi="Times New Roman" w:cs="Times New Roman"/>
                <w:color w:val="000000"/>
                <w:sz w:val="20"/>
                <w:szCs w:val="20"/>
              </w:rPr>
              <w:t xml:space="preserve"> </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-9.40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-4.71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-2.70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0.18</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1.13</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2.27</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4.40</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11.22</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20.62</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BE/ME</w:t>
            </w:r>
          </w:p>
        </w:tc>
        <w:tc>
          <w:tcPr>
            <w:tcW w:w="1076"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0.52</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0.69</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0.75</w:t>
            </w:r>
          </w:p>
        </w:tc>
        <w:tc>
          <w:tcPr>
            <w:tcW w:w="1073"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0.74</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0.76</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0.75</w:t>
            </w:r>
          </w:p>
        </w:tc>
        <w:tc>
          <w:tcPr>
            <w:tcW w:w="1075"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0.73</w:t>
            </w:r>
          </w:p>
        </w:tc>
        <w:tc>
          <w:tcPr>
            <w:tcW w:w="1130" w:type="dxa"/>
            <w:tcBorders>
              <w:top w:val="nil"/>
              <w:left w:val="nil"/>
              <w:bottom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r w:rsidRPr="00740526">
              <w:rPr>
                <w:rFonts w:ascii="Times New Roman" w:hAnsi="Times New Roman" w:cs="Times New Roman"/>
                <w:color w:val="000000"/>
                <w:sz w:val="20"/>
                <w:szCs w:val="20"/>
                <w:vertAlign w:val="superscript"/>
              </w:rPr>
              <w:t>***</w:t>
            </w:r>
          </w:p>
        </w:tc>
      </w:tr>
      <w:tr w:rsidR="00523FB7" w:rsidRPr="00740526" w:rsidTr="008825CF">
        <w:trPr>
          <w:trHeight w:val="315"/>
        </w:trPr>
        <w:tc>
          <w:tcPr>
            <w:tcW w:w="2021"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both"/>
              <w:rPr>
                <w:rFonts w:ascii="Times New Roman" w:hAnsi="Times New Roman" w:cs="Times New Roman"/>
                <w:color w:val="000000"/>
                <w:sz w:val="20"/>
                <w:szCs w:val="20"/>
              </w:rPr>
            </w:pPr>
            <w:r w:rsidRPr="00740526">
              <w:rPr>
                <w:rFonts w:ascii="Times New Roman" w:hAnsi="Times New Roman" w:cs="Times New Roman"/>
                <w:i/>
                <w:color w:val="000000"/>
                <w:sz w:val="20"/>
                <w:szCs w:val="20"/>
              </w:rPr>
              <w:t>ME</w:t>
            </w:r>
            <w:r w:rsidRPr="00740526">
              <w:rPr>
                <w:rFonts w:ascii="Times New Roman" w:hAnsi="Times New Roman" w:cs="Times New Roman"/>
                <w:color w:val="000000"/>
                <w:sz w:val="20"/>
                <w:szCs w:val="20"/>
              </w:rPr>
              <w:t xml:space="preserve"> ($millions)</w:t>
            </w:r>
          </w:p>
        </w:tc>
        <w:tc>
          <w:tcPr>
            <w:tcW w:w="1076"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134,066</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138,348</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139,760</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126,797</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120,562</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106,817</w:t>
            </w:r>
          </w:p>
        </w:tc>
        <w:tc>
          <w:tcPr>
            <w:tcW w:w="1073"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90,808</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90,466</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79,372</w:t>
            </w:r>
          </w:p>
        </w:tc>
        <w:tc>
          <w:tcPr>
            <w:tcW w:w="1075"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59,059</w:t>
            </w:r>
          </w:p>
        </w:tc>
        <w:tc>
          <w:tcPr>
            <w:tcW w:w="1130" w:type="dxa"/>
            <w:tcBorders>
              <w:top w:val="nil"/>
              <w:left w:val="nil"/>
              <w:right w:val="nil"/>
            </w:tcBorders>
            <w:tcMar>
              <w:top w:w="15" w:type="dxa"/>
              <w:left w:w="15" w:type="dxa"/>
              <w:bottom w:w="0" w:type="dxa"/>
              <w:right w:w="15" w:type="dxa"/>
            </w:tcMar>
            <w:vAlign w:val="center"/>
          </w:tcPr>
          <w:p w:rsidR="00523FB7" w:rsidRPr="00740526" w:rsidRDefault="00523FB7" w:rsidP="008825CF">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-75,007</w:t>
            </w:r>
            <w:r w:rsidRPr="00740526">
              <w:rPr>
                <w:rFonts w:ascii="Times New Roman" w:hAnsi="Times New Roman" w:cs="Times New Roman"/>
                <w:color w:val="000000"/>
                <w:sz w:val="20"/>
                <w:szCs w:val="20"/>
                <w:vertAlign w:val="superscript"/>
              </w:rPr>
              <w:t>***</w:t>
            </w:r>
          </w:p>
        </w:tc>
      </w:tr>
      <w:tr w:rsidR="00523FB7" w:rsidRPr="00740526" w:rsidTr="008825CF">
        <w:trPr>
          <w:trHeight w:val="330"/>
        </w:trPr>
        <w:tc>
          <w:tcPr>
            <w:tcW w:w="2021"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6"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3"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075"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jc w:val="center"/>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c>
          <w:tcPr>
            <w:tcW w:w="1130" w:type="dxa"/>
            <w:tcBorders>
              <w:top w:val="nil"/>
              <w:left w:val="nil"/>
              <w:bottom w:val="double" w:sz="4" w:space="0" w:color="auto"/>
              <w:right w:val="nil"/>
            </w:tcBorders>
            <w:tcMar>
              <w:top w:w="15" w:type="dxa"/>
              <w:left w:w="15" w:type="dxa"/>
              <w:bottom w:w="0" w:type="dxa"/>
              <w:right w:w="15" w:type="dxa"/>
            </w:tcMar>
            <w:vAlign w:val="bottom"/>
          </w:tcPr>
          <w:p w:rsidR="00523FB7" w:rsidRPr="00740526" w:rsidRDefault="00523FB7" w:rsidP="008825CF">
            <w:pPr>
              <w:snapToGrid w:val="0"/>
              <w:rPr>
                <w:rFonts w:ascii="Times New Roman" w:hAnsi="Times New Roman" w:cs="Times New Roman"/>
                <w:color w:val="000000"/>
                <w:sz w:val="20"/>
                <w:szCs w:val="20"/>
              </w:rPr>
            </w:pPr>
            <w:r w:rsidRPr="00740526">
              <w:rPr>
                <w:rFonts w:ascii="Times New Roman" w:hAnsi="Times New Roman" w:cs="新細明體" w:hint="eastAsia"/>
                <w:color w:val="000000"/>
                <w:sz w:val="20"/>
                <w:szCs w:val="20"/>
              </w:rPr>
              <w:t xml:space="preserve">　</w:t>
            </w:r>
          </w:p>
        </w:tc>
      </w:tr>
    </w:tbl>
    <w:p w:rsidR="00523FB7" w:rsidRPr="003410DE" w:rsidRDefault="00523FB7" w:rsidP="00F86FF5">
      <w:pPr>
        <w:autoSpaceDE w:val="0"/>
        <w:autoSpaceDN w:val="0"/>
        <w:adjustRightInd w:val="0"/>
        <w:snapToGrid w:val="0"/>
        <w:spacing w:line="360" w:lineRule="auto"/>
        <w:rPr>
          <w:rFonts w:ascii="Times New Roman" w:hAnsi="Times New Roman" w:cs="Times New Roman"/>
          <w:kern w:val="0"/>
        </w:rPr>
      </w:pPr>
    </w:p>
    <w:p w:rsidR="00523FB7" w:rsidRPr="003410DE" w:rsidRDefault="00523FB7" w:rsidP="00F86FF5">
      <w:pPr>
        <w:widowControl/>
        <w:rPr>
          <w:rFonts w:ascii="Times New Roman" w:hAnsi="Times New Roman" w:cs="Times New Roman"/>
        </w:rPr>
        <w:sectPr w:rsidR="00523FB7" w:rsidRPr="003410DE" w:rsidSect="00F86FF5">
          <w:type w:val="continuous"/>
          <w:pgSz w:w="16838" w:h="11906" w:orient="landscape" w:code="9"/>
          <w:pgMar w:top="1797" w:right="1440" w:bottom="1797" w:left="1440" w:header="851" w:footer="992" w:gutter="0"/>
          <w:cols w:space="425"/>
          <w:docGrid w:type="linesAndChars" w:linePitch="360"/>
        </w:sectPr>
      </w:pPr>
    </w:p>
    <w:p w:rsidR="00523FB7" w:rsidRPr="003410DE" w:rsidRDefault="00523FB7" w:rsidP="00F86FF5">
      <w:pPr>
        <w:snapToGrid w:val="0"/>
        <w:spacing w:line="360" w:lineRule="auto"/>
        <w:rPr>
          <w:rFonts w:ascii="Times New Roman" w:hAnsi="Times New Roman" w:cs="Times New Roman"/>
          <w:b/>
          <w:bCs/>
          <w:kern w:val="0"/>
        </w:rPr>
      </w:pPr>
      <w:r w:rsidRPr="003410DE">
        <w:rPr>
          <w:rFonts w:ascii="Times New Roman" w:hAnsi="Times New Roman" w:cs="Times New Roman"/>
          <w:b/>
          <w:bCs/>
          <w:kern w:val="0"/>
        </w:rPr>
        <w:t>Table 7. Average parameter values from</w:t>
      </w:r>
      <w:r>
        <w:rPr>
          <w:rFonts w:ascii="Times New Roman" w:hAnsi="Times New Roman" w:cs="Times New Roman"/>
          <w:b/>
          <w:bCs/>
          <w:kern w:val="0"/>
        </w:rPr>
        <w:t xml:space="preserve"> the</w:t>
      </w:r>
      <w:r w:rsidRPr="003410DE">
        <w:rPr>
          <w:rFonts w:ascii="Times New Roman" w:hAnsi="Times New Roman" w:cs="Times New Roman"/>
          <w:b/>
          <w:bCs/>
          <w:kern w:val="0"/>
        </w:rPr>
        <w:t xml:space="preserve"> cross-sectional regressions of monthly returns on size, book-to-market ratio, and </w:t>
      </w:r>
      <w:r>
        <w:rPr>
          <w:rFonts w:ascii="Times New Roman" w:hAnsi="Times New Roman" w:cs="Times New Roman"/>
          <w:b/>
          <w:bCs/>
          <w:kern w:val="0"/>
        </w:rPr>
        <w:t xml:space="preserve">adjusted </w:t>
      </w:r>
      <w:r w:rsidRPr="003410DE">
        <w:rPr>
          <w:rFonts w:ascii="Times New Roman" w:hAnsi="Times New Roman" w:cs="Times New Roman"/>
          <w:b/>
          <w:bCs/>
          <w:kern w:val="0"/>
        </w:rPr>
        <w:t>changes in institutional and individual ownership</w:t>
      </w:r>
    </w:p>
    <w:p w:rsidR="00523FB7" w:rsidRPr="003410DE" w:rsidRDefault="00523FB7" w:rsidP="00C90A2F">
      <w:pPr>
        <w:snapToGrid w:val="0"/>
        <w:jc w:val="both"/>
        <w:rPr>
          <w:rFonts w:ascii="Times New Roman" w:hAnsi="Times New Roman" w:cs="Times New Roman"/>
          <w:color w:val="000000"/>
          <w:sz w:val="22"/>
          <w:szCs w:val="22"/>
        </w:rPr>
      </w:pPr>
      <w:r w:rsidRPr="003410DE">
        <w:rPr>
          <w:rFonts w:ascii="Times New Roman" w:hAnsi="Times New Roman" w:cs="Times New Roman"/>
          <w:kern w:val="0"/>
          <w:sz w:val="22"/>
          <w:szCs w:val="22"/>
        </w:rPr>
        <w:t xml:space="preserve">Raw monthly returns are regressed on size (ME),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adjusted changes in institutional ownership (</w:t>
      </w:r>
      <w:r w:rsidRPr="00D5561B">
        <w:rPr>
          <w:rFonts w:ascii="Times New Roman" w:hAnsi="Times New Roman" w:cs="Times New Roman"/>
          <w:i/>
          <w:kern w:val="0"/>
          <w:sz w:val="22"/>
          <w:szCs w:val="22"/>
        </w:rPr>
        <w:t>AdjD</w:t>
      </w:r>
      <w:r w:rsidRPr="0017025B">
        <w:rPr>
          <w:rFonts w:ascii="Times New Roman" w:hAnsi="Times New Roman" w:cs="Times New Roman"/>
          <w:i/>
          <w:kern w:val="0"/>
          <w:sz w:val="22"/>
          <w:szCs w:val="22"/>
        </w:rPr>
        <w:t>ITH</w:t>
      </w:r>
      <w:r w:rsidRPr="003410DE">
        <w:rPr>
          <w:rFonts w:ascii="Times New Roman" w:hAnsi="Times New Roman" w:cs="Times New Roman"/>
          <w:kern w:val="0"/>
          <w:sz w:val="22"/>
          <w:szCs w:val="22"/>
        </w:rPr>
        <w:t>), and adjusted changes in individual ownership (</w:t>
      </w:r>
      <w:r w:rsidRPr="00D5561B">
        <w:rPr>
          <w:rFonts w:ascii="Times New Roman" w:hAnsi="Times New Roman" w:cs="Times New Roman"/>
          <w:i/>
          <w:kern w:val="0"/>
          <w:sz w:val="22"/>
          <w:szCs w:val="22"/>
        </w:rPr>
        <w:t>AdjDIND</w:t>
      </w:r>
      <w:r w:rsidRPr="003410DE">
        <w:rPr>
          <w:rFonts w:ascii="Times New Roman" w:hAnsi="Times New Roman" w:cs="Times New Roman"/>
          <w:kern w:val="0"/>
          <w:sz w:val="22"/>
          <w:szCs w:val="22"/>
        </w:rPr>
        <w:t xml:space="preserve">). Size is the market value (price times shares outstanding) at the end of June of each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 1975-2005. </w:t>
      </w:r>
      <w:r w:rsidRPr="00D5561B">
        <w:rPr>
          <w:rFonts w:ascii="Times New Roman" w:hAnsi="Times New Roman" w:cs="Times New Roman"/>
          <w:i/>
          <w:kern w:val="0"/>
          <w:sz w:val="22"/>
          <w:szCs w:val="22"/>
        </w:rPr>
        <w:t>BE/ME</w:t>
      </w:r>
      <w:r w:rsidRPr="003410DE">
        <w:rPr>
          <w:rFonts w:ascii="Times New Roman" w:hAnsi="Times New Roman" w:cs="Times New Roman"/>
          <w:kern w:val="0"/>
          <w:sz w:val="22"/>
          <w:szCs w:val="22"/>
        </w:rPr>
        <w:t xml:space="preserve"> is the ratio of</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book value equity at March at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divided by</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market value of equity at the end of March at year </w:t>
      </w:r>
      <w:r w:rsidRPr="003410DE">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 </w:t>
      </w:r>
      <w:r w:rsidRPr="003410DE">
        <w:rPr>
          <w:rFonts w:ascii="Times New Roman" w:hAnsi="Times New Roman" w:cs="Times New Roman"/>
          <w:sz w:val="22"/>
          <w:szCs w:val="22"/>
        </w:rPr>
        <w:t xml:space="preserve">Adjusted change in institutional </w:t>
      </w:r>
      <w:r>
        <w:rPr>
          <w:rFonts w:ascii="Times New Roman" w:hAnsi="Times New Roman" w:cs="Times New Roman"/>
          <w:sz w:val="22"/>
          <w:szCs w:val="22"/>
        </w:rPr>
        <w:t>ownership</w:t>
      </w:r>
      <w:r w:rsidRPr="003410DE">
        <w:rPr>
          <w:rFonts w:ascii="Times New Roman" w:hAnsi="Times New Roman" w:cs="Times New Roman"/>
          <w:sz w:val="22"/>
          <w:szCs w:val="22"/>
        </w:rPr>
        <w:t xml:space="preserve"> (</w:t>
      </w:r>
      <w:r w:rsidRPr="00D5561B">
        <w:rPr>
          <w:rFonts w:ascii="Times New Roman" w:hAnsi="Times New Roman" w:cs="Times New Roman"/>
          <w:i/>
          <w:sz w:val="22"/>
          <w:szCs w:val="22"/>
        </w:rPr>
        <w:t>AdjD</w:t>
      </w:r>
      <w:r w:rsidRPr="0017025B">
        <w:rPr>
          <w:rFonts w:ascii="Times New Roman" w:hAnsi="Times New Roman" w:cs="Times New Roman"/>
          <w:i/>
          <w:sz w:val="22"/>
          <w:szCs w:val="22"/>
        </w:rPr>
        <w:t>ITH</w:t>
      </w:r>
      <w:r w:rsidRPr="003410DE">
        <w:rPr>
          <w:rFonts w:ascii="Times New Roman" w:hAnsi="Times New Roman" w:cs="Times New Roman"/>
          <w:sz w:val="22"/>
          <w:szCs w:val="22"/>
        </w:rPr>
        <w:t xml:space="preserve">) is defined as </w:t>
      </w:r>
      <w:r w:rsidRPr="00173CCE">
        <w:rPr>
          <w:rFonts w:ascii="Times New Roman" w:hAnsi="Times New Roman" w:cs="Times New Roman"/>
          <w:i/>
          <w:sz w:val="22"/>
          <w:szCs w:val="22"/>
        </w:rPr>
        <w:t>DITH</w:t>
      </w:r>
      <w:r w:rsidRPr="003410DE">
        <w:rPr>
          <w:rFonts w:ascii="Times New Roman" w:hAnsi="Times New Roman" w:cs="Times New Roman"/>
          <w:sz w:val="22"/>
          <w:szCs w:val="22"/>
        </w:rPr>
        <w:t xml:space="preserve"> subtract</w:t>
      </w:r>
      <w:r>
        <w:rPr>
          <w:rFonts w:ascii="Times New Roman" w:hAnsi="Times New Roman" w:cs="Times New Roman"/>
          <w:sz w:val="22"/>
          <w:szCs w:val="22"/>
        </w:rPr>
        <w:t>ed from the</w:t>
      </w:r>
      <w:r w:rsidRPr="003410DE">
        <w:rPr>
          <w:rFonts w:ascii="Times New Roman" w:hAnsi="Times New Roman" w:cs="Times New Roman"/>
          <w:sz w:val="22"/>
          <w:szCs w:val="22"/>
        </w:rPr>
        <w:t xml:space="preserve"> median value of industry </w:t>
      </w:r>
      <w:r w:rsidRPr="00173CCE">
        <w:rPr>
          <w:rFonts w:ascii="Times New Roman" w:hAnsi="Times New Roman" w:cs="Times New Roman"/>
          <w:i/>
          <w:sz w:val="22"/>
          <w:szCs w:val="22"/>
        </w:rPr>
        <w:t>DITH</w:t>
      </w:r>
      <w:r w:rsidRPr="003410DE">
        <w:rPr>
          <w:rFonts w:ascii="Times New Roman" w:hAnsi="Times New Roman" w:cs="Times New Roman"/>
          <w:sz w:val="22"/>
          <w:szCs w:val="22"/>
        </w:rPr>
        <w:t xml:space="preserve">, where industry </w:t>
      </w:r>
      <w:r w:rsidRPr="00173CCE">
        <w:rPr>
          <w:rFonts w:ascii="Times New Roman" w:hAnsi="Times New Roman" w:cs="Times New Roman"/>
          <w:i/>
          <w:sz w:val="22"/>
          <w:szCs w:val="22"/>
        </w:rPr>
        <w:t>DITH</w:t>
      </w:r>
      <w:r w:rsidRPr="003410DE">
        <w:rPr>
          <w:rFonts w:ascii="Times New Roman" w:hAnsi="Times New Roman" w:cs="Times New Roman"/>
          <w:sz w:val="22"/>
          <w:szCs w:val="22"/>
        </w:rPr>
        <w:t xml:space="preserve"> is measured by</w:t>
      </w:r>
      <w:r>
        <w:rPr>
          <w:rFonts w:ascii="Times New Roman" w:hAnsi="Times New Roman" w:cs="Times New Roman"/>
          <w:sz w:val="22"/>
          <w:szCs w:val="22"/>
        </w:rPr>
        <w:t xml:space="preserve"> the</w:t>
      </w:r>
      <w:r w:rsidRPr="003410DE">
        <w:rPr>
          <w:rFonts w:ascii="Times New Roman" w:hAnsi="Times New Roman" w:cs="Times New Roman"/>
          <w:sz w:val="22"/>
          <w:szCs w:val="22"/>
        </w:rPr>
        <w:t xml:space="preserve"> two-digits SIC industry. Adjusted change in individual </w:t>
      </w:r>
      <w:r>
        <w:rPr>
          <w:rFonts w:ascii="Times New Roman" w:hAnsi="Times New Roman" w:cs="Times New Roman"/>
          <w:sz w:val="22"/>
          <w:szCs w:val="22"/>
        </w:rPr>
        <w:t>ownership</w:t>
      </w:r>
      <w:r w:rsidRPr="003410DE">
        <w:rPr>
          <w:rFonts w:ascii="Times New Roman" w:hAnsi="Times New Roman" w:cs="Times New Roman"/>
          <w:sz w:val="22"/>
          <w:szCs w:val="22"/>
        </w:rPr>
        <w:t xml:space="preserve"> (</w:t>
      </w:r>
      <w:r w:rsidRPr="00D5561B">
        <w:rPr>
          <w:rFonts w:ascii="Times New Roman" w:hAnsi="Times New Roman" w:cs="Times New Roman"/>
          <w:i/>
          <w:sz w:val="22"/>
          <w:szCs w:val="22"/>
        </w:rPr>
        <w:t>AdjDIND</w:t>
      </w:r>
      <w:r w:rsidRPr="003410DE">
        <w:rPr>
          <w:rFonts w:ascii="Times New Roman" w:hAnsi="Times New Roman" w:cs="Times New Roman"/>
          <w:sz w:val="22"/>
          <w:szCs w:val="22"/>
        </w:rPr>
        <w:t>) is defined similarly.</w:t>
      </w:r>
      <w:r w:rsidRPr="003410DE">
        <w:rPr>
          <w:rFonts w:ascii="Times New Roman" w:hAnsi="Times New Roman" w:cs="Times New Roman"/>
          <w:kern w:val="0"/>
          <w:sz w:val="22"/>
          <w:szCs w:val="22"/>
        </w:rPr>
        <w:t xml:space="preserve"> Average parameter values are the time series averages, and </w:t>
      </w:r>
      <w:r w:rsidRPr="00A82559">
        <w:rPr>
          <w:rFonts w:ascii="Times New Roman" w:hAnsi="Times New Roman" w:cs="Times New Roman"/>
          <w:i/>
          <w:iCs/>
          <w:kern w:val="0"/>
          <w:sz w:val="22"/>
          <w:szCs w:val="22"/>
        </w:rPr>
        <w:t>t</w:t>
      </w:r>
      <w:r w:rsidRPr="003410DE">
        <w:rPr>
          <w:rFonts w:ascii="Times New Roman" w:hAnsi="Times New Roman" w:cs="Times New Roman"/>
          <w:kern w:val="0"/>
          <w:sz w:val="22"/>
          <w:szCs w:val="22"/>
        </w:rPr>
        <w:t xml:space="preserve">-statistics are </w:t>
      </w:r>
      <w:r>
        <w:rPr>
          <w:rFonts w:ascii="Times New Roman" w:hAnsi="Times New Roman" w:cs="Times New Roman"/>
          <w:kern w:val="0"/>
          <w:sz w:val="22"/>
          <w:szCs w:val="22"/>
        </w:rPr>
        <w:t xml:space="preserve">the </w:t>
      </w:r>
      <w:r w:rsidRPr="003410DE">
        <w:rPr>
          <w:rFonts w:ascii="Times New Roman" w:hAnsi="Times New Roman" w:cs="Times New Roman"/>
          <w:kern w:val="0"/>
          <w:sz w:val="22"/>
          <w:szCs w:val="22"/>
        </w:rPr>
        <w:t>time-series averages divided by</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time-series standard errors (198 months). Ln denotes</w:t>
      </w:r>
      <w:r>
        <w:rPr>
          <w:rFonts w:ascii="Times New Roman" w:hAnsi="Times New Roman" w:cs="Times New Roman"/>
          <w:kern w:val="0"/>
          <w:sz w:val="22"/>
          <w:szCs w:val="22"/>
        </w:rPr>
        <w:t xml:space="preserve"> the</w:t>
      </w:r>
      <w:r w:rsidRPr="003410DE">
        <w:rPr>
          <w:rFonts w:ascii="Times New Roman" w:hAnsi="Times New Roman" w:cs="Times New Roman"/>
          <w:kern w:val="0"/>
          <w:sz w:val="22"/>
          <w:szCs w:val="22"/>
        </w:rPr>
        <w:t xml:space="preserve"> natural </w:t>
      </w:r>
      <w:r w:rsidRPr="00173CCE">
        <w:rPr>
          <w:rFonts w:ascii="Times New Roman" w:hAnsi="Times New Roman" w:cs="Times New Roman"/>
          <w:kern w:val="0"/>
          <w:sz w:val="22"/>
          <w:szCs w:val="22"/>
        </w:rPr>
        <w:t>logarith</w:t>
      </w:r>
      <w:r w:rsidRPr="003410DE">
        <w:rPr>
          <w:rFonts w:ascii="Times New Roman" w:hAnsi="Times New Roman" w:cs="Times New Roman"/>
          <w:kern w:val="0"/>
          <w:sz w:val="22"/>
          <w:szCs w:val="22"/>
        </w:rPr>
        <w:t xml:space="preserve">m. </w:t>
      </w:r>
      <w:r w:rsidRPr="00514B74">
        <w:rPr>
          <w:rFonts w:ascii="Times New Roman" w:hAnsi="Times New Roman" w:cs="Times New Roman"/>
          <w:i/>
          <w:iCs/>
          <w:kern w:val="0"/>
          <w:sz w:val="22"/>
          <w:szCs w:val="22"/>
        </w:rPr>
        <w:t>t</w:t>
      </w:r>
      <w:r w:rsidRPr="00514B74">
        <w:rPr>
          <w:rFonts w:ascii="Times New Roman" w:hAnsi="Times New Roman" w:cs="Times New Roman"/>
          <w:kern w:val="0"/>
          <w:sz w:val="22"/>
          <w:szCs w:val="22"/>
        </w:rPr>
        <w:t xml:space="preserve">-statistics are shown in parentheses. </w:t>
      </w:r>
      <w:r w:rsidRPr="003410DE">
        <w:rPr>
          <w:rFonts w:ascii="Times New Roman" w:hAnsi="Times New Roman" w:cs="Times New Roman"/>
          <w:sz w:val="22"/>
          <w:szCs w:val="22"/>
        </w:rPr>
        <w:t xml:space="preserve">The asterisks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and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indicate significance at the 10%, 5%, and 1% levels, respectively.</w:t>
      </w:r>
    </w:p>
    <w:p w:rsidR="00523FB7" w:rsidRPr="003410DE" w:rsidRDefault="00523FB7" w:rsidP="00B07CA5">
      <w:pPr>
        <w:snapToGrid w:val="0"/>
        <w:spacing w:line="360" w:lineRule="auto"/>
        <w:jc w:val="both"/>
        <w:rPr>
          <w:rFonts w:ascii="Times New Roman" w:hAnsi="Times New Roman" w:cs="Times New Roman"/>
          <w:kern w:val="0"/>
          <w:sz w:val="22"/>
          <w:szCs w:val="22"/>
        </w:rPr>
      </w:pPr>
    </w:p>
    <w:tbl>
      <w:tblPr>
        <w:tblW w:w="5248" w:type="pct"/>
        <w:tblInd w:w="-411" w:type="dxa"/>
        <w:tblCellMar>
          <w:left w:w="0" w:type="dxa"/>
          <w:right w:w="0" w:type="dxa"/>
        </w:tblCellMar>
        <w:tblLook w:val="00A0"/>
      </w:tblPr>
      <w:tblGrid>
        <w:gridCol w:w="993"/>
        <w:gridCol w:w="1091"/>
        <w:gridCol w:w="1669"/>
        <w:gridCol w:w="1669"/>
        <w:gridCol w:w="1669"/>
        <w:gridCol w:w="1665"/>
      </w:tblGrid>
      <w:tr w:rsidR="00523FB7" w:rsidRPr="00740526" w:rsidTr="002939EE">
        <w:trPr>
          <w:trHeight w:val="315"/>
        </w:trPr>
        <w:tc>
          <w:tcPr>
            <w:tcW w:w="5000" w:type="pct"/>
            <w:gridSpan w:val="6"/>
            <w:tcBorders>
              <w:top w:val="double" w:sz="4" w:space="0" w:color="auto"/>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center"/>
              <w:rPr>
                <w:rFonts w:ascii="Times New Roman" w:hAnsi="Times New Roman" w:cs="Times New Roman"/>
                <w:b/>
                <w:color w:val="000000"/>
                <w:sz w:val="20"/>
                <w:szCs w:val="20"/>
              </w:rPr>
            </w:pPr>
            <w:r w:rsidRPr="00740526">
              <w:rPr>
                <w:rFonts w:ascii="Times New Roman" w:hAnsi="Times New Roman" w:cs="Times New Roman"/>
                <w:b/>
                <w:kern w:val="0"/>
                <w:sz w:val="20"/>
                <w:szCs w:val="20"/>
              </w:rPr>
              <w:t>Regression specification, average parameter values (%) and</w:t>
            </w:r>
            <w:r w:rsidRPr="00740526">
              <w:rPr>
                <w:rFonts w:ascii="Times New Roman" w:hAnsi="Times New Roman" w:cs="Times New Roman"/>
                <w:b/>
                <w:i/>
                <w:iCs/>
                <w:kern w:val="0"/>
                <w:sz w:val="20"/>
                <w:szCs w:val="20"/>
              </w:rPr>
              <w:t xml:space="preserve"> t</w:t>
            </w:r>
            <w:r w:rsidRPr="00740526">
              <w:rPr>
                <w:rFonts w:ascii="Times New Roman" w:hAnsi="Times New Roman" w:cs="Times New Roman"/>
                <w:b/>
                <w:kern w:val="0"/>
                <w:sz w:val="20"/>
                <w:szCs w:val="20"/>
              </w:rPr>
              <w:t>-statistics</w:t>
            </w:r>
          </w:p>
        </w:tc>
      </w:tr>
      <w:tr w:rsidR="00523FB7" w:rsidRPr="00740526" w:rsidTr="002939EE">
        <w:trPr>
          <w:trHeight w:val="65"/>
        </w:trPr>
        <w:tc>
          <w:tcPr>
            <w:tcW w:w="1190" w:type="pct"/>
            <w:gridSpan w:val="2"/>
            <w:tcBorders>
              <w:top w:val="nil"/>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3" w:type="pct"/>
            <w:tcBorders>
              <w:top w:val="nil"/>
              <w:left w:val="nil"/>
              <w:right w:val="nil"/>
            </w:tcBorders>
            <w:tcMar>
              <w:top w:w="15" w:type="dxa"/>
              <w:left w:w="15" w:type="dxa"/>
              <w:bottom w:w="0" w:type="dxa"/>
              <w:right w:w="15" w:type="dxa"/>
            </w:tcMar>
            <w:vAlign w:val="bottom"/>
          </w:tcPr>
          <w:p w:rsidR="00523FB7" w:rsidRPr="00740526" w:rsidRDefault="00523FB7" w:rsidP="00043FEB">
            <w:pPr>
              <w:snapToGrid w:val="0"/>
              <w:jc w:val="center"/>
              <w:rPr>
                <w:rFonts w:ascii="Times New Roman" w:hAnsi="Times New Roman" w:cs="Times New Roman"/>
                <w:color w:val="000000"/>
                <w:sz w:val="20"/>
                <w:szCs w:val="20"/>
              </w:rPr>
            </w:pPr>
          </w:p>
        </w:tc>
        <w:tc>
          <w:tcPr>
            <w:tcW w:w="953" w:type="pct"/>
            <w:tcBorders>
              <w:top w:val="nil"/>
              <w:left w:val="nil"/>
              <w:right w:val="nil"/>
            </w:tcBorders>
            <w:tcMar>
              <w:top w:w="15" w:type="dxa"/>
              <w:left w:w="15" w:type="dxa"/>
              <w:bottom w:w="0" w:type="dxa"/>
              <w:right w:w="15" w:type="dxa"/>
            </w:tcMar>
            <w:vAlign w:val="bottom"/>
          </w:tcPr>
          <w:p w:rsidR="00523FB7" w:rsidRPr="00740526" w:rsidRDefault="00523FB7" w:rsidP="00043FEB">
            <w:pPr>
              <w:snapToGrid w:val="0"/>
              <w:jc w:val="center"/>
              <w:rPr>
                <w:rFonts w:ascii="Times New Roman" w:hAnsi="Times New Roman" w:cs="Times New Roman"/>
                <w:color w:val="000000"/>
                <w:sz w:val="20"/>
                <w:szCs w:val="20"/>
              </w:rPr>
            </w:pPr>
          </w:p>
        </w:tc>
        <w:tc>
          <w:tcPr>
            <w:tcW w:w="953" w:type="pct"/>
            <w:tcBorders>
              <w:top w:val="nil"/>
              <w:left w:val="nil"/>
              <w:right w:val="nil"/>
            </w:tcBorders>
            <w:tcMar>
              <w:top w:w="15" w:type="dxa"/>
              <w:left w:w="15" w:type="dxa"/>
              <w:bottom w:w="0" w:type="dxa"/>
              <w:right w:w="15" w:type="dxa"/>
            </w:tcMar>
            <w:vAlign w:val="bottom"/>
          </w:tcPr>
          <w:p w:rsidR="00523FB7" w:rsidRPr="00740526" w:rsidRDefault="00523FB7" w:rsidP="00043FEB">
            <w:pPr>
              <w:snapToGrid w:val="0"/>
              <w:jc w:val="center"/>
              <w:rPr>
                <w:rFonts w:ascii="Times New Roman" w:hAnsi="Times New Roman" w:cs="Times New Roman"/>
                <w:color w:val="000000"/>
                <w:sz w:val="20"/>
                <w:szCs w:val="20"/>
              </w:rPr>
            </w:pPr>
          </w:p>
        </w:tc>
        <w:tc>
          <w:tcPr>
            <w:tcW w:w="951" w:type="pct"/>
            <w:tcBorders>
              <w:top w:val="nil"/>
              <w:left w:val="nil"/>
              <w:right w:val="nil"/>
            </w:tcBorders>
            <w:tcMar>
              <w:top w:w="15" w:type="dxa"/>
              <w:left w:w="15" w:type="dxa"/>
              <w:bottom w:w="0" w:type="dxa"/>
              <w:right w:w="15" w:type="dxa"/>
            </w:tcMar>
            <w:vAlign w:val="bottom"/>
          </w:tcPr>
          <w:p w:rsidR="00523FB7" w:rsidRPr="00740526" w:rsidRDefault="00523FB7" w:rsidP="00043FEB">
            <w:pPr>
              <w:snapToGrid w:val="0"/>
              <w:jc w:val="center"/>
              <w:rPr>
                <w:rFonts w:ascii="Times New Roman" w:hAnsi="Times New Roman" w:cs="Times New Roman"/>
                <w:color w:val="000000"/>
                <w:sz w:val="20"/>
                <w:szCs w:val="20"/>
              </w:rPr>
            </w:pPr>
          </w:p>
        </w:tc>
      </w:tr>
      <w:tr w:rsidR="00523FB7" w:rsidRPr="00740526" w:rsidTr="002939EE">
        <w:trPr>
          <w:trHeight w:val="315"/>
        </w:trPr>
        <w:tc>
          <w:tcPr>
            <w:tcW w:w="567" w:type="pct"/>
            <w:tcBorders>
              <w:top w:val="nil"/>
              <w:left w:val="nil"/>
              <w:bottom w:val="single" w:sz="4" w:space="0" w:color="auto"/>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Model</w:t>
            </w:r>
          </w:p>
        </w:tc>
        <w:tc>
          <w:tcPr>
            <w:tcW w:w="623" w:type="pct"/>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Intercept</w:t>
            </w:r>
          </w:p>
        </w:tc>
        <w:tc>
          <w:tcPr>
            <w:tcW w:w="953" w:type="pct"/>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7F2082">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Ln(</w:t>
            </w:r>
            <w:r w:rsidRPr="00740526">
              <w:rPr>
                <w:rFonts w:ascii="Times New Roman" w:hAnsi="Times New Roman" w:cs="Times New Roman"/>
                <w:b/>
                <w:i/>
                <w:color w:val="000000"/>
                <w:sz w:val="20"/>
                <w:szCs w:val="20"/>
              </w:rPr>
              <w:t>BE/ME</w:t>
            </w:r>
            <w:r w:rsidRPr="00740526">
              <w:rPr>
                <w:rFonts w:ascii="Times New Roman" w:hAnsi="Times New Roman" w:cs="Times New Roman"/>
                <w:b/>
                <w:color w:val="000000"/>
                <w:sz w:val="20"/>
                <w:szCs w:val="20"/>
              </w:rPr>
              <w:t>)</w:t>
            </w:r>
          </w:p>
        </w:tc>
        <w:tc>
          <w:tcPr>
            <w:tcW w:w="953" w:type="pct"/>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7F2082">
            <w:pPr>
              <w:snapToGrid w:val="0"/>
              <w:jc w:val="right"/>
              <w:rPr>
                <w:rFonts w:ascii="Times New Roman" w:hAnsi="Times New Roman" w:cs="Times New Roman"/>
                <w:b/>
                <w:color w:val="000000"/>
                <w:sz w:val="20"/>
                <w:szCs w:val="20"/>
              </w:rPr>
            </w:pPr>
            <w:r w:rsidRPr="00740526">
              <w:rPr>
                <w:rFonts w:ascii="Times New Roman" w:hAnsi="Times New Roman" w:cs="Times New Roman"/>
                <w:b/>
                <w:color w:val="000000"/>
                <w:sz w:val="20"/>
                <w:szCs w:val="20"/>
              </w:rPr>
              <w:t>Ln(</w:t>
            </w:r>
            <w:r w:rsidRPr="00740526">
              <w:rPr>
                <w:rFonts w:ascii="Times New Roman" w:hAnsi="Times New Roman" w:cs="Times New Roman"/>
                <w:b/>
                <w:i/>
                <w:color w:val="000000"/>
                <w:sz w:val="20"/>
                <w:szCs w:val="20"/>
              </w:rPr>
              <w:t>ME</w:t>
            </w:r>
            <w:r w:rsidRPr="00740526">
              <w:rPr>
                <w:rFonts w:ascii="Times New Roman" w:hAnsi="Times New Roman" w:cs="Times New Roman"/>
                <w:b/>
                <w:color w:val="000000"/>
                <w:sz w:val="20"/>
                <w:szCs w:val="20"/>
              </w:rPr>
              <w:t>)</w:t>
            </w:r>
          </w:p>
        </w:tc>
        <w:tc>
          <w:tcPr>
            <w:tcW w:w="953" w:type="pct"/>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7F2082">
            <w:pPr>
              <w:snapToGrid w:val="0"/>
              <w:jc w:val="right"/>
              <w:rPr>
                <w:rFonts w:ascii="Times New Roman" w:hAnsi="Times New Roman" w:cs="Times New Roman"/>
                <w:b/>
                <w:i/>
                <w:color w:val="000000"/>
                <w:sz w:val="20"/>
                <w:szCs w:val="20"/>
              </w:rPr>
            </w:pPr>
            <w:r w:rsidRPr="00740526">
              <w:rPr>
                <w:rFonts w:ascii="Times New Roman" w:hAnsi="Times New Roman" w:cs="Times New Roman"/>
                <w:b/>
                <w:i/>
                <w:color w:val="000000"/>
                <w:sz w:val="20"/>
                <w:szCs w:val="20"/>
              </w:rPr>
              <w:t>AdjDITH</w:t>
            </w:r>
          </w:p>
        </w:tc>
        <w:tc>
          <w:tcPr>
            <w:tcW w:w="951" w:type="pct"/>
            <w:tcBorders>
              <w:top w:val="nil"/>
              <w:left w:val="nil"/>
              <w:bottom w:val="single" w:sz="4" w:space="0" w:color="auto"/>
              <w:right w:val="nil"/>
            </w:tcBorders>
            <w:tcMar>
              <w:top w:w="15" w:type="dxa"/>
              <w:left w:w="15" w:type="dxa"/>
              <w:bottom w:w="0" w:type="dxa"/>
              <w:right w:w="15" w:type="dxa"/>
            </w:tcMar>
            <w:vAlign w:val="center"/>
          </w:tcPr>
          <w:p w:rsidR="00523FB7" w:rsidRPr="00740526" w:rsidRDefault="00523FB7" w:rsidP="007F2082">
            <w:pPr>
              <w:snapToGrid w:val="0"/>
              <w:jc w:val="right"/>
              <w:rPr>
                <w:rFonts w:ascii="Times New Roman" w:hAnsi="Times New Roman" w:cs="Times New Roman"/>
                <w:b/>
                <w:i/>
                <w:color w:val="000000"/>
                <w:sz w:val="20"/>
                <w:szCs w:val="20"/>
              </w:rPr>
            </w:pPr>
            <w:r w:rsidRPr="00740526">
              <w:rPr>
                <w:rFonts w:ascii="Times New Roman" w:hAnsi="Times New Roman" w:cs="Times New Roman"/>
                <w:b/>
                <w:i/>
                <w:color w:val="000000"/>
                <w:sz w:val="20"/>
                <w:szCs w:val="20"/>
              </w:rPr>
              <w:t>AdjDIND</w:t>
            </w:r>
          </w:p>
        </w:tc>
      </w:tr>
      <w:tr w:rsidR="00523FB7" w:rsidRPr="00740526" w:rsidTr="002939EE">
        <w:trPr>
          <w:trHeight w:val="315"/>
        </w:trPr>
        <w:tc>
          <w:tcPr>
            <w:tcW w:w="567" w:type="pct"/>
            <w:tcBorders>
              <w:top w:val="single" w:sz="4" w:space="0" w:color="auto"/>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w:t>
            </w:r>
          </w:p>
        </w:tc>
        <w:tc>
          <w:tcPr>
            <w:tcW w:w="623" w:type="pct"/>
            <w:tcBorders>
              <w:top w:val="single" w:sz="4" w:space="0" w:color="auto"/>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2.53</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0.17</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1" w:type="pct"/>
            <w:tcBorders>
              <w:top w:val="single" w:sz="4" w:space="0" w:color="auto"/>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(2.83)</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(2.06)</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(-2.04)</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w:t>
            </w: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1.00</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-1.89</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(3.22)</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(-1.80)</w:t>
            </w: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w:t>
            </w: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1.00</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0.79 </w:t>
            </w: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(3.22)</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(1.01)</w:t>
            </w: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(4)</w:t>
            </w: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1.00</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-1.72</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0.38 </w:t>
            </w: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(3.23)</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(-1.92)</w:t>
            </w: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(0.59)</w:t>
            </w: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(5)</w:t>
            </w: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2.56</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-1.45</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(2.89)</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(1.97)</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(-2.09)</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(-1.65)</w:t>
            </w: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(6)</w:t>
            </w: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2.52</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0.47 </w:t>
            </w: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(2.86)</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(2.02)</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(-2.04)</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(0.74)</w:t>
            </w: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(7)</w:t>
            </w: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1.15</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0.22</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-1.73</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0.16 </w:t>
            </w: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(3.73)</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(2.65)</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(-1.94)</w:t>
            </w: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(0.25)</w:t>
            </w: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(8)</w:t>
            </w: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2.56</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-0.15</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-1.47</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0.25 </w:t>
            </w:r>
          </w:p>
        </w:tc>
      </w:tr>
      <w:tr w:rsidR="00523FB7" w:rsidRPr="00740526" w:rsidTr="002939EE">
        <w:trPr>
          <w:trHeight w:val="315"/>
        </w:trPr>
        <w:tc>
          <w:tcPr>
            <w:tcW w:w="567" w:type="pct"/>
            <w:tcBorders>
              <w:top w:val="nil"/>
              <w:left w:val="nil"/>
              <w:bottom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p>
        </w:tc>
        <w:tc>
          <w:tcPr>
            <w:tcW w:w="623" w:type="pct"/>
            <w:tcBorders>
              <w:top w:val="nil"/>
              <w:left w:val="nil"/>
              <w:bottom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(2.92)</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rPr>
                <w:rFonts w:ascii="Times New Roman" w:hAnsi="Times New Roman" w:cs="Times New Roman"/>
                <w:color w:val="000000"/>
                <w:sz w:val="20"/>
                <w:szCs w:val="20"/>
              </w:rPr>
            </w:pP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(-2.30)</w:t>
            </w:r>
          </w:p>
        </w:tc>
        <w:tc>
          <w:tcPr>
            <w:tcW w:w="953"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(-1.78)</w:t>
            </w:r>
          </w:p>
        </w:tc>
        <w:tc>
          <w:tcPr>
            <w:tcW w:w="95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(0.49)</w:t>
            </w:r>
          </w:p>
        </w:tc>
      </w:tr>
      <w:tr w:rsidR="00523FB7" w:rsidRPr="00740526" w:rsidTr="002939EE">
        <w:trPr>
          <w:trHeight w:val="315"/>
        </w:trPr>
        <w:tc>
          <w:tcPr>
            <w:tcW w:w="567" w:type="pct"/>
            <w:tcBorders>
              <w:top w:val="nil"/>
              <w:left w:val="nil"/>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(9)</w:t>
            </w:r>
          </w:p>
        </w:tc>
        <w:tc>
          <w:tcPr>
            <w:tcW w:w="623" w:type="pct"/>
            <w:tcBorders>
              <w:top w:val="nil"/>
              <w:left w:val="nil"/>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2.56</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3" w:type="pct"/>
            <w:tcBorders>
              <w:top w:val="nil"/>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-1.44</w:t>
            </w:r>
            <w:r w:rsidRPr="00740526">
              <w:rPr>
                <w:rFonts w:ascii="Times New Roman" w:hAnsi="Times New Roman" w:cs="Times New Roman"/>
                <w:color w:val="000000"/>
                <w:sz w:val="20"/>
                <w:szCs w:val="20"/>
                <w:vertAlign w:val="superscript"/>
              </w:rPr>
              <w:t>*</w:t>
            </w:r>
            <w:r w:rsidRPr="00740526">
              <w:rPr>
                <w:rFonts w:ascii="Times New Roman" w:hAnsi="Times New Roman" w:cs="Times New Roman"/>
                <w:color w:val="000000"/>
                <w:sz w:val="20"/>
                <w:szCs w:val="20"/>
              </w:rPr>
              <w:t xml:space="preserve"> </w:t>
            </w:r>
          </w:p>
        </w:tc>
        <w:tc>
          <w:tcPr>
            <w:tcW w:w="951" w:type="pct"/>
            <w:tcBorders>
              <w:top w:val="nil"/>
              <w:left w:val="nil"/>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 xml:space="preserve">0.14 </w:t>
            </w:r>
          </w:p>
        </w:tc>
      </w:tr>
      <w:tr w:rsidR="00523FB7" w:rsidRPr="00740526" w:rsidTr="002939EE">
        <w:trPr>
          <w:trHeight w:val="315"/>
        </w:trPr>
        <w:tc>
          <w:tcPr>
            <w:tcW w:w="567" w:type="pct"/>
            <w:tcBorders>
              <w:top w:val="nil"/>
              <w:left w:val="nil"/>
              <w:bottom w:val="double" w:sz="4" w:space="0" w:color="auto"/>
            </w:tcBorders>
            <w:noWrap/>
            <w:tcMar>
              <w:top w:w="15" w:type="dxa"/>
              <w:left w:w="15" w:type="dxa"/>
              <w:bottom w:w="0" w:type="dxa"/>
              <w:right w:w="15" w:type="dxa"/>
            </w:tcMar>
            <w:vAlign w:val="center"/>
          </w:tcPr>
          <w:p w:rsidR="00523FB7" w:rsidRPr="00740526" w:rsidRDefault="00523FB7" w:rsidP="002939EE">
            <w:pPr>
              <w:snapToGrid w:val="0"/>
              <w:jc w:val="right"/>
              <w:rPr>
                <w:rFonts w:ascii="Times New Roman" w:hAnsi="Times New Roman" w:cs="Times New Roman"/>
                <w:color w:val="000000"/>
                <w:sz w:val="20"/>
                <w:szCs w:val="20"/>
              </w:rPr>
            </w:pPr>
          </w:p>
        </w:tc>
        <w:tc>
          <w:tcPr>
            <w:tcW w:w="623"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(2.91)</w:t>
            </w:r>
          </w:p>
        </w:tc>
        <w:tc>
          <w:tcPr>
            <w:tcW w:w="953" w:type="pct"/>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(1.95)</w:t>
            </w:r>
          </w:p>
        </w:tc>
        <w:tc>
          <w:tcPr>
            <w:tcW w:w="953" w:type="pct"/>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(-2.10)</w:t>
            </w:r>
          </w:p>
        </w:tc>
        <w:tc>
          <w:tcPr>
            <w:tcW w:w="953" w:type="pct"/>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(-1.74)</w:t>
            </w:r>
          </w:p>
        </w:tc>
        <w:tc>
          <w:tcPr>
            <w:tcW w:w="951" w:type="pct"/>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043FEB">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p>
        </w:tc>
      </w:tr>
    </w:tbl>
    <w:p w:rsidR="00523FB7" w:rsidRPr="003410DE" w:rsidRDefault="00523FB7" w:rsidP="00F86FF5">
      <w:pPr>
        <w:widowControl/>
        <w:rPr>
          <w:rFonts w:ascii="Times New Roman" w:hAnsi="Times New Roman" w:cs="Times New Roman"/>
        </w:rPr>
      </w:pPr>
    </w:p>
    <w:p w:rsidR="00523FB7" w:rsidRPr="003410DE" w:rsidRDefault="00523FB7" w:rsidP="00F86FF5">
      <w:pPr>
        <w:widowControl/>
        <w:rPr>
          <w:rFonts w:ascii="Times New Roman" w:hAnsi="Times New Roman" w:cs="Times New Roman"/>
        </w:rPr>
        <w:sectPr w:rsidR="00523FB7" w:rsidRPr="003410DE" w:rsidSect="00F86FF5">
          <w:type w:val="continuous"/>
          <w:pgSz w:w="11906" w:h="16838" w:code="9"/>
          <w:pgMar w:top="1440" w:right="1797" w:bottom="1440" w:left="1797" w:header="851" w:footer="992" w:gutter="0"/>
          <w:cols w:space="425"/>
          <w:docGrid w:type="lines" w:linePitch="360"/>
        </w:sectPr>
      </w:pPr>
    </w:p>
    <w:p w:rsidR="00523FB7" w:rsidRPr="003410DE" w:rsidRDefault="00523FB7" w:rsidP="00DC2003">
      <w:pPr>
        <w:snapToGrid w:val="0"/>
        <w:spacing w:line="360" w:lineRule="auto"/>
        <w:rPr>
          <w:rFonts w:ascii="Times New Roman" w:hAnsi="Times New Roman" w:cs="Times New Roman"/>
          <w:b/>
          <w:bCs/>
          <w:kern w:val="0"/>
        </w:rPr>
      </w:pPr>
      <w:r w:rsidRPr="003410DE">
        <w:rPr>
          <w:rFonts w:ascii="Times New Roman" w:hAnsi="Times New Roman" w:cs="Times New Roman"/>
          <w:b/>
          <w:bCs/>
          <w:kern w:val="0"/>
        </w:rPr>
        <w:t xml:space="preserve">Table 8. </w:t>
      </w:r>
      <w:r w:rsidRPr="003410DE">
        <w:rPr>
          <w:rFonts w:ascii="Times New Roman" w:hAnsi="Times New Roman" w:cs="Times New Roman"/>
          <w:b/>
          <w:bCs/>
        </w:rPr>
        <w:t>Portfolio returns based on two-way independent sorts</w:t>
      </w:r>
    </w:p>
    <w:p w:rsidR="00523FB7" w:rsidRDefault="00523FB7" w:rsidP="00DC2003">
      <w:pPr>
        <w:autoSpaceDE w:val="0"/>
        <w:autoSpaceDN w:val="0"/>
        <w:adjustRightInd w:val="0"/>
        <w:snapToGrid w:val="0"/>
        <w:jc w:val="both"/>
        <w:rPr>
          <w:rFonts w:ascii="Times New Roman" w:hAnsi="Times New Roman" w:cs="Times New Roman"/>
          <w:color w:val="000000"/>
          <w:sz w:val="20"/>
          <w:szCs w:val="20"/>
        </w:rPr>
      </w:pPr>
      <w:r w:rsidRPr="000E71F0">
        <w:rPr>
          <w:rFonts w:ascii="Times New Roman" w:hAnsi="Times New Roman" w:cs="Times New Roman"/>
          <w:sz w:val="20"/>
          <w:szCs w:val="20"/>
        </w:rPr>
        <w:t>This table reports</w:t>
      </w:r>
      <w:r>
        <w:rPr>
          <w:rFonts w:ascii="Times New Roman" w:hAnsi="Times New Roman" w:cs="Times New Roman"/>
          <w:sz w:val="20"/>
          <w:szCs w:val="20"/>
        </w:rPr>
        <w:t xml:space="preserve"> the</w:t>
      </w:r>
      <w:r w:rsidRPr="000E71F0">
        <w:rPr>
          <w:rFonts w:ascii="Times New Roman" w:hAnsi="Times New Roman" w:cs="Times New Roman"/>
          <w:sz w:val="20"/>
          <w:szCs w:val="20"/>
        </w:rPr>
        <w:t xml:space="preserve"> value-weighted mean monthly portfolio returns for portfolios of stocks formed at the end of June from 1975 </w:t>
      </w:r>
      <w:r>
        <w:rPr>
          <w:rFonts w:ascii="Times New Roman" w:hAnsi="Times New Roman" w:cs="Times New Roman"/>
          <w:sz w:val="20"/>
          <w:szCs w:val="20"/>
        </w:rPr>
        <w:t xml:space="preserve">to </w:t>
      </w:r>
      <w:r w:rsidRPr="000E71F0">
        <w:rPr>
          <w:rFonts w:ascii="Times New Roman" w:hAnsi="Times New Roman" w:cs="Times New Roman"/>
          <w:sz w:val="20"/>
          <w:szCs w:val="20"/>
        </w:rPr>
        <w:t xml:space="preserve">2005. </w:t>
      </w:r>
      <w:r>
        <w:rPr>
          <w:rFonts w:ascii="Times New Roman" w:hAnsi="Times New Roman" w:cs="Times New Roman"/>
          <w:sz w:val="20"/>
          <w:szCs w:val="20"/>
        </w:rPr>
        <w:t xml:space="preserve">It also </w:t>
      </w:r>
      <w:r w:rsidRPr="000E71F0">
        <w:rPr>
          <w:rFonts w:ascii="Times New Roman" w:hAnsi="Times New Roman" w:cs="Times New Roman"/>
          <w:sz w:val="20"/>
          <w:szCs w:val="20"/>
        </w:rPr>
        <w:t>presents</w:t>
      </w:r>
      <w:r>
        <w:rPr>
          <w:rFonts w:ascii="Times New Roman" w:hAnsi="Times New Roman" w:cs="Times New Roman"/>
          <w:sz w:val="20"/>
          <w:szCs w:val="20"/>
        </w:rPr>
        <w:t xml:space="preserve"> the</w:t>
      </w:r>
      <w:r w:rsidRPr="000E71F0">
        <w:rPr>
          <w:rFonts w:ascii="Times New Roman" w:hAnsi="Times New Roman" w:cs="Times New Roman"/>
          <w:sz w:val="20"/>
          <w:szCs w:val="20"/>
        </w:rPr>
        <w:t xml:space="preserve"> results </w:t>
      </w:r>
      <w:r>
        <w:rPr>
          <w:rFonts w:ascii="Times New Roman" w:hAnsi="Times New Roman" w:cs="Times New Roman"/>
          <w:sz w:val="20"/>
          <w:szCs w:val="20"/>
        </w:rPr>
        <w:t>of the</w:t>
      </w:r>
      <w:r w:rsidRPr="000E71F0">
        <w:rPr>
          <w:rFonts w:ascii="Times New Roman" w:hAnsi="Times New Roman" w:cs="Times New Roman"/>
          <w:sz w:val="20"/>
          <w:szCs w:val="20"/>
        </w:rPr>
        <w:t xml:space="preserve"> two-way independent sorts based on </w:t>
      </w:r>
      <w:r w:rsidRPr="00D5561B">
        <w:rPr>
          <w:rFonts w:ascii="Times New Roman" w:hAnsi="Times New Roman" w:cs="Times New Roman"/>
          <w:i/>
          <w:sz w:val="20"/>
          <w:szCs w:val="20"/>
        </w:rPr>
        <w:t>AdjD</w:t>
      </w:r>
      <w:r w:rsidRPr="0017025B">
        <w:rPr>
          <w:rFonts w:ascii="Times New Roman" w:hAnsi="Times New Roman" w:cs="Times New Roman"/>
          <w:i/>
          <w:sz w:val="20"/>
          <w:szCs w:val="20"/>
        </w:rPr>
        <w:t>ITH</w:t>
      </w:r>
      <w:r w:rsidRPr="000E71F0">
        <w:rPr>
          <w:rFonts w:ascii="Times New Roman" w:hAnsi="Times New Roman" w:cs="Times New Roman"/>
          <w:sz w:val="20"/>
          <w:szCs w:val="20"/>
        </w:rPr>
        <w:t xml:space="preserve"> and </w:t>
      </w:r>
      <w:r w:rsidRPr="00D5561B">
        <w:rPr>
          <w:rFonts w:ascii="Times New Roman" w:hAnsi="Times New Roman" w:cs="Times New Roman"/>
          <w:i/>
          <w:sz w:val="20"/>
          <w:szCs w:val="20"/>
        </w:rPr>
        <w:t>AdjDIND</w:t>
      </w:r>
      <w:r w:rsidRPr="000E71F0">
        <w:rPr>
          <w:rFonts w:ascii="Times New Roman" w:hAnsi="Times New Roman" w:cs="Times New Roman"/>
          <w:sz w:val="20"/>
          <w:szCs w:val="20"/>
        </w:rPr>
        <w:t xml:space="preserve"> into quintiles. Portfolios are rebalanced annually. Portfolio returns are from the beginning of July of the sorting year </w:t>
      </w:r>
      <w:r>
        <w:rPr>
          <w:rFonts w:ascii="Times New Roman" w:hAnsi="Times New Roman" w:cs="Times New Roman"/>
          <w:sz w:val="20"/>
          <w:szCs w:val="20"/>
        </w:rPr>
        <w:t xml:space="preserve">to </w:t>
      </w:r>
      <w:r w:rsidRPr="000E71F0">
        <w:rPr>
          <w:rFonts w:ascii="Times New Roman" w:hAnsi="Times New Roman" w:cs="Times New Roman"/>
          <w:sz w:val="20"/>
          <w:szCs w:val="20"/>
        </w:rPr>
        <w:t xml:space="preserve">the end of June of the following year. </w:t>
      </w:r>
      <w:r>
        <w:rPr>
          <w:rFonts w:ascii="Times New Roman" w:hAnsi="Times New Roman" w:cs="Times New Roman"/>
          <w:sz w:val="20"/>
          <w:szCs w:val="20"/>
        </w:rPr>
        <w:t>S</w:t>
      </w:r>
      <w:r w:rsidRPr="000E71F0">
        <w:rPr>
          <w:rFonts w:ascii="Times New Roman" w:hAnsi="Times New Roman" w:cs="Times New Roman"/>
          <w:sz w:val="20"/>
          <w:szCs w:val="20"/>
        </w:rPr>
        <w:t>tatistics on “high-low</w:t>
      </w:r>
      <w:r>
        <w:rPr>
          <w:rFonts w:ascii="Times New Roman" w:hAnsi="Times New Roman" w:cs="Times New Roman"/>
          <w:sz w:val="20"/>
          <w:szCs w:val="20"/>
        </w:rPr>
        <w:t>,</w:t>
      </w:r>
      <w:r w:rsidRPr="000E71F0">
        <w:rPr>
          <w:rFonts w:ascii="Times New Roman" w:hAnsi="Times New Roman" w:cs="Times New Roman"/>
          <w:sz w:val="20"/>
          <w:szCs w:val="20"/>
        </w:rPr>
        <w:t>” “small-large</w:t>
      </w:r>
      <w:r>
        <w:rPr>
          <w:rFonts w:ascii="Times New Roman" w:hAnsi="Times New Roman" w:cs="Times New Roman"/>
          <w:sz w:val="20"/>
          <w:szCs w:val="20"/>
        </w:rPr>
        <w:t>,</w:t>
      </w:r>
      <w:r w:rsidRPr="000E71F0">
        <w:rPr>
          <w:rFonts w:ascii="Times New Roman" w:hAnsi="Times New Roman" w:cs="Times New Roman"/>
          <w:sz w:val="20"/>
          <w:szCs w:val="20"/>
        </w:rPr>
        <w:t>” and “buy-sell” difference portfolio returns</w:t>
      </w:r>
      <w:r>
        <w:rPr>
          <w:rFonts w:ascii="Times New Roman" w:hAnsi="Times New Roman" w:cs="Times New Roman"/>
          <w:sz w:val="20"/>
          <w:szCs w:val="20"/>
        </w:rPr>
        <w:t xml:space="preserve"> are also reported</w:t>
      </w:r>
      <w:r w:rsidRPr="000E71F0">
        <w:rPr>
          <w:rFonts w:ascii="Times New Roman" w:hAnsi="Times New Roman" w:cs="Times New Roman"/>
          <w:sz w:val="20"/>
          <w:szCs w:val="20"/>
        </w:rPr>
        <w:t xml:space="preserve">. For each month, we take the difference in portfolio return for the extreme quintiles. </w:t>
      </w:r>
      <w:r w:rsidRPr="00514B74">
        <w:rPr>
          <w:rFonts w:ascii="Times New Roman" w:hAnsi="Times New Roman" w:cs="Times New Roman"/>
          <w:i/>
          <w:iCs/>
          <w:kern w:val="0"/>
          <w:sz w:val="22"/>
          <w:szCs w:val="22"/>
        </w:rPr>
        <w:t>t</w:t>
      </w:r>
      <w:r w:rsidRPr="00514B74">
        <w:rPr>
          <w:rFonts w:ascii="Times New Roman" w:hAnsi="Times New Roman" w:cs="Times New Roman"/>
          <w:kern w:val="0"/>
          <w:sz w:val="22"/>
          <w:szCs w:val="22"/>
        </w:rPr>
        <w:t xml:space="preserve">-statistics are shown in parentheses. </w:t>
      </w:r>
      <w:r w:rsidRPr="000E71F0">
        <w:rPr>
          <w:rFonts w:ascii="Times New Roman" w:hAnsi="Times New Roman" w:cs="Times New Roman"/>
          <w:sz w:val="20"/>
          <w:szCs w:val="20"/>
        </w:rPr>
        <w:t xml:space="preserve">The asterisks </w:t>
      </w:r>
      <w:r w:rsidRPr="000E71F0">
        <w:rPr>
          <w:rFonts w:ascii="Times New Roman" w:hAnsi="Times New Roman" w:cs="Times New Roman"/>
          <w:color w:val="000000"/>
          <w:sz w:val="20"/>
          <w:szCs w:val="20"/>
          <w:vertAlign w:val="superscript"/>
        </w:rPr>
        <w:t>*</w:t>
      </w:r>
      <w:r w:rsidRPr="000E71F0">
        <w:rPr>
          <w:rFonts w:ascii="Times New Roman" w:hAnsi="Times New Roman" w:cs="Times New Roman"/>
          <w:color w:val="000000"/>
          <w:sz w:val="20"/>
          <w:szCs w:val="20"/>
        </w:rPr>
        <w:t xml:space="preserve">, </w:t>
      </w:r>
      <w:r w:rsidRPr="000E71F0">
        <w:rPr>
          <w:rFonts w:ascii="Times New Roman" w:hAnsi="Times New Roman" w:cs="Times New Roman"/>
          <w:color w:val="000000"/>
          <w:sz w:val="20"/>
          <w:szCs w:val="20"/>
          <w:vertAlign w:val="superscript"/>
        </w:rPr>
        <w:t>**</w:t>
      </w:r>
      <w:r w:rsidRPr="000E71F0">
        <w:rPr>
          <w:rFonts w:ascii="Times New Roman" w:hAnsi="Times New Roman" w:cs="Times New Roman"/>
          <w:color w:val="000000"/>
          <w:sz w:val="20"/>
          <w:szCs w:val="20"/>
        </w:rPr>
        <w:t xml:space="preserve">, and </w:t>
      </w:r>
      <w:r w:rsidRPr="000E71F0">
        <w:rPr>
          <w:rFonts w:ascii="Times New Roman" w:hAnsi="Times New Roman" w:cs="Times New Roman"/>
          <w:color w:val="000000"/>
          <w:sz w:val="20"/>
          <w:szCs w:val="20"/>
          <w:vertAlign w:val="superscript"/>
        </w:rPr>
        <w:t>***</w:t>
      </w:r>
      <w:r w:rsidRPr="000E71F0">
        <w:rPr>
          <w:rFonts w:ascii="Times New Roman" w:hAnsi="Times New Roman" w:cs="Times New Roman"/>
          <w:color w:val="000000"/>
          <w:sz w:val="20"/>
          <w:szCs w:val="20"/>
        </w:rPr>
        <w:t xml:space="preserve"> indicate significance at the 10%, 5%, and 1% levels, respectively.</w:t>
      </w:r>
    </w:p>
    <w:tbl>
      <w:tblPr>
        <w:tblW w:w="5000" w:type="pct"/>
        <w:jc w:val="center"/>
        <w:tblCellMar>
          <w:left w:w="0" w:type="dxa"/>
          <w:right w:w="0" w:type="dxa"/>
        </w:tblCellMar>
        <w:tblLook w:val="00A0"/>
      </w:tblPr>
      <w:tblGrid>
        <w:gridCol w:w="1146"/>
        <w:gridCol w:w="940"/>
        <w:gridCol w:w="940"/>
        <w:gridCol w:w="940"/>
        <w:gridCol w:w="940"/>
        <w:gridCol w:w="940"/>
        <w:gridCol w:w="1215"/>
        <w:gridCol w:w="1238"/>
        <w:gridCol w:w="940"/>
        <w:gridCol w:w="940"/>
        <w:gridCol w:w="872"/>
        <w:gridCol w:w="872"/>
        <w:gridCol w:w="872"/>
        <w:gridCol w:w="1403"/>
      </w:tblGrid>
      <w:tr w:rsidR="00523FB7" w:rsidRPr="00740526" w:rsidTr="00747FB4">
        <w:trPr>
          <w:trHeight w:val="345"/>
          <w:jc w:val="center"/>
        </w:trPr>
        <w:tc>
          <w:tcPr>
            <w:tcW w:w="404" w:type="pct"/>
            <w:tcBorders>
              <w:top w:val="double" w:sz="4" w:space="0" w:color="auto"/>
              <w:left w:val="nil"/>
              <w:bottom w:val="nil"/>
              <w:right w:val="nil"/>
            </w:tcBorders>
            <w:tcMar>
              <w:top w:w="15" w:type="dxa"/>
              <w:left w:w="225" w:type="dxa"/>
              <w:bottom w:w="0" w:type="dxa"/>
              <w:right w:w="15" w:type="dxa"/>
            </w:tcMar>
            <w:vAlign w:val="bottom"/>
          </w:tcPr>
          <w:p w:rsidR="00523FB7" w:rsidRPr="00740526" w:rsidRDefault="00523FB7" w:rsidP="003132FD">
            <w:pPr>
              <w:snapToGrid w:val="0"/>
              <w:ind w:firstLineChars="100" w:firstLine="240"/>
              <w:rPr>
                <w:rFonts w:ascii="Times New Roman" w:hAnsi="Times New Roman" w:cs="Times New Roman"/>
                <w:b/>
                <w:color w:val="000000"/>
              </w:rPr>
            </w:pPr>
          </w:p>
        </w:tc>
        <w:tc>
          <w:tcPr>
            <w:tcW w:w="4596" w:type="pct"/>
            <w:gridSpan w:val="13"/>
            <w:tcBorders>
              <w:top w:val="double" w:sz="4" w:space="0" w:color="auto"/>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center"/>
              <w:rPr>
                <w:rFonts w:ascii="Times New Roman" w:hAnsi="Times New Roman" w:cs="Times New Roman"/>
                <w:b/>
                <w:color w:val="000000"/>
              </w:rPr>
            </w:pPr>
            <w:r w:rsidRPr="00740526">
              <w:rPr>
                <w:rFonts w:ascii="Times New Roman" w:hAnsi="Times New Roman" w:cs="Times New Roman"/>
                <w:b/>
                <w:color w:val="000000"/>
                <w:sz w:val="22"/>
                <w:szCs w:val="22"/>
              </w:rPr>
              <w:t xml:space="preserve">Panel A: </w:t>
            </w:r>
            <w:r w:rsidRPr="00740526">
              <w:rPr>
                <w:rFonts w:ascii="Times New Roman" w:hAnsi="Times New Roman" w:cs="Times New Roman"/>
                <w:b/>
                <w:i/>
                <w:color w:val="000000"/>
                <w:sz w:val="22"/>
                <w:szCs w:val="22"/>
              </w:rPr>
              <w:t>BE/ME</w:t>
            </w:r>
            <w:r w:rsidRPr="00740526">
              <w:rPr>
                <w:rFonts w:ascii="Times New Roman" w:hAnsi="Times New Roman" w:cs="Times New Roman"/>
                <w:b/>
                <w:color w:val="000000"/>
                <w:sz w:val="22"/>
                <w:szCs w:val="22"/>
              </w:rPr>
              <w:t xml:space="preserve"> Quintile</w:t>
            </w:r>
          </w:p>
        </w:tc>
      </w:tr>
      <w:tr w:rsidR="00523FB7" w:rsidRPr="00740526" w:rsidTr="00747FB4">
        <w:trPr>
          <w:trHeight w:val="275"/>
          <w:jc w:val="center"/>
        </w:trPr>
        <w:tc>
          <w:tcPr>
            <w:tcW w:w="40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Low</w:t>
            </w: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w:t>
            </w: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w:t>
            </w: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4</w:t>
            </w: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High</w:t>
            </w:r>
          </w:p>
        </w:tc>
        <w:tc>
          <w:tcPr>
            <w:tcW w:w="428"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High-Low</w:t>
            </w:r>
          </w:p>
        </w:tc>
        <w:tc>
          <w:tcPr>
            <w:tcW w:w="43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Low</w:t>
            </w: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w:t>
            </w:r>
          </w:p>
        </w:tc>
        <w:tc>
          <w:tcPr>
            <w:tcW w:w="307"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w:t>
            </w:r>
          </w:p>
        </w:tc>
        <w:tc>
          <w:tcPr>
            <w:tcW w:w="307"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4</w:t>
            </w:r>
          </w:p>
        </w:tc>
        <w:tc>
          <w:tcPr>
            <w:tcW w:w="307"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High</w:t>
            </w:r>
          </w:p>
        </w:tc>
        <w:tc>
          <w:tcPr>
            <w:tcW w:w="494"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High-Low</w:t>
            </w:r>
          </w:p>
        </w:tc>
      </w:tr>
      <w:tr w:rsidR="00523FB7" w:rsidRPr="00740526" w:rsidTr="00747FB4">
        <w:trPr>
          <w:trHeight w:val="585"/>
          <w:jc w:val="center"/>
        </w:trPr>
        <w:tc>
          <w:tcPr>
            <w:tcW w:w="404"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i/>
                <w:color w:val="000000"/>
                <w:sz w:val="22"/>
                <w:szCs w:val="22"/>
              </w:rPr>
              <w:t>AdjDITH</w:t>
            </w:r>
            <w:r w:rsidRPr="00740526">
              <w:rPr>
                <w:rFonts w:ascii="Times New Roman" w:hAnsi="Times New Roman" w:cs="Times New Roman"/>
                <w:color w:val="000000"/>
                <w:sz w:val="22"/>
                <w:szCs w:val="22"/>
              </w:rPr>
              <w:t xml:space="preserve"> Quintile</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662" w:type="pct"/>
            <w:gridSpan w:val="2"/>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428"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436"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i/>
                <w:color w:val="000000"/>
                <w:sz w:val="22"/>
                <w:szCs w:val="22"/>
              </w:rPr>
              <w:t>AdjDIND</w:t>
            </w:r>
            <w:r w:rsidRPr="00740526">
              <w:rPr>
                <w:rFonts w:ascii="Times New Roman" w:hAnsi="Times New Roman" w:cs="Times New Roman"/>
                <w:color w:val="000000"/>
                <w:sz w:val="22"/>
                <w:szCs w:val="22"/>
              </w:rPr>
              <w:t xml:space="preserve"> Quintile</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614" w:type="pct"/>
            <w:gridSpan w:val="2"/>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307"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494"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r>
      <w:tr w:rsidR="00523FB7" w:rsidRPr="00740526" w:rsidTr="00747FB4">
        <w:trPr>
          <w:trHeight w:val="315"/>
          <w:jc w:val="center"/>
        </w:trPr>
        <w:tc>
          <w:tcPr>
            <w:tcW w:w="40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Sell</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0.57</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0.63</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0.90</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1.32</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1.28</w:t>
            </w:r>
          </w:p>
        </w:tc>
        <w:tc>
          <w:tcPr>
            <w:tcW w:w="42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0.71</w:t>
            </w:r>
            <w:r w:rsidRPr="00740526">
              <w:rPr>
                <w:rFonts w:ascii="Times New Roman" w:hAnsi="Times New Roman" w:cs="Times New Roman"/>
                <w:color w:val="000000"/>
                <w:sz w:val="22"/>
                <w:szCs w:val="22"/>
                <w:vertAlign w:val="superscript"/>
              </w:rPr>
              <w:t>**</w:t>
            </w:r>
          </w:p>
        </w:tc>
        <w:tc>
          <w:tcPr>
            <w:tcW w:w="43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Sell</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0.47</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0.76</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0.84</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1.08</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0.93</w:t>
            </w:r>
          </w:p>
        </w:tc>
        <w:tc>
          <w:tcPr>
            <w:tcW w:w="49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0.46</w:t>
            </w:r>
          </w:p>
        </w:tc>
      </w:tr>
      <w:tr w:rsidR="00523FB7" w:rsidRPr="00740526" w:rsidTr="00747FB4">
        <w:trPr>
          <w:trHeight w:val="315"/>
          <w:jc w:val="center"/>
        </w:trPr>
        <w:tc>
          <w:tcPr>
            <w:tcW w:w="404"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2</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1.04</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0.88</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0.94</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1.08</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0.98</w:t>
            </w:r>
          </w:p>
        </w:tc>
        <w:tc>
          <w:tcPr>
            <w:tcW w:w="42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-0.07</w:t>
            </w:r>
          </w:p>
        </w:tc>
        <w:tc>
          <w:tcPr>
            <w:tcW w:w="43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2</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0.51</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0.84</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0.90</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1.04</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0.99</w:t>
            </w:r>
          </w:p>
        </w:tc>
        <w:tc>
          <w:tcPr>
            <w:tcW w:w="49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0.47</w:t>
            </w:r>
          </w:p>
        </w:tc>
      </w:tr>
      <w:tr w:rsidR="00523FB7" w:rsidRPr="00740526" w:rsidTr="00747FB4">
        <w:trPr>
          <w:trHeight w:val="315"/>
          <w:jc w:val="center"/>
        </w:trPr>
        <w:tc>
          <w:tcPr>
            <w:tcW w:w="404"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3</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0.65</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0.99</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1.10</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1.07</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1.12</w:t>
            </w:r>
          </w:p>
        </w:tc>
        <w:tc>
          <w:tcPr>
            <w:tcW w:w="42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0.47</w:t>
            </w:r>
            <w:r w:rsidRPr="00740526">
              <w:rPr>
                <w:rFonts w:ascii="Times New Roman" w:hAnsi="Times New Roman" w:cs="Times New Roman"/>
                <w:color w:val="000000"/>
                <w:sz w:val="22"/>
                <w:szCs w:val="22"/>
                <w:vertAlign w:val="superscript"/>
              </w:rPr>
              <w:t>*</w:t>
            </w:r>
          </w:p>
        </w:tc>
        <w:tc>
          <w:tcPr>
            <w:tcW w:w="43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3</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0.50</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0.77</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1.03</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0.99</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1.05</w:t>
            </w:r>
          </w:p>
        </w:tc>
        <w:tc>
          <w:tcPr>
            <w:tcW w:w="49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0.55</w:t>
            </w:r>
            <w:r w:rsidRPr="00740526">
              <w:rPr>
                <w:rFonts w:ascii="Times New Roman" w:hAnsi="Times New Roman" w:cs="Times New Roman"/>
                <w:color w:val="000000"/>
                <w:sz w:val="22"/>
                <w:szCs w:val="22"/>
                <w:vertAlign w:val="superscript"/>
              </w:rPr>
              <w:t>*</w:t>
            </w:r>
          </w:p>
        </w:tc>
      </w:tr>
      <w:tr w:rsidR="00523FB7" w:rsidRPr="00740526" w:rsidTr="00747FB4">
        <w:trPr>
          <w:trHeight w:val="315"/>
          <w:jc w:val="center"/>
        </w:trPr>
        <w:tc>
          <w:tcPr>
            <w:tcW w:w="404"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4</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0.33</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1.00</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0.78</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1.07</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1.15</w:t>
            </w:r>
          </w:p>
        </w:tc>
        <w:tc>
          <w:tcPr>
            <w:tcW w:w="42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0.81</w:t>
            </w:r>
            <w:r w:rsidRPr="00740526">
              <w:rPr>
                <w:rFonts w:ascii="Times New Roman" w:hAnsi="Times New Roman" w:cs="Times New Roman"/>
                <w:color w:val="000000"/>
                <w:sz w:val="22"/>
                <w:szCs w:val="22"/>
                <w:vertAlign w:val="superscript"/>
              </w:rPr>
              <w:t>***</w:t>
            </w:r>
          </w:p>
        </w:tc>
        <w:tc>
          <w:tcPr>
            <w:tcW w:w="43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4</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0.40</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0.69</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0.79</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0.97</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1.27</w:t>
            </w:r>
          </w:p>
        </w:tc>
        <w:tc>
          <w:tcPr>
            <w:tcW w:w="49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0.87</w:t>
            </w:r>
            <w:r w:rsidRPr="00740526">
              <w:rPr>
                <w:rFonts w:ascii="Times New Roman" w:hAnsi="Times New Roman" w:cs="Times New Roman"/>
                <w:color w:val="000000"/>
                <w:sz w:val="22"/>
                <w:szCs w:val="22"/>
                <w:vertAlign w:val="superscript"/>
              </w:rPr>
              <w:t>***</w:t>
            </w:r>
          </w:p>
        </w:tc>
      </w:tr>
      <w:tr w:rsidR="00523FB7" w:rsidRPr="00740526" w:rsidTr="00747FB4">
        <w:trPr>
          <w:trHeight w:val="315"/>
          <w:jc w:val="center"/>
        </w:trPr>
        <w:tc>
          <w:tcPr>
            <w:tcW w:w="404"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Buy</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0.30</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0.64</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0.77</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0.69</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0.71</w:t>
            </w:r>
          </w:p>
        </w:tc>
        <w:tc>
          <w:tcPr>
            <w:tcW w:w="42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0.41</w:t>
            </w:r>
          </w:p>
        </w:tc>
        <w:tc>
          <w:tcPr>
            <w:tcW w:w="43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Buy</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0.85</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0.62</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0.90</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1.12</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1.00</w:t>
            </w:r>
          </w:p>
        </w:tc>
        <w:tc>
          <w:tcPr>
            <w:tcW w:w="49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0.15</w:t>
            </w:r>
          </w:p>
        </w:tc>
      </w:tr>
      <w:tr w:rsidR="00523FB7" w:rsidRPr="00740526" w:rsidTr="00747FB4">
        <w:trPr>
          <w:trHeight w:val="330"/>
          <w:jc w:val="center"/>
        </w:trPr>
        <w:tc>
          <w:tcPr>
            <w:tcW w:w="404"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Buy-Sell</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-0.27</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0.01</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-0.14</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-0.63</w:t>
            </w:r>
            <w:r w:rsidRPr="00740526">
              <w:rPr>
                <w:rFonts w:ascii="Times New Roman" w:hAnsi="Times New Roman" w:cs="Times New Roman"/>
                <w:color w:val="000000"/>
                <w:sz w:val="22"/>
                <w:szCs w:val="22"/>
                <w:vertAlign w:val="superscript"/>
              </w:rPr>
              <w:t>***</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-0.57</w:t>
            </w:r>
            <w:r w:rsidRPr="00740526">
              <w:rPr>
                <w:rFonts w:ascii="Times New Roman" w:hAnsi="Times New Roman" w:cs="Times New Roman"/>
                <w:color w:val="000000"/>
                <w:sz w:val="22"/>
                <w:szCs w:val="22"/>
                <w:vertAlign w:val="superscript"/>
              </w:rPr>
              <w:t>**</w:t>
            </w:r>
          </w:p>
        </w:tc>
        <w:tc>
          <w:tcPr>
            <w:tcW w:w="428"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436"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Buy-Sell</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0.38</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-0.15</w:t>
            </w:r>
          </w:p>
        </w:tc>
        <w:tc>
          <w:tcPr>
            <w:tcW w:w="307"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0.06</w:t>
            </w:r>
          </w:p>
        </w:tc>
        <w:tc>
          <w:tcPr>
            <w:tcW w:w="307"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0.04</w:t>
            </w:r>
          </w:p>
        </w:tc>
        <w:tc>
          <w:tcPr>
            <w:tcW w:w="307"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0.07</w:t>
            </w:r>
          </w:p>
        </w:tc>
        <w:tc>
          <w:tcPr>
            <w:tcW w:w="494"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r>
      <w:tr w:rsidR="00523FB7" w:rsidRPr="00740526" w:rsidTr="00747FB4">
        <w:trPr>
          <w:trHeight w:val="345"/>
          <w:jc w:val="center"/>
        </w:trPr>
        <w:tc>
          <w:tcPr>
            <w:tcW w:w="404" w:type="pct"/>
            <w:tcBorders>
              <w:top w:val="nil"/>
              <w:left w:val="nil"/>
              <w:bottom w:val="nil"/>
              <w:right w:val="nil"/>
            </w:tcBorders>
            <w:tcMar>
              <w:top w:w="15" w:type="dxa"/>
              <w:left w:w="225" w:type="dxa"/>
              <w:bottom w:w="0" w:type="dxa"/>
              <w:right w:w="15" w:type="dxa"/>
            </w:tcMar>
            <w:vAlign w:val="bottom"/>
          </w:tcPr>
          <w:p w:rsidR="00523FB7" w:rsidRPr="00740526" w:rsidRDefault="00523FB7" w:rsidP="003132FD">
            <w:pPr>
              <w:snapToGrid w:val="0"/>
              <w:ind w:firstLineChars="100" w:firstLine="240"/>
              <w:rPr>
                <w:rFonts w:ascii="Times New Roman" w:hAnsi="Times New Roman" w:cs="Times New Roman"/>
                <w:b/>
                <w:color w:val="000000"/>
              </w:rPr>
            </w:pPr>
          </w:p>
        </w:tc>
        <w:tc>
          <w:tcPr>
            <w:tcW w:w="4596" w:type="pct"/>
            <w:gridSpan w:val="13"/>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center"/>
              <w:rPr>
                <w:rFonts w:ascii="Times New Roman" w:hAnsi="Times New Roman" w:cs="Times New Roman"/>
                <w:b/>
                <w:color w:val="000000"/>
              </w:rPr>
            </w:pPr>
            <w:r w:rsidRPr="00740526">
              <w:rPr>
                <w:rFonts w:ascii="Times New Roman" w:hAnsi="Times New Roman" w:cs="Times New Roman"/>
                <w:b/>
                <w:color w:val="000000"/>
                <w:sz w:val="22"/>
                <w:szCs w:val="22"/>
              </w:rPr>
              <w:t>Panel B: Size Quintile</w:t>
            </w:r>
          </w:p>
        </w:tc>
      </w:tr>
      <w:tr w:rsidR="00523FB7" w:rsidRPr="00740526" w:rsidTr="00747FB4">
        <w:trPr>
          <w:trHeight w:val="252"/>
          <w:jc w:val="center"/>
        </w:trPr>
        <w:tc>
          <w:tcPr>
            <w:tcW w:w="40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Small</w:t>
            </w: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w:t>
            </w: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w:t>
            </w: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4</w:t>
            </w: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Large</w:t>
            </w:r>
          </w:p>
        </w:tc>
        <w:tc>
          <w:tcPr>
            <w:tcW w:w="428"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Small-Large</w:t>
            </w:r>
          </w:p>
        </w:tc>
        <w:tc>
          <w:tcPr>
            <w:tcW w:w="43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Small</w:t>
            </w:r>
          </w:p>
        </w:tc>
        <w:tc>
          <w:tcPr>
            <w:tcW w:w="331"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w:t>
            </w:r>
          </w:p>
        </w:tc>
        <w:tc>
          <w:tcPr>
            <w:tcW w:w="307"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w:t>
            </w:r>
          </w:p>
        </w:tc>
        <w:tc>
          <w:tcPr>
            <w:tcW w:w="307"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4</w:t>
            </w:r>
          </w:p>
        </w:tc>
        <w:tc>
          <w:tcPr>
            <w:tcW w:w="307"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Large</w:t>
            </w:r>
          </w:p>
        </w:tc>
        <w:tc>
          <w:tcPr>
            <w:tcW w:w="494"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Small-Large</w:t>
            </w:r>
          </w:p>
        </w:tc>
      </w:tr>
      <w:tr w:rsidR="00523FB7" w:rsidRPr="00740526" w:rsidTr="00747FB4">
        <w:trPr>
          <w:trHeight w:val="585"/>
          <w:jc w:val="center"/>
        </w:trPr>
        <w:tc>
          <w:tcPr>
            <w:tcW w:w="404"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i/>
                <w:color w:val="000000"/>
                <w:sz w:val="22"/>
                <w:szCs w:val="22"/>
              </w:rPr>
              <w:t>AdjDITH</w:t>
            </w:r>
            <w:r w:rsidRPr="00740526">
              <w:rPr>
                <w:rFonts w:ascii="Times New Roman" w:hAnsi="Times New Roman" w:cs="Times New Roman"/>
                <w:color w:val="000000"/>
                <w:sz w:val="22"/>
                <w:szCs w:val="22"/>
              </w:rPr>
              <w:t xml:space="preserve"> Quintile</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662" w:type="pct"/>
            <w:gridSpan w:val="2"/>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428"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436"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i/>
                <w:color w:val="000000"/>
                <w:sz w:val="22"/>
                <w:szCs w:val="22"/>
              </w:rPr>
              <w:t>AdjDIND</w:t>
            </w:r>
            <w:r w:rsidRPr="00740526">
              <w:rPr>
                <w:rFonts w:ascii="Times New Roman" w:hAnsi="Times New Roman" w:cs="Times New Roman"/>
                <w:color w:val="000000"/>
                <w:sz w:val="22"/>
                <w:szCs w:val="22"/>
              </w:rPr>
              <w:t xml:space="preserve"> Quintile</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331"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614" w:type="pct"/>
            <w:gridSpan w:val="2"/>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307"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494" w:type="pct"/>
            <w:tcBorders>
              <w:top w:val="nil"/>
              <w:left w:val="nil"/>
              <w:bottom w:val="single" w:sz="8"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r>
      <w:tr w:rsidR="00523FB7" w:rsidRPr="00740526" w:rsidTr="00747FB4">
        <w:trPr>
          <w:trHeight w:val="315"/>
          <w:jc w:val="center"/>
        </w:trPr>
        <w:tc>
          <w:tcPr>
            <w:tcW w:w="40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Sell</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1.45</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1.15</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0.87</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0.93</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0.71</w:t>
            </w:r>
          </w:p>
        </w:tc>
        <w:tc>
          <w:tcPr>
            <w:tcW w:w="42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0.74</w:t>
            </w:r>
            <w:r w:rsidRPr="00740526">
              <w:rPr>
                <w:rFonts w:ascii="Times New Roman" w:hAnsi="Times New Roman" w:cs="Times New Roman"/>
                <w:color w:val="000000"/>
                <w:sz w:val="22"/>
                <w:szCs w:val="22"/>
                <w:vertAlign w:val="superscript"/>
              </w:rPr>
              <w:t>**</w:t>
            </w:r>
          </w:p>
        </w:tc>
        <w:tc>
          <w:tcPr>
            <w:tcW w:w="43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Sell</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1.34</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0.98</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0.83</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0.63</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0.72</w:t>
            </w:r>
          </w:p>
        </w:tc>
        <w:tc>
          <w:tcPr>
            <w:tcW w:w="49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0.61</w:t>
            </w:r>
            <w:r w:rsidRPr="00740526">
              <w:rPr>
                <w:rFonts w:ascii="Times New Roman" w:hAnsi="Times New Roman" w:cs="Times New Roman"/>
                <w:color w:val="000000"/>
                <w:sz w:val="22"/>
                <w:szCs w:val="22"/>
                <w:vertAlign w:val="superscript"/>
              </w:rPr>
              <w:t>*</w:t>
            </w:r>
          </w:p>
        </w:tc>
      </w:tr>
      <w:tr w:rsidR="00523FB7" w:rsidRPr="00740526" w:rsidTr="00747FB4">
        <w:trPr>
          <w:trHeight w:val="315"/>
          <w:jc w:val="center"/>
        </w:trPr>
        <w:tc>
          <w:tcPr>
            <w:tcW w:w="404"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2</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1.31</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1.13</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1.32</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0.89</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0.87</w:t>
            </w:r>
          </w:p>
        </w:tc>
        <w:tc>
          <w:tcPr>
            <w:tcW w:w="42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0.43</w:t>
            </w:r>
          </w:p>
        </w:tc>
        <w:tc>
          <w:tcPr>
            <w:tcW w:w="43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2</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1.28</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0.92</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0.81</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0.86</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0.77</w:t>
            </w:r>
          </w:p>
        </w:tc>
        <w:tc>
          <w:tcPr>
            <w:tcW w:w="49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0.51</w:t>
            </w:r>
          </w:p>
        </w:tc>
      </w:tr>
      <w:tr w:rsidR="00523FB7" w:rsidRPr="00740526" w:rsidTr="00747FB4">
        <w:trPr>
          <w:trHeight w:val="315"/>
          <w:jc w:val="center"/>
        </w:trPr>
        <w:tc>
          <w:tcPr>
            <w:tcW w:w="404"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3</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1.29</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1.06</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0.98</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0.85</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0.91</w:t>
            </w:r>
          </w:p>
        </w:tc>
        <w:tc>
          <w:tcPr>
            <w:tcW w:w="42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0.39</w:t>
            </w:r>
          </w:p>
        </w:tc>
        <w:tc>
          <w:tcPr>
            <w:tcW w:w="43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3</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1.41</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0.92</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0.96</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0.81</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0.77</w:t>
            </w:r>
          </w:p>
        </w:tc>
        <w:tc>
          <w:tcPr>
            <w:tcW w:w="49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0.64</w:t>
            </w:r>
            <w:r w:rsidRPr="00740526">
              <w:rPr>
                <w:rFonts w:ascii="Times New Roman" w:hAnsi="Times New Roman" w:cs="Times New Roman"/>
                <w:color w:val="000000"/>
                <w:sz w:val="22"/>
                <w:szCs w:val="22"/>
                <w:vertAlign w:val="superscript"/>
              </w:rPr>
              <w:t>**</w:t>
            </w:r>
          </w:p>
        </w:tc>
      </w:tr>
      <w:tr w:rsidR="00523FB7" w:rsidRPr="00740526" w:rsidTr="00747FB4">
        <w:trPr>
          <w:trHeight w:val="315"/>
          <w:jc w:val="center"/>
        </w:trPr>
        <w:tc>
          <w:tcPr>
            <w:tcW w:w="404"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4</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1.44</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1.07</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0.85</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0.83</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0.74</w:t>
            </w:r>
          </w:p>
        </w:tc>
        <w:tc>
          <w:tcPr>
            <w:tcW w:w="42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0.70</w:t>
            </w:r>
            <w:r w:rsidRPr="00740526">
              <w:rPr>
                <w:rFonts w:ascii="Times New Roman" w:hAnsi="Times New Roman" w:cs="Times New Roman"/>
                <w:color w:val="000000"/>
                <w:sz w:val="22"/>
                <w:szCs w:val="22"/>
                <w:vertAlign w:val="superscript"/>
              </w:rPr>
              <w:t>**</w:t>
            </w:r>
          </w:p>
        </w:tc>
        <w:tc>
          <w:tcPr>
            <w:tcW w:w="43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4</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1.44</w:t>
            </w:r>
          </w:p>
        </w:tc>
        <w:tc>
          <w:tcPr>
            <w:tcW w:w="331"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1.20</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1.05</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0.95</w:t>
            </w:r>
          </w:p>
        </w:tc>
        <w:tc>
          <w:tcPr>
            <w:tcW w:w="307"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0.72</w:t>
            </w:r>
          </w:p>
        </w:tc>
        <w:tc>
          <w:tcPr>
            <w:tcW w:w="494"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0.72</w:t>
            </w:r>
            <w:r w:rsidRPr="00740526">
              <w:rPr>
                <w:rFonts w:ascii="Times New Roman" w:hAnsi="Times New Roman" w:cs="Times New Roman"/>
                <w:color w:val="000000"/>
                <w:sz w:val="22"/>
                <w:szCs w:val="22"/>
                <w:vertAlign w:val="superscript"/>
              </w:rPr>
              <w:t>**</w:t>
            </w:r>
          </w:p>
        </w:tc>
      </w:tr>
      <w:tr w:rsidR="00523FB7" w:rsidRPr="00740526" w:rsidTr="00747FB4">
        <w:trPr>
          <w:trHeight w:val="315"/>
          <w:jc w:val="center"/>
        </w:trPr>
        <w:tc>
          <w:tcPr>
            <w:tcW w:w="404"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Buy</w:t>
            </w:r>
          </w:p>
        </w:tc>
        <w:tc>
          <w:tcPr>
            <w:tcW w:w="331"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1.24</w:t>
            </w:r>
          </w:p>
        </w:tc>
        <w:tc>
          <w:tcPr>
            <w:tcW w:w="331"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0.78</w:t>
            </w:r>
          </w:p>
        </w:tc>
        <w:tc>
          <w:tcPr>
            <w:tcW w:w="331"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0.78</w:t>
            </w:r>
          </w:p>
        </w:tc>
        <w:tc>
          <w:tcPr>
            <w:tcW w:w="331"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0.66</w:t>
            </w:r>
          </w:p>
        </w:tc>
        <w:tc>
          <w:tcPr>
            <w:tcW w:w="331"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0.59</w:t>
            </w:r>
          </w:p>
        </w:tc>
        <w:tc>
          <w:tcPr>
            <w:tcW w:w="428"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0.65</w:t>
            </w:r>
            <w:r w:rsidRPr="00740526">
              <w:rPr>
                <w:rFonts w:ascii="Times New Roman" w:hAnsi="Times New Roman" w:cs="Times New Roman"/>
                <w:color w:val="000000"/>
                <w:sz w:val="22"/>
                <w:szCs w:val="22"/>
                <w:vertAlign w:val="superscript"/>
              </w:rPr>
              <w:t>**</w:t>
            </w:r>
          </w:p>
        </w:tc>
        <w:tc>
          <w:tcPr>
            <w:tcW w:w="436"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Buy</w:t>
            </w:r>
          </w:p>
        </w:tc>
        <w:tc>
          <w:tcPr>
            <w:tcW w:w="331"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1.31</w:t>
            </w:r>
          </w:p>
        </w:tc>
        <w:tc>
          <w:tcPr>
            <w:tcW w:w="331"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1.10</w:t>
            </w:r>
          </w:p>
        </w:tc>
        <w:tc>
          <w:tcPr>
            <w:tcW w:w="307"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1.17</w:t>
            </w:r>
          </w:p>
        </w:tc>
        <w:tc>
          <w:tcPr>
            <w:tcW w:w="307"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0.87</w:t>
            </w:r>
          </w:p>
        </w:tc>
        <w:tc>
          <w:tcPr>
            <w:tcW w:w="307"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0.74</w:t>
            </w:r>
          </w:p>
        </w:tc>
        <w:tc>
          <w:tcPr>
            <w:tcW w:w="494"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0.57</w:t>
            </w:r>
            <w:r w:rsidRPr="00740526">
              <w:rPr>
                <w:rFonts w:ascii="Times New Roman" w:hAnsi="Times New Roman" w:cs="Times New Roman"/>
                <w:color w:val="000000"/>
                <w:sz w:val="22"/>
                <w:szCs w:val="22"/>
                <w:vertAlign w:val="superscript"/>
              </w:rPr>
              <w:t>*</w:t>
            </w:r>
          </w:p>
        </w:tc>
      </w:tr>
      <w:tr w:rsidR="00523FB7" w:rsidRPr="00740526" w:rsidTr="00747FB4">
        <w:trPr>
          <w:trHeight w:val="330"/>
          <w:jc w:val="center"/>
        </w:trPr>
        <w:tc>
          <w:tcPr>
            <w:tcW w:w="404"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Buy-Sell</w:t>
            </w:r>
          </w:p>
        </w:tc>
        <w:tc>
          <w:tcPr>
            <w:tcW w:w="33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-0.21</w:t>
            </w:r>
          </w:p>
        </w:tc>
        <w:tc>
          <w:tcPr>
            <w:tcW w:w="33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-0.36</w:t>
            </w:r>
            <w:r w:rsidRPr="00740526">
              <w:rPr>
                <w:rFonts w:ascii="Times New Roman" w:hAnsi="Times New Roman" w:cs="Times New Roman"/>
                <w:color w:val="000000"/>
                <w:sz w:val="22"/>
                <w:szCs w:val="22"/>
                <w:vertAlign w:val="superscript"/>
              </w:rPr>
              <w:t>*</w:t>
            </w:r>
          </w:p>
        </w:tc>
        <w:tc>
          <w:tcPr>
            <w:tcW w:w="33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-0.08</w:t>
            </w:r>
          </w:p>
        </w:tc>
        <w:tc>
          <w:tcPr>
            <w:tcW w:w="33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-0.27</w:t>
            </w:r>
          </w:p>
        </w:tc>
        <w:tc>
          <w:tcPr>
            <w:tcW w:w="33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-0.12</w:t>
            </w:r>
          </w:p>
        </w:tc>
        <w:tc>
          <w:tcPr>
            <w:tcW w:w="42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c>
          <w:tcPr>
            <w:tcW w:w="436"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Buy-Sell</w:t>
            </w:r>
          </w:p>
        </w:tc>
        <w:tc>
          <w:tcPr>
            <w:tcW w:w="33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-0.03</w:t>
            </w:r>
          </w:p>
        </w:tc>
        <w:tc>
          <w:tcPr>
            <w:tcW w:w="331"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0.12</w:t>
            </w:r>
          </w:p>
        </w:tc>
        <w:tc>
          <w:tcPr>
            <w:tcW w:w="307"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0.33</w:t>
            </w:r>
          </w:p>
        </w:tc>
        <w:tc>
          <w:tcPr>
            <w:tcW w:w="307"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0.23</w:t>
            </w:r>
          </w:p>
        </w:tc>
        <w:tc>
          <w:tcPr>
            <w:tcW w:w="307"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0.02</w:t>
            </w:r>
          </w:p>
        </w:tc>
        <w:tc>
          <w:tcPr>
            <w:tcW w:w="494"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新細明體" w:hint="eastAsia"/>
                <w:color w:val="000000"/>
                <w:sz w:val="22"/>
                <w:szCs w:val="22"/>
              </w:rPr>
              <w:t xml:space="preserve">　</w:t>
            </w:r>
          </w:p>
        </w:tc>
      </w:tr>
    </w:tbl>
    <w:p w:rsidR="00523FB7" w:rsidRPr="003410DE" w:rsidRDefault="00523FB7" w:rsidP="00DC2003">
      <w:pPr>
        <w:snapToGrid w:val="0"/>
        <w:spacing w:line="360" w:lineRule="auto"/>
        <w:rPr>
          <w:rFonts w:ascii="Times New Roman" w:hAnsi="Times New Roman" w:cs="Times New Roman"/>
          <w:b/>
          <w:bCs/>
          <w:kern w:val="0"/>
        </w:rPr>
      </w:pPr>
      <w:r w:rsidRPr="003410DE">
        <w:rPr>
          <w:rFonts w:ascii="Times New Roman" w:hAnsi="Times New Roman" w:cs="Times New Roman"/>
          <w:b/>
          <w:bCs/>
          <w:kern w:val="0"/>
        </w:rPr>
        <w:t xml:space="preserve">Table 9. </w:t>
      </w:r>
      <w:r w:rsidRPr="003410DE">
        <w:rPr>
          <w:rFonts w:ascii="Times New Roman" w:hAnsi="Times New Roman" w:cs="Times New Roman"/>
          <w:b/>
          <w:bCs/>
        </w:rPr>
        <w:t>Portfolio returns based on</w:t>
      </w:r>
      <w:r w:rsidRPr="003410DE">
        <w:rPr>
          <w:rFonts w:ascii="Times New Roman" w:hAnsi="Times New Roman" w:cs="Times New Roman"/>
          <w:b/>
          <w:bCs/>
          <w:kern w:val="0"/>
        </w:rPr>
        <w:t xml:space="preserve"> dependent double sorts</w:t>
      </w:r>
    </w:p>
    <w:p w:rsidR="00523FB7" w:rsidRDefault="00523FB7" w:rsidP="00DC2003">
      <w:pPr>
        <w:autoSpaceDE w:val="0"/>
        <w:autoSpaceDN w:val="0"/>
        <w:adjustRightInd w:val="0"/>
        <w:snapToGrid w:val="0"/>
        <w:jc w:val="both"/>
        <w:rPr>
          <w:rFonts w:ascii="Times New Roman" w:hAnsi="Times New Roman" w:cs="Times New Roman"/>
          <w:color w:val="000000"/>
          <w:sz w:val="20"/>
          <w:szCs w:val="20"/>
        </w:rPr>
      </w:pPr>
      <w:r w:rsidRPr="003410DE">
        <w:rPr>
          <w:rFonts w:ascii="Times New Roman" w:hAnsi="Times New Roman" w:cs="Times New Roman"/>
          <w:sz w:val="20"/>
          <w:szCs w:val="20"/>
        </w:rPr>
        <w:t xml:space="preserve">This table reports </w:t>
      </w:r>
      <w:r>
        <w:rPr>
          <w:rFonts w:ascii="Times New Roman" w:hAnsi="Times New Roman" w:cs="Times New Roman"/>
          <w:sz w:val="20"/>
          <w:szCs w:val="20"/>
        </w:rPr>
        <w:t>the value</w:t>
      </w:r>
      <w:r w:rsidRPr="003410DE">
        <w:rPr>
          <w:rFonts w:ascii="Times New Roman" w:hAnsi="Times New Roman" w:cs="Times New Roman"/>
          <w:sz w:val="20"/>
          <w:szCs w:val="20"/>
        </w:rPr>
        <w:t xml:space="preserve">-weighted </w:t>
      </w:r>
      <w:r>
        <w:rPr>
          <w:rFonts w:ascii="Times New Roman" w:hAnsi="Times New Roman" w:cs="Times New Roman"/>
          <w:sz w:val="20"/>
          <w:szCs w:val="20"/>
        </w:rPr>
        <w:t>average</w:t>
      </w:r>
      <w:r w:rsidRPr="003410DE">
        <w:rPr>
          <w:rFonts w:ascii="Times New Roman" w:hAnsi="Times New Roman" w:cs="Times New Roman"/>
          <w:sz w:val="20"/>
          <w:szCs w:val="20"/>
        </w:rPr>
        <w:t xml:space="preserve"> monthly portfolio returns for portfolios of stocks formed at the end of June from 1975 </w:t>
      </w:r>
      <w:r>
        <w:rPr>
          <w:rFonts w:ascii="Times New Roman" w:hAnsi="Times New Roman" w:cs="Times New Roman"/>
          <w:sz w:val="20"/>
          <w:szCs w:val="20"/>
        </w:rPr>
        <w:t xml:space="preserve">to </w:t>
      </w:r>
      <w:r w:rsidRPr="003410DE">
        <w:rPr>
          <w:rFonts w:ascii="Times New Roman" w:hAnsi="Times New Roman" w:cs="Times New Roman"/>
          <w:sz w:val="20"/>
          <w:szCs w:val="20"/>
        </w:rPr>
        <w:t xml:space="preserve">2005. </w:t>
      </w:r>
      <w:r>
        <w:rPr>
          <w:rFonts w:ascii="Times New Roman" w:hAnsi="Times New Roman" w:cs="Times New Roman"/>
          <w:sz w:val="20"/>
          <w:szCs w:val="20"/>
        </w:rPr>
        <w:t xml:space="preserve">It also </w:t>
      </w:r>
      <w:r w:rsidRPr="003410DE">
        <w:rPr>
          <w:rFonts w:ascii="Times New Roman" w:hAnsi="Times New Roman" w:cs="Times New Roman"/>
          <w:sz w:val="20"/>
          <w:szCs w:val="20"/>
        </w:rPr>
        <w:t>presents</w:t>
      </w:r>
      <w:r>
        <w:rPr>
          <w:rFonts w:ascii="Times New Roman" w:hAnsi="Times New Roman" w:cs="Times New Roman"/>
          <w:sz w:val="20"/>
          <w:szCs w:val="20"/>
        </w:rPr>
        <w:t xml:space="preserve"> the</w:t>
      </w:r>
      <w:r w:rsidRPr="003410DE">
        <w:rPr>
          <w:rFonts w:ascii="Times New Roman" w:hAnsi="Times New Roman" w:cs="Times New Roman"/>
          <w:sz w:val="20"/>
          <w:szCs w:val="20"/>
        </w:rPr>
        <w:t xml:space="preserve"> results </w:t>
      </w:r>
      <w:r>
        <w:rPr>
          <w:rFonts w:ascii="Times New Roman" w:hAnsi="Times New Roman" w:cs="Times New Roman"/>
          <w:sz w:val="20"/>
          <w:szCs w:val="20"/>
        </w:rPr>
        <w:t>of the</w:t>
      </w:r>
      <w:r w:rsidRPr="003410DE">
        <w:rPr>
          <w:rFonts w:ascii="Times New Roman" w:hAnsi="Times New Roman" w:cs="Times New Roman"/>
          <w:sz w:val="20"/>
          <w:szCs w:val="20"/>
        </w:rPr>
        <w:t xml:space="preserve"> two-way independent sorts based on </w:t>
      </w:r>
      <w:r w:rsidRPr="00D5561B">
        <w:rPr>
          <w:rFonts w:ascii="Times New Roman" w:hAnsi="Times New Roman" w:cs="Times New Roman"/>
          <w:i/>
          <w:sz w:val="20"/>
          <w:szCs w:val="20"/>
        </w:rPr>
        <w:t>AdjD</w:t>
      </w:r>
      <w:r w:rsidRPr="0017025B">
        <w:rPr>
          <w:rFonts w:ascii="Times New Roman" w:hAnsi="Times New Roman" w:cs="Times New Roman"/>
          <w:i/>
          <w:sz w:val="20"/>
          <w:szCs w:val="20"/>
        </w:rPr>
        <w:t>ITH</w:t>
      </w:r>
      <w:r w:rsidRPr="003410DE">
        <w:rPr>
          <w:rFonts w:ascii="Times New Roman" w:hAnsi="Times New Roman" w:cs="Times New Roman"/>
          <w:sz w:val="20"/>
          <w:szCs w:val="20"/>
        </w:rPr>
        <w:t xml:space="preserve"> and </w:t>
      </w:r>
      <w:r w:rsidRPr="00D5561B">
        <w:rPr>
          <w:rFonts w:ascii="Times New Roman" w:hAnsi="Times New Roman" w:cs="Times New Roman"/>
          <w:i/>
          <w:sz w:val="20"/>
          <w:szCs w:val="20"/>
        </w:rPr>
        <w:t>AdjDIND</w:t>
      </w:r>
      <w:r w:rsidRPr="003410DE">
        <w:rPr>
          <w:rFonts w:ascii="Times New Roman" w:hAnsi="Times New Roman" w:cs="Times New Roman"/>
          <w:sz w:val="20"/>
          <w:szCs w:val="20"/>
        </w:rPr>
        <w:t xml:space="preserve"> into quintiles. Portfolios are rebalanced annually. Portfolio returns are from the beginning of July of the sorting year </w:t>
      </w:r>
      <w:r>
        <w:rPr>
          <w:rFonts w:ascii="Times New Roman" w:hAnsi="Times New Roman" w:cs="Times New Roman"/>
          <w:sz w:val="20"/>
          <w:szCs w:val="20"/>
        </w:rPr>
        <w:t>to</w:t>
      </w:r>
      <w:r w:rsidRPr="003410DE">
        <w:rPr>
          <w:rFonts w:ascii="Times New Roman" w:hAnsi="Times New Roman" w:cs="Times New Roman"/>
          <w:sz w:val="20"/>
          <w:szCs w:val="20"/>
        </w:rPr>
        <w:t xml:space="preserve"> the end of June of the following year. </w:t>
      </w:r>
      <w:r>
        <w:rPr>
          <w:rFonts w:ascii="Times New Roman" w:hAnsi="Times New Roman" w:cs="Times New Roman"/>
          <w:sz w:val="20"/>
          <w:szCs w:val="20"/>
        </w:rPr>
        <w:t>S</w:t>
      </w:r>
      <w:r w:rsidRPr="003410DE">
        <w:rPr>
          <w:rFonts w:ascii="Times New Roman" w:hAnsi="Times New Roman" w:cs="Times New Roman"/>
          <w:sz w:val="20"/>
          <w:szCs w:val="20"/>
        </w:rPr>
        <w:t>tatistics on “high-low</w:t>
      </w:r>
      <w:r>
        <w:rPr>
          <w:rFonts w:ascii="Times New Roman" w:hAnsi="Times New Roman" w:cs="Times New Roman"/>
          <w:sz w:val="20"/>
          <w:szCs w:val="20"/>
        </w:rPr>
        <w:t>,</w:t>
      </w:r>
      <w:r w:rsidRPr="003410DE">
        <w:rPr>
          <w:rFonts w:ascii="Times New Roman" w:hAnsi="Times New Roman" w:cs="Times New Roman"/>
          <w:sz w:val="20"/>
          <w:szCs w:val="20"/>
        </w:rPr>
        <w:t>” “small-large</w:t>
      </w:r>
      <w:r>
        <w:rPr>
          <w:rFonts w:ascii="Times New Roman" w:hAnsi="Times New Roman" w:cs="Times New Roman"/>
          <w:sz w:val="20"/>
          <w:szCs w:val="20"/>
        </w:rPr>
        <w:t>,</w:t>
      </w:r>
      <w:r w:rsidRPr="003410DE">
        <w:rPr>
          <w:rFonts w:ascii="Times New Roman" w:hAnsi="Times New Roman" w:cs="Times New Roman"/>
          <w:sz w:val="20"/>
          <w:szCs w:val="20"/>
        </w:rPr>
        <w:t>” and “buy-sell” difference portfolio returns</w:t>
      </w:r>
      <w:r>
        <w:rPr>
          <w:rFonts w:ascii="Times New Roman" w:hAnsi="Times New Roman" w:cs="Times New Roman"/>
          <w:sz w:val="20"/>
          <w:szCs w:val="20"/>
        </w:rPr>
        <w:t xml:space="preserve"> are also reported</w:t>
      </w:r>
      <w:r w:rsidRPr="003410DE">
        <w:rPr>
          <w:rFonts w:ascii="Times New Roman" w:hAnsi="Times New Roman" w:cs="Times New Roman"/>
          <w:sz w:val="20"/>
          <w:szCs w:val="20"/>
        </w:rPr>
        <w:t>. For each month, we take the difference in portfolio return for the extreme quintiles</w:t>
      </w:r>
      <w:r w:rsidRPr="00896DE3">
        <w:rPr>
          <w:rFonts w:ascii="Times New Roman" w:hAnsi="Times New Roman" w:cs="Times New Roman"/>
          <w:sz w:val="20"/>
          <w:szCs w:val="20"/>
        </w:rPr>
        <w:t xml:space="preserve">. </w:t>
      </w:r>
      <w:r w:rsidRPr="00514B74">
        <w:rPr>
          <w:rFonts w:ascii="Times New Roman" w:hAnsi="Times New Roman" w:cs="Times New Roman"/>
          <w:i/>
          <w:iCs/>
          <w:kern w:val="0"/>
          <w:sz w:val="22"/>
          <w:szCs w:val="22"/>
        </w:rPr>
        <w:t>t</w:t>
      </w:r>
      <w:r w:rsidRPr="00514B74">
        <w:rPr>
          <w:rFonts w:ascii="Times New Roman" w:hAnsi="Times New Roman" w:cs="Times New Roman"/>
          <w:kern w:val="0"/>
          <w:sz w:val="22"/>
          <w:szCs w:val="22"/>
        </w:rPr>
        <w:t xml:space="preserve">-statistics are shown in parentheses. </w:t>
      </w:r>
      <w:r w:rsidRPr="00896DE3">
        <w:rPr>
          <w:rFonts w:ascii="Times New Roman" w:hAnsi="Times New Roman" w:cs="Times New Roman"/>
          <w:sz w:val="20"/>
          <w:szCs w:val="20"/>
        </w:rPr>
        <w:t xml:space="preserve">The asterisks </w:t>
      </w:r>
      <w:r w:rsidRPr="00896DE3">
        <w:rPr>
          <w:rFonts w:ascii="Times New Roman" w:hAnsi="Times New Roman" w:cs="Times New Roman"/>
          <w:color w:val="000000"/>
          <w:sz w:val="20"/>
          <w:szCs w:val="20"/>
          <w:vertAlign w:val="superscript"/>
        </w:rPr>
        <w:t>*</w:t>
      </w:r>
      <w:r w:rsidRPr="00896DE3">
        <w:rPr>
          <w:rFonts w:ascii="Times New Roman" w:hAnsi="Times New Roman" w:cs="Times New Roman"/>
          <w:color w:val="000000"/>
          <w:sz w:val="20"/>
          <w:szCs w:val="20"/>
        </w:rPr>
        <w:t xml:space="preserve">, </w:t>
      </w:r>
      <w:r w:rsidRPr="00896DE3">
        <w:rPr>
          <w:rFonts w:ascii="Times New Roman" w:hAnsi="Times New Roman" w:cs="Times New Roman"/>
          <w:color w:val="000000"/>
          <w:sz w:val="20"/>
          <w:szCs w:val="20"/>
          <w:vertAlign w:val="superscript"/>
        </w:rPr>
        <w:t>**</w:t>
      </w:r>
      <w:r w:rsidRPr="00896DE3">
        <w:rPr>
          <w:rFonts w:ascii="Times New Roman" w:hAnsi="Times New Roman" w:cs="Times New Roman"/>
          <w:color w:val="000000"/>
          <w:sz w:val="20"/>
          <w:szCs w:val="20"/>
        </w:rPr>
        <w:t xml:space="preserve">, and </w:t>
      </w:r>
      <w:r w:rsidRPr="00896DE3">
        <w:rPr>
          <w:rFonts w:ascii="Times New Roman" w:hAnsi="Times New Roman" w:cs="Times New Roman"/>
          <w:color w:val="000000"/>
          <w:sz w:val="20"/>
          <w:szCs w:val="20"/>
          <w:vertAlign w:val="superscript"/>
        </w:rPr>
        <w:t>***</w:t>
      </w:r>
      <w:r w:rsidRPr="00896DE3">
        <w:rPr>
          <w:rFonts w:ascii="Times New Roman" w:hAnsi="Times New Roman" w:cs="Times New Roman"/>
          <w:color w:val="000000"/>
          <w:sz w:val="20"/>
          <w:szCs w:val="20"/>
        </w:rPr>
        <w:t xml:space="preserve"> indicate significance at the 10%, 5%, and 1% levels, respectively.</w:t>
      </w:r>
    </w:p>
    <w:p w:rsidR="00523FB7" w:rsidRPr="003410DE" w:rsidRDefault="00523FB7" w:rsidP="00DC2003">
      <w:pPr>
        <w:autoSpaceDE w:val="0"/>
        <w:autoSpaceDN w:val="0"/>
        <w:adjustRightInd w:val="0"/>
        <w:snapToGrid w:val="0"/>
        <w:jc w:val="both"/>
        <w:rPr>
          <w:rFonts w:ascii="Times New Roman" w:hAnsi="Times New Roman" w:cs="Times New Roman"/>
          <w:sz w:val="20"/>
          <w:szCs w:val="20"/>
        </w:rPr>
      </w:pPr>
    </w:p>
    <w:tbl>
      <w:tblPr>
        <w:tblW w:w="5000" w:type="pct"/>
        <w:jc w:val="center"/>
        <w:tblCellMar>
          <w:left w:w="0" w:type="dxa"/>
          <w:right w:w="0" w:type="dxa"/>
        </w:tblCellMar>
        <w:tblLook w:val="00A0"/>
      </w:tblPr>
      <w:tblGrid>
        <w:gridCol w:w="1504"/>
        <w:gridCol w:w="1505"/>
        <w:gridCol w:w="1505"/>
        <w:gridCol w:w="1595"/>
        <w:gridCol w:w="1416"/>
        <w:gridCol w:w="445"/>
        <w:gridCol w:w="1505"/>
        <w:gridCol w:w="1505"/>
        <w:gridCol w:w="1651"/>
        <w:gridCol w:w="1357"/>
      </w:tblGrid>
      <w:tr w:rsidR="00523FB7" w:rsidRPr="00740526" w:rsidTr="00747FB4">
        <w:trPr>
          <w:trHeight w:val="315"/>
          <w:jc w:val="center"/>
        </w:trPr>
        <w:tc>
          <w:tcPr>
            <w:tcW w:w="5000" w:type="pct"/>
            <w:gridSpan w:val="10"/>
            <w:tcBorders>
              <w:top w:val="double" w:sz="4" w:space="0" w:color="auto"/>
              <w:left w:val="nil"/>
              <w:bottom w:val="single" w:sz="4" w:space="0" w:color="auto"/>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b/>
                <w:color w:val="000000"/>
              </w:rPr>
            </w:pPr>
            <w:r w:rsidRPr="00740526">
              <w:rPr>
                <w:rFonts w:ascii="Times New Roman" w:hAnsi="Times New Roman" w:cs="Times New Roman"/>
                <w:b/>
                <w:color w:val="000000"/>
                <w:sz w:val="22"/>
                <w:szCs w:val="22"/>
              </w:rPr>
              <w:t xml:space="preserve">Panel A: </w:t>
            </w:r>
            <w:r w:rsidRPr="00740526">
              <w:rPr>
                <w:rFonts w:ascii="Times New Roman" w:hAnsi="Times New Roman" w:cs="Times New Roman"/>
                <w:b/>
                <w:i/>
                <w:color w:val="000000"/>
                <w:sz w:val="22"/>
                <w:szCs w:val="22"/>
              </w:rPr>
              <w:t>BE/ME</w:t>
            </w:r>
            <w:r w:rsidRPr="00740526">
              <w:rPr>
                <w:rFonts w:ascii="Times New Roman" w:hAnsi="Times New Roman" w:cs="Times New Roman"/>
                <w:b/>
                <w:color w:val="000000"/>
                <w:sz w:val="22"/>
                <w:szCs w:val="22"/>
              </w:rPr>
              <w:t xml:space="preserve"> and Size premiums conditional on changes in institutional ownership (</w:t>
            </w:r>
            <w:r w:rsidRPr="00740526">
              <w:rPr>
                <w:rFonts w:ascii="Times New Roman" w:hAnsi="Times New Roman" w:cs="Times New Roman"/>
                <w:b/>
                <w:i/>
                <w:color w:val="000000"/>
                <w:sz w:val="22"/>
                <w:szCs w:val="22"/>
              </w:rPr>
              <w:t>AdjDITH</w:t>
            </w:r>
            <w:r w:rsidRPr="00740526">
              <w:rPr>
                <w:rFonts w:ascii="Times New Roman" w:hAnsi="Times New Roman" w:cs="Times New Roman"/>
                <w:b/>
                <w:color w:val="000000"/>
                <w:sz w:val="22"/>
                <w:szCs w:val="22"/>
              </w:rPr>
              <w:t>)</w:t>
            </w:r>
          </w:p>
        </w:tc>
      </w:tr>
      <w:tr w:rsidR="00523FB7" w:rsidRPr="00740526" w:rsidTr="00747FB4">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2152" w:type="pct"/>
            <w:gridSpan w:val="4"/>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i/>
                <w:sz w:val="22"/>
                <w:szCs w:val="22"/>
              </w:rPr>
              <w:t>BE/ME</w:t>
            </w:r>
            <w:r w:rsidRPr="00740526">
              <w:rPr>
                <w:rFonts w:ascii="Times New Roman" w:hAnsi="Times New Roman" w:cs="Times New Roman"/>
                <w:color w:val="000000"/>
                <w:sz w:val="22"/>
                <w:szCs w:val="22"/>
              </w:rPr>
              <w:t xml:space="preserve"> premium</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2151" w:type="pct"/>
            <w:gridSpan w:val="4"/>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Size premium</w:t>
            </w:r>
          </w:p>
        </w:tc>
      </w:tr>
      <w:tr w:rsidR="00523FB7" w:rsidRPr="00740526" w:rsidTr="00747FB4">
        <w:trPr>
          <w:trHeight w:val="330"/>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0"/>
                <w:szCs w:val="20"/>
              </w:rPr>
              <w:t>Equal Weighted</w:t>
            </w:r>
          </w:p>
        </w:tc>
        <w:tc>
          <w:tcPr>
            <w:tcW w:w="538"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t-stat</w:t>
            </w:r>
          </w:p>
        </w:tc>
        <w:tc>
          <w:tcPr>
            <w:tcW w:w="570" w:type="pct"/>
            <w:tcBorders>
              <w:top w:val="nil"/>
              <w:left w:val="nil"/>
              <w:bottom w:val="single" w:sz="8" w:space="0" w:color="auto"/>
              <w:right w:val="nil"/>
            </w:tcBorders>
            <w:tcMar>
              <w:top w:w="15" w:type="dxa"/>
              <w:left w:w="15" w:type="dxa"/>
              <w:bottom w:w="0" w:type="dxa"/>
              <w:right w:w="225" w:type="dxa"/>
            </w:tcMar>
            <w:vAlign w:val="bottom"/>
          </w:tcPr>
          <w:p w:rsidR="00523FB7" w:rsidRPr="00740526" w:rsidRDefault="00523FB7" w:rsidP="003132FD">
            <w:pPr>
              <w:snapToGrid w:val="0"/>
              <w:ind w:rightChars="-74" w:right="-178" w:firstLineChars="100" w:firstLine="200"/>
              <w:jc w:val="right"/>
              <w:rPr>
                <w:rFonts w:ascii="Times New Roman" w:hAnsi="Times New Roman" w:cs="Times New Roman"/>
                <w:color w:val="000000"/>
              </w:rPr>
            </w:pPr>
            <w:r w:rsidRPr="00740526">
              <w:rPr>
                <w:rFonts w:ascii="Times New Roman" w:hAnsi="Times New Roman" w:cs="Times New Roman"/>
                <w:color w:val="000000"/>
                <w:sz w:val="20"/>
                <w:szCs w:val="20"/>
              </w:rPr>
              <w:t>Value Weighted</w:t>
            </w:r>
          </w:p>
        </w:tc>
        <w:tc>
          <w:tcPr>
            <w:tcW w:w="506"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t-stat</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0"/>
                <w:szCs w:val="20"/>
              </w:rPr>
              <w:t>Equal Weighted</w:t>
            </w:r>
          </w:p>
        </w:tc>
        <w:tc>
          <w:tcPr>
            <w:tcW w:w="538"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t-stat</w:t>
            </w:r>
          </w:p>
        </w:tc>
        <w:tc>
          <w:tcPr>
            <w:tcW w:w="590" w:type="pct"/>
            <w:tcBorders>
              <w:top w:val="nil"/>
              <w:left w:val="nil"/>
              <w:bottom w:val="single" w:sz="8" w:space="0" w:color="auto"/>
              <w:right w:val="nil"/>
            </w:tcBorders>
            <w:tcMar>
              <w:top w:w="15" w:type="dxa"/>
              <w:left w:w="15" w:type="dxa"/>
              <w:bottom w:w="0" w:type="dxa"/>
              <w:right w:w="225" w:type="dxa"/>
            </w:tcMar>
            <w:vAlign w:val="bottom"/>
          </w:tcPr>
          <w:p w:rsidR="00523FB7" w:rsidRPr="00740526" w:rsidRDefault="00523FB7" w:rsidP="003132FD">
            <w:pPr>
              <w:snapToGrid w:val="0"/>
              <w:ind w:rightChars="-74" w:right="-178" w:firstLineChars="100" w:firstLine="200"/>
              <w:jc w:val="right"/>
              <w:rPr>
                <w:rFonts w:ascii="Times New Roman" w:hAnsi="Times New Roman" w:cs="Times New Roman"/>
                <w:color w:val="000000"/>
              </w:rPr>
            </w:pPr>
            <w:r w:rsidRPr="00740526">
              <w:rPr>
                <w:rFonts w:ascii="Times New Roman" w:hAnsi="Times New Roman" w:cs="Times New Roman"/>
                <w:color w:val="000000"/>
                <w:sz w:val="20"/>
                <w:szCs w:val="20"/>
              </w:rPr>
              <w:t>Value Weighted</w:t>
            </w:r>
          </w:p>
        </w:tc>
        <w:tc>
          <w:tcPr>
            <w:tcW w:w="485"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t-stat</w:t>
            </w:r>
          </w:p>
        </w:tc>
      </w:tr>
      <w:tr w:rsidR="00523FB7" w:rsidRPr="00740526" w:rsidTr="00747FB4">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7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0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9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485"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r>
      <w:tr w:rsidR="00523FB7" w:rsidRPr="00740526" w:rsidTr="00747FB4">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both"/>
              <w:rPr>
                <w:rFonts w:ascii="Times New Roman" w:hAnsi="Times New Roman" w:cs="Times New Roman"/>
                <w:color w:val="000000"/>
              </w:rPr>
            </w:pPr>
            <w:r w:rsidRPr="00740526">
              <w:rPr>
                <w:rFonts w:ascii="Times New Roman" w:hAnsi="Times New Roman" w:cs="Times New Roman"/>
                <w:color w:val="000000"/>
                <w:sz w:val="22"/>
                <w:szCs w:val="22"/>
              </w:rPr>
              <w:t>Large Sell</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0.46</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(2.44)</w:t>
            </w:r>
          </w:p>
        </w:tc>
        <w:tc>
          <w:tcPr>
            <w:tcW w:w="57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0.60</w:t>
            </w:r>
            <w:r w:rsidRPr="00740526">
              <w:rPr>
                <w:rFonts w:ascii="Times New Roman" w:hAnsi="Times New Roman" w:cs="Times New Roman"/>
                <w:color w:val="000000"/>
                <w:sz w:val="22"/>
                <w:szCs w:val="22"/>
                <w:vertAlign w:val="superscript"/>
              </w:rPr>
              <w:t>**</w:t>
            </w:r>
          </w:p>
        </w:tc>
        <w:tc>
          <w:tcPr>
            <w:tcW w:w="506"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(2.07)</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0.73</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(2.50)</w:t>
            </w:r>
          </w:p>
        </w:tc>
        <w:tc>
          <w:tcPr>
            <w:tcW w:w="59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0.68</w:t>
            </w:r>
            <w:r w:rsidRPr="00740526">
              <w:rPr>
                <w:rFonts w:ascii="Times New Roman" w:hAnsi="Times New Roman" w:cs="Times New Roman"/>
                <w:color w:val="000000"/>
                <w:sz w:val="22"/>
                <w:szCs w:val="22"/>
                <w:vertAlign w:val="superscript"/>
              </w:rPr>
              <w:t>**</w:t>
            </w:r>
          </w:p>
        </w:tc>
        <w:tc>
          <w:tcPr>
            <w:tcW w:w="485"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(2.08)</w:t>
            </w:r>
          </w:p>
        </w:tc>
      </w:tr>
      <w:tr w:rsidR="00523FB7" w:rsidRPr="00740526" w:rsidTr="00747FB4">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both"/>
              <w:rPr>
                <w:rFonts w:ascii="Times New Roman" w:hAnsi="Times New Roman" w:cs="Times New Roman"/>
                <w:color w:val="000000"/>
              </w:rPr>
            </w:pPr>
            <w:r w:rsidRPr="00740526">
              <w:rPr>
                <w:rFonts w:ascii="Times New Roman" w:hAnsi="Times New Roman" w:cs="Times New Roman"/>
                <w:color w:val="000000"/>
                <w:sz w:val="22"/>
                <w:szCs w:val="22"/>
              </w:rPr>
              <w:t>P02</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0.06</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(0.20)</w:t>
            </w:r>
          </w:p>
        </w:tc>
        <w:tc>
          <w:tcPr>
            <w:tcW w:w="57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-0.02</w:t>
            </w:r>
          </w:p>
        </w:tc>
        <w:tc>
          <w:tcPr>
            <w:tcW w:w="506"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(-0.04)</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0.64</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(2.21)</w:t>
            </w:r>
          </w:p>
        </w:tc>
        <w:tc>
          <w:tcPr>
            <w:tcW w:w="59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0.50</w:t>
            </w:r>
          </w:p>
        </w:tc>
        <w:tc>
          <w:tcPr>
            <w:tcW w:w="485"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(1.47)</w:t>
            </w:r>
          </w:p>
        </w:tc>
      </w:tr>
      <w:tr w:rsidR="00523FB7" w:rsidRPr="00740526" w:rsidTr="00747FB4">
        <w:trPr>
          <w:trHeight w:val="315"/>
          <w:jc w:val="center"/>
        </w:trPr>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both"/>
              <w:rPr>
                <w:rFonts w:ascii="Times New Roman" w:hAnsi="Times New Roman" w:cs="Times New Roman"/>
                <w:color w:val="000000"/>
              </w:rPr>
            </w:pPr>
            <w:r w:rsidRPr="00740526">
              <w:rPr>
                <w:rFonts w:ascii="Times New Roman" w:hAnsi="Times New Roman" w:cs="Times New Roman"/>
                <w:color w:val="000000"/>
                <w:sz w:val="22"/>
                <w:szCs w:val="22"/>
              </w:rPr>
              <w:t>P03</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0.33</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(1.99)</w:t>
            </w:r>
          </w:p>
        </w:tc>
        <w:tc>
          <w:tcPr>
            <w:tcW w:w="57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0.49</w:t>
            </w:r>
            <w:r w:rsidRPr="00740526">
              <w:rPr>
                <w:rFonts w:ascii="Times New Roman" w:hAnsi="Times New Roman" w:cs="Times New Roman"/>
                <w:color w:val="000000"/>
                <w:sz w:val="22"/>
                <w:szCs w:val="22"/>
                <w:vertAlign w:val="superscript"/>
              </w:rPr>
              <w:t>*</w:t>
            </w:r>
          </w:p>
        </w:tc>
        <w:tc>
          <w:tcPr>
            <w:tcW w:w="506"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(1.95)</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0.55</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(1.93)</w:t>
            </w:r>
          </w:p>
        </w:tc>
        <w:tc>
          <w:tcPr>
            <w:tcW w:w="59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0.54</w:t>
            </w:r>
            <w:r w:rsidRPr="00740526">
              <w:rPr>
                <w:rFonts w:ascii="Times New Roman" w:hAnsi="Times New Roman" w:cs="Times New Roman"/>
                <w:color w:val="000000"/>
                <w:sz w:val="22"/>
                <w:szCs w:val="22"/>
                <w:vertAlign w:val="superscript"/>
              </w:rPr>
              <w:t>*</w:t>
            </w:r>
          </w:p>
        </w:tc>
        <w:tc>
          <w:tcPr>
            <w:tcW w:w="485"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(1.74)</w:t>
            </w:r>
          </w:p>
        </w:tc>
      </w:tr>
      <w:tr w:rsidR="00523FB7" w:rsidRPr="00740526" w:rsidTr="00747FB4">
        <w:trPr>
          <w:trHeight w:val="315"/>
          <w:jc w:val="center"/>
        </w:trPr>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both"/>
              <w:rPr>
                <w:rFonts w:ascii="Times New Roman" w:hAnsi="Times New Roman" w:cs="Times New Roman"/>
                <w:color w:val="000000"/>
              </w:rPr>
            </w:pPr>
            <w:r w:rsidRPr="00740526">
              <w:rPr>
                <w:rFonts w:ascii="Times New Roman" w:hAnsi="Times New Roman" w:cs="Times New Roman"/>
                <w:color w:val="000000"/>
                <w:sz w:val="22"/>
                <w:szCs w:val="22"/>
              </w:rPr>
              <w:t>P04</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0.62</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(3.50)</w:t>
            </w:r>
          </w:p>
        </w:tc>
        <w:tc>
          <w:tcPr>
            <w:tcW w:w="57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0.60</w:t>
            </w:r>
            <w:r w:rsidRPr="00740526">
              <w:rPr>
                <w:rFonts w:ascii="Times New Roman" w:hAnsi="Times New Roman" w:cs="Times New Roman"/>
                <w:color w:val="000000"/>
                <w:sz w:val="22"/>
                <w:szCs w:val="22"/>
                <w:vertAlign w:val="superscript"/>
              </w:rPr>
              <w:t>**</w:t>
            </w:r>
          </w:p>
        </w:tc>
        <w:tc>
          <w:tcPr>
            <w:tcW w:w="506"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(2.27)</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0.56</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(2.02)</w:t>
            </w:r>
          </w:p>
        </w:tc>
        <w:tc>
          <w:tcPr>
            <w:tcW w:w="59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0.54</w:t>
            </w:r>
            <w:r w:rsidRPr="00740526">
              <w:rPr>
                <w:rFonts w:ascii="Times New Roman" w:hAnsi="Times New Roman" w:cs="Times New Roman"/>
                <w:color w:val="000000"/>
                <w:sz w:val="22"/>
                <w:szCs w:val="22"/>
                <w:vertAlign w:val="superscript"/>
              </w:rPr>
              <w:t>*</w:t>
            </w:r>
          </w:p>
        </w:tc>
        <w:tc>
          <w:tcPr>
            <w:tcW w:w="485"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(1.79)</w:t>
            </w:r>
          </w:p>
        </w:tc>
      </w:tr>
      <w:tr w:rsidR="00523FB7" w:rsidRPr="00740526" w:rsidTr="00747FB4">
        <w:trPr>
          <w:trHeight w:val="315"/>
          <w:jc w:val="center"/>
        </w:trPr>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both"/>
              <w:rPr>
                <w:rFonts w:ascii="Times New Roman" w:hAnsi="Times New Roman" w:cs="Times New Roman"/>
                <w:color w:val="000000"/>
              </w:rPr>
            </w:pPr>
            <w:r w:rsidRPr="00740526">
              <w:rPr>
                <w:rFonts w:ascii="Times New Roman" w:hAnsi="Times New Roman" w:cs="Times New Roman"/>
                <w:color w:val="000000"/>
                <w:sz w:val="22"/>
                <w:szCs w:val="22"/>
              </w:rPr>
              <w:t>Large Buy</w:t>
            </w: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0.24</w:t>
            </w: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(1.28)</w:t>
            </w:r>
          </w:p>
        </w:tc>
        <w:tc>
          <w:tcPr>
            <w:tcW w:w="570"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0.34</w:t>
            </w:r>
          </w:p>
        </w:tc>
        <w:tc>
          <w:tcPr>
            <w:tcW w:w="506"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(1.14)</w:t>
            </w:r>
          </w:p>
        </w:tc>
        <w:tc>
          <w:tcPr>
            <w:tcW w:w="159"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0.67</w:t>
            </w:r>
            <w:r w:rsidRPr="00740526">
              <w:rPr>
                <w:rFonts w:ascii="Times New Roman" w:hAnsi="Times New Roman" w:cs="Times New Roman"/>
                <w:color w:val="000000"/>
                <w:sz w:val="22"/>
                <w:szCs w:val="22"/>
                <w:vertAlign w:val="superscript"/>
              </w:rPr>
              <w:t>***</w:t>
            </w: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(2.54)</w:t>
            </w:r>
          </w:p>
        </w:tc>
        <w:tc>
          <w:tcPr>
            <w:tcW w:w="590"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0.60</w:t>
            </w:r>
            <w:r w:rsidRPr="00740526">
              <w:rPr>
                <w:rFonts w:ascii="Times New Roman" w:hAnsi="Times New Roman" w:cs="Times New Roman"/>
                <w:color w:val="000000"/>
                <w:sz w:val="22"/>
                <w:szCs w:val="22"/>
                <w:vertAlign w:val="superscript"/>
              </w:rPr>
              <w:t>**</w:t>
            </w:r>
          </w:p>
        </w:tc>
        <w:tc>
          <w:tcPr>
            <w:tcW w:w="485"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(2.11)</w:t>
            </w:r>
          </w:p>
        </w:tc>
      </w:tr>
      <w:tr w:rsidR="00523FB7" w:rsidRPr="00740526" w:rsidTr="00747FB4">
        <w:trPr>
          <w:trHeight w:val="315"/>
          <w:jc w:val="center"/>
        </w:trPr>
        <w:tc>
          <w:tcPr>
            <w:tcW w:w="5000" w:type="pct"/>
            <w:gridSpan w:val="10"/>
            <w:tcBorders>
              <w:top w:val="double" w:sz="4" w:space="0" w:color="auto"/>
              <w:left w:val="nil"/>
              <w:bottom w:val="single" w:sz="4" w:space="0" w:color="auto"/>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b/>
                <w:color w:val="000000"/>
              </w:rPr>
            </w:pPr>
            <w:r w:rsidRPr="00740526">
              <w:rPr>
                <w:rFonts w:ascii="Times New Roman" w:hAnsi="Times New Roman" w:cs="Times New Roman"/>
                <w:b/>
                <w:color w:val="000000"/>
                <w:sz w:val="22"/>
                <w:szCs w:val="22"/>
              </w:rPr>
              <w:t xml:space="preserve">Panel B: </w:t>
            </w:r>
            <w:r w:rsidRPr="00740526">
              <w:rPr>
                <w:rFonts w:ascii="Times New Roman" w:hAnsi="Times New Roman" w:cs="Times New Roman"/>
                <w:b/>
                <w:i/>
                <w:color w:val="000000"/>
                <w:sz w:val="22"/>
                <w:szCs w:val="22"/>
              </w:rPr>
              <w:t>BE/ME</w:t>
            </w:r>
            <w:r w:rsidRPr="00740526">
              <w:rPr>
                <w:rFonts w:ascii="Times New Roman" w:hAnsi="Times New Roman" w:cs="Times New Roman"/>
                <w:b/>
                <w:color w:val="000000"/>
                <w:sz w:val="22"/>
                <w:szCs w:val="22"/>
              </w:rPr>
              <w:t xml:space="preserve"> and Size spreads conditional on changes in individual ownership (</w:t>
            </w:r>
            <w:r w:rsidRPr="00740526">
              <w:rPr>
                <w:rFonts w:ascii="Times New Roman" w:hAnsi="Times New Roman" w:cs="Times New Roman"/>
                <w:b/>
                <w:i/>
                <w:color w:val="000000"/>
                <w:sz w:val="22"/>
                <w:szCs w:val="22"/>
              </w:rPr>
              <w:t>AdjDIND</w:t>
            </w:r>
            <w:r w:rsidRPr="00740526">
              <w:rPr>
                <w:rFonts w:ascii="Times New Roman" w:hAnsi="Times New Roman" w:cs="Times New Roman"/>
                <w:b/>
                <w:color w:val="000000"/>
                <w:sz w:val="22"/>
                <w:szCs w:val="22"/>
              </w:rPr>
              <w:t>)</w:t>
            </w:r>
          </w:p>
        </w:tc>
      </w:tr>
      <w:tr w:rsidR="00523FB7" w:rsidRPr="00740526" w:rsidTr="00747FB4">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2152" w:type="pct"/>
            <w:gridSpan w:val="4"/>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i/>
                <w:sz w:val="22"/>
                <w:szCs w:val="22"/>
              </w:rPr>
              <w:t>BE/ME</w:t>
            </w:r>
            <w:r w:rsidRPr="00740526">
              <w:rPr>
                <w:rFonts w:ascii="Times New Roman" w:hAnsi="Times New Roman" w:cs="Times New Roman"/>
                <w:color w:val="000000"/>
                <w:sz w:val="22"/>
                <w:szCs w:val="22"/>
              </w:rPr>
              <w:t xml:space="preserve"> premium</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2151" w:type="pct"/>
            <w:gridSpan w:val="4"/>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center"/>
              <w:rPr>
                <w:rFonts w:ascii="Times New Roman" w:hAnsi="Times New Roman" w:cs="Times New Roman"/>
                <w:color w:val="000000"/>
              </w:rPr>
            </w:pPr>
            <w:r w:rsidRPr="00740526">
              <w:rPr>
                <w:rFonts w:ascii="Times New Roman" w:hAnsi="Times New Roman" w:cs="Times New Roman"/>
                <w:color w:val="000000"/>
                <w:sz w:val="22"/>
                <w:szCs w:val="22"/>
              </w:rPr>
              <w:t>Size premium</w:t>
            </w:r>
          </w:p>
        </w:tc>
      </w:tr>
      <w:tr w:rsidR="00523FB7" w:rsidRPr="00740526" w:rsidTr="00747FB4">
        <w:trPr>
          <w:trHeight w:val="330"/>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0"/>
                <w:szCs w:val="20"/>
              </w:rPr>
              <w:t>Equal Weighted</w:t>
            </w:r>
          </w:p>
        </w:tc>
        <w:tc>
          <w:tcPr>
            <w:tcW w:w="538"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t-stat</w:t>
            </w:r>
          </w:p>
        </w:tc>
        <w:tc>
          <w:tcPr>
            <w:tcW w:w="570" w:type="pct"/>
            <w:tcBorders>
              <w:top w:val="nil"/>
              <w:left w:val="nil"/>
              <w:bottom w:val="single" w:sz="8" w:space="0" w:color="auto"/>
              <w:right w:val="nil"/>
            </w:tcBorders>
            <w:tcMar>
              <w:top w:w="15" w:type="dxa"/>
              <w:left w:w="15" w:type="dxa"/>
              <w:bottom w:w="0" w:type="dxa"/>
              <w:right w:w="225" w:type="dxa"/>
            </w:tcMar>
            <w:vAlign w:val="bottom"/>
          </w:tcPr>
          <w:p w:rsidR="00523FB7" w:rsidRPr="00740526" w:rsidRDefault="00523FB7" w:rsidP="003132FD">
            <w:pPr>
              <w:snapToGrid w:val="0"/>
              <w:ind w:rightChars="-74" w:right="-178" w:firstLineChars="100" w:firstLine="200"/>
              <w:jc w:val="right"/>
              <w:rPr>
                <w:rFonts w:ascii="Times New Roman" w:hAnsi="Times New Roman" w:cs="Times New Roman"/>
                <w:color w:val="000000"/>
              </w:rPr>
            </w:pPr>
            <w:r w:rsidRPr="00740526">
              <w:rPr>
                <w:rFonts w:ascii="Times New Roman" w:hAnsi="Times New Roman" w:cs="Times New Roman"/>
                <w:color w:val="000000"/>
                <w:sz w:val="20"/>
                <w:szCs w:val="20"/>
              </w:rPr>
              <w:t>Value Weighted</w:t>
            </w:r>
          </w:p>
        </w:tc>
        <w:tc>
          <w:tcPr>
            <w:tcW w:w="506"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t-stat</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0"/>
                <w:szCs w:val="20"/>
              </w:rPr>
              <w:t>Equal Weighted</w:t>
            </w:r>
          </w:p>
        </w:tc>
        <w:tc>
          <w:tcPr>
            <w:tcW w:w="538"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t-stat</w:t>
            </w:r>
          </w:p>
        </w:tc>
        <w:tc>
          <w:tcPr>
            <w:tcW w:w="590" w:type="pct"/>
            <w:tcBorders>
              <w:top w:val="nil"/>
              <w:left w:val="nil"/>
              <w:bottom w:val="single" w:sz="8" w:space="0" w:color="auto"/>
              <w:right w:val="nil"/>
            </w:tcBorders>
            <w:tcMar>
              <w:top w:w="15" w:type="dxa"/>
              <w:left w:w="15" w:type="dxa"/>
              <w:bottom w:w="0" w:type="dxa"/>
              <w:right w:w="225" w:type="dxa"/>
            </w:tcMar>
            <w:vAlign w:val="bottom"/>
          </w:tcPr>
          <w:p w:rsidR="00523FB7" w:rsidRPr="00740526" w:rsidRDefault="00523FB7" w:rsidP="003132FD">
            <w:pPr>
              <w:snapToGrid w:val="0"/>
              <w:ind w:rightChars="-74" w:right="-178" w:firstLineChars="100" w:firstLine="200"/>
              <w:jc w:val="right"/>
              <w:rPr>
                <w:rFonts w:ascii="Times New Roman" w:hAnsi="Times New Roman" w:cs="Times New Roman"/>
                <w:color w:val="000000"/>
              </w:rPr>
            </w:pPr>
            <w:r w:rsidRPr="00740526">
              <w:rPr>
                <w:rFonts w:ascii="Times New Roman" w:hAnsi="Times New Roman" w:cs="Times New Roman"/>
                <w:color w:val="000000"/>
                <w:sz w:val="20"/>
                <w:szCs w:val="20"/>
              </w:rPr>
              <w:t>Value Weighted</w:t>
            </w:r>
          </w:p>
        </w:tc>
        <w:tc>
          <w:tcPr>
            <w:tcW w:w="485" w:type="pct"/>
            <w:tcBorders>
              <w:top w:val="nil"/>
              <w:left w:val="nil"/>
              <w:bottom w:val="single" w:sz="8" w:space="0" w:color="auto"/>
              <w:right w:val="nil"/>
            </w:tcBorders>
            <w:tcMar>
              <w:top w:w="15" w:type="dxa"/>
              <w:left w:w="15" w:type="dxa"/>
              <w:bottom w:w="0" w:type="dxa"/>
              <w:right w:w="15" w:type="dxa"/>
            </w:tcMar>
            <w:vAlign w:val="bottom"/>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t-stat</w:t>
            </w:r>
          </w:p>
        </w:tc>
      </w:tr>
      <w:tr w:rsidR="00523FB7" w:rsidRPr="00740526" w:rsidTr="00747FB4">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7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06"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590"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c>
          <w:tcPr>
            <w:tcW w:w="485"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rPr>
                <w:rFonts w:ascii="Times New Roman" w:hAnsi="Times New Roman" w:cs="Times New Roman"/>
                <w:color w:val="000000"/>
              </w:rPr>
            </w:pPr>
          </w:p>
        </w:tc>
      </w:tr>
      <w:tr w:rsidR="00523FB7" w:rsidRPr="00740526" w:rsidTr="00747FB4">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both"/>
              <w:rPr>
                <w:rFonts w:ascii="Times New Roman" w:hAnsi="Times New Roman" w:cs="Times New Roman"/>
                <w:color w:val="000000"/>
              </w:rPr>
            </w:pPr>
            <w:r w:rsidRPr="00740526">
              <w:rPr>
                <w:rFonts w:ascii="Times New Roman" w:hAnsi="Times New Roman" w:cs="Times New Roman"/>
                <w:color w:val="000000"/>
                <w:sz w:val="22"/>
                <w:szCs w:val="22"/>
              </w:rPr>
              <w:t>Large Sell</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0.43</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(2.19)</w:t>
            </w:r>
          </w:p>
        </w:tc>
        <w:tc>
          <w:tcPr>
            <w:tcW w:w="57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0.53</w:t>
            </w:r>
            <w:r w:rsidRPr="00740526">
              <w:rPr>
                <w:rFonts w:ascii="Times New Roman" w:hAnsi="Times New Roman" w:cs="Times New Roman"/>
                <w:color w:val="000000"/>
                <w:sz w:val="22"/>
                <w:szCs w:val="22"/>
                <w:vertAlign w:val="superscript"/>
              </w:rPr>
              <w:t>*</w:t>
            </w:r>
          </w:p>
        </w:tc>
        <w:tc>
          <w:tcPr>
            <w:tcW w:w="506"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(1.93)</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0.52</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(1.85)</w:t>
            </w:r>
          </w:p>
        </w:tc>
        <w:tc>
          <w:tcPr>
            <w:tcW w:w="59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0.43</w:t>
            </w:r>
          </w:p>
        </w:tc>
        <w:tc>
          <w:tcPr>
            <w:tcW w:w="485"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(1.47)</w:t>
            </w:r>
          </w:p>
        </w:tc>
      </w:tr>
      <w:tr w:rsidR="00523FB7" w:rsidRPr="00740526" w:rsidTr="00747FB4">
        <w:trPr>
          <w:trHeight w:val="315"/>
          <w:jc w:val="center"/>
        </w:trPr>
        <w:tc>
          <w:tcPr>
            <w:tcW w:w="538"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both"/>
              <w:rPr>
                <w:rFonts w:ascii="Times New Roman" w:hAnsi="Times New Roman" w:cs="Times New Roman"/>
                <w:color w:val="000000"/>
              </w:rPr>
            </w:pPr>
            <w:r w:rsidRPr="00740526">
              <w:rPr>
                <w:rFonts w:ascii="Times New Roman" w:hAnsi="Times New Roman" w:cs="Times New Roman"/>
                <w:color w:val="000000"/>
                <w:sz w:val="22"/>
                <w:szCs w:val="22"/>
              </w:rPr>
              <w:t>P02</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0.35</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(1.91)</w:t>
            </w:r>
          </w:p>
        </w:tc>
        <w:tc>
          <w:tcPr>
            <w:tcW w:w="57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0.42</w:t>
            </w:r>
          </w:p>
        </w:tc>
        <w:tc>
          <w:tcPr>
            <w:tcW w:w="506"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(1.47)</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0.52</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(1.78)</w:t>
            </w:r>
          </w:p>
        </w:tc>
        <w:tc>
          <w:tcPr>
            <w:tcW w:w="59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0.46</w:t>
            </w:r>
          </w:p>
        </w:tc>
        <w:tc>
          <w:tcPr>
            <w:tcW w:w="485"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(1.45)</w:t>
            </w:r>
          </w:p>
        </w:tc>
      </w:tr>
      <w:tr w:rsidR="00523FB7" w:rsidRPr="00740526" w:rsidTr="00747FB4">
        <w:trPr>
          <w:trHeight w:val="315"/>
          <w:jc w:val="center"/>
        </w:trPr>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both"/>
              <w:rPr>
                <w:rFonts w:ascii="Times New Roman" w:hAnsi="Times New Roman" w:cs="Times New Roman"/>
                <w:color w:val="000000"/>
              </w:rPr>
            </w:pPr>
            <w:r w:rsidRPr="00740526">
              <w:rPr>
                <w:rFonts w:ascii="Times New Roman" w:hAnsi="Times New Roman" w:cs="Times New Roman"/>
                <w:color w:val="000000"/>
                <w:sz w:val="22"/>
                <w:szCs w:val="22"/>
              </w:rPr>
              <w:t>P03</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0.46</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(2.56)</w:t>
            </w:r>
          </w:p>
        </w:tc>
        <w:tc>
          <w:tcPr>
            <w:tcW w:w="57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0.61</w:t>
            </w:r>
            <w:r w:rsidRPr="00740526">
              <w:rPr>
                <w:rFonts w:ascii="Times New Roman" w:hAnsi="Times New Roman" w:cs="Times New Roman"/>
                <w:color w:val="000000"/>
                <w:sz w:val="22"/>
                <w:szCs w:val="22"/>
                <w:vertAlign w:val="superscript"/>
              </w:rPr>
              <w:t>**</w:t>
            </w:r>
          </w:p>
        </w:tc>
        <w:tc>
          <w:tcPr>
            <w:tcW w:w="506"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(2.15)</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0.78</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(2.72)</w:t>
            </w:r>
          </w:p>
        </w:tc>
        <w:tc>
          <w:tcPr>
            <w:tcW w:w="59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0.76</w:t>
            </w:r>
            <w:r w:rsidRPr="00740526">
              <w:rPr>
                <w:rFonts w:ascii="Times New Roman" w:hAnsi="Times New Roman" w:cs="Times New Roman"/>
                <w:color w:val="000000"/>
                <w:sz w:val="22"/>
                <w:szCs w:val="22"/>
                <w:vertAlign w:val="superscript"/>
              </w:rPr>
              <w:t>**</w:t>
            </w:r>
          </w:p>
        </w:tc>
        <w:tc>
          <w:tcPr>
            <w:tcW w:w="485"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(2.36)</w:t>
            </w:r>
          </w:p>
        </w:tc>
      </w:tr>
      <w:tr w:rsidR="00523FB7" w:rsidRPr="00740526" w:rsidTr="00747FB4">
        <w:trPr>
          <w:trHeight w:val="315"/>
          <w:jc w:val="center"/>
        </w:trPr>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both"/>
              <w:rPr>
                <w:rFonts w:ascii="Times New Roman" w:hAnsi="Times New Roman" w:cs="Times New Roman"/>
                <w:color w:val="000000"/>
              </w:rPr>
            </w:pPr>
            <w:r w:rsidRPr="00740526">
              <w:rPr>
                <w:rFonts w:ascii="Times New Roman" w:hAnsi="Times New Roman" w:cs="Times New Roman"/>
                <w:color w:val="000000"/>
                <w:sz w:val="22"/>
                <w:szCs w:val="22"/>
              </w:rPr>
              <w:t>P04</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0.48</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(2.91)</w:t>
            </w:r>
          </w:p>
        </w:tc>
        <w:tc>
          <w:tcPr>
            <w:tcW w:w="57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0.68</w:t>
            </w:r>
            <w:r w:rsidRPr="00740526">
              <w:rPr>
                <w:rFonts w:ascii="Times New Roman" w:hAnsi="Times New Roman" w:cs="Times New Roman"/>
                <w:color w:val="000000"/>
                <w:sz w:val="22"/>
                <w:szCs w:val="22"/>
                <w:vertAlign w:val="superscript"/>
              </w:rPr>
              <w:t>***</w:t>
            </w:r>
          </w:p>
        </w:tc>
        <w:tc>
          <w:tcPr>
            <w:tcW w:w="506"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(2.67)</w:t>
            </w:r>
          </w:p>
        </w:tc>
        <w:tc>
          <w:tcPr>
            <w:tcW w:w="159" w:type="pct"/>
            <w:tcBorders>
              <w:top w:val="nil"/>
              <w:left w:val="nil"/>
              <w:bottom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0.70</w:t>
            </w:r>
            <w:r w:rsidRPr="00740526">
              <w:rPr>
                <w:rFonts w:ascii="Times New Roman" w:hAnsi="Times New Roman" w:cs="Times New Roman"/>
                <w:color w:val="000000"/>
                <w:sz w:val="22"/>
                <w:szCs w:val="22"/>
                <w:vertAlign w:val="superscript"/>
              </w:rPr>
              <w:t>**</w:t>
            </w:r>
          </w:p>
        </w:tc>
        <w:tc>
          <w:tcPr>
            <w:tcW w:w="538"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(2.52)</w:t>
            </w:r>
          </w:p>
        </w:tc>
        <w:tc>
          <w:tcPr>
            <w:tcW w:w="590"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0.66</w:t>
            </w:r>
            <w:r w:rsidRPr="00740526">
              <w:rPr>
                <w:rFonts w:ascii="Times New Roman" w:hAnsi="Times New Roman" w:cs="Times New Roman"/>
                <w:color w:val="000000"/>
                <w:sz w:val="22"/>
                <w:szCs w:val="22"/>
                <w:vertAlign w:val="superscript"/>
              </w:rPr>
              <w:t>**</w:t>
            </w:r>
          </w:p>
        </w:tc>
        <w:tc>
          <w:tcPr>
            <w:tcW w:w="485" w:type="pct"/>
            <w:tcBorders>
              <w:top w:val="nil"/>
              <w:left w:val="nil"/>
              <w:bottom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(2.19)</w:t>
            </w:r>
          </w:p>
        </w:tc>
      </w:tr>
      <w:tr w:rsidR="00523FB7" w:rsidRPr="00740526" w:rsidTr="00747FB4">
        <w:trPr>
          <w:trHeight w:val="315"/>
          <w:jc w:val="center"/>
        </w:trPr>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both"/>
              <w:rPr>
                <w:rFonts w:ascii="Times New Roman" w:hAnsi="Times New Roman" w:cs="Times New Roman"/>
                <w:color w:val="000000"/>
              </w:rPr>
            </w:pPr>
            <w:r w:rsidRPr="00740526">
              <w:rPr>
                <w:rFonts w:ascii="Times New Roman" w:hAnsi="Times New Roman" w:cs="Times New Roman"/>
                <w:color w:val="000000"/>
                <w:sz w:val="22"/>
                <w:szCs w:val="22"/>
              </w:rPr>
              <w:t>Large Buy</w:t>
            </w: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0.41</w:t>
            </w:r>
            <w:r w:rsidRPr="00740526">
              <w:rPr>
                <w:rFonts w:ascii="Times New Roman" w:hAnsi="Times New Roman" w:cs="Times New Roman"/>
                <w:color w:val="000000"/>
                <w:sz w:val="22"/>
                <w:szCs w:val="22"/>
                <w:vertAlign w:val="superscript"/>
              </w:rPr>
              <w:t>**</w:t>
            </w: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(2.21)</w:t>
            </w:r>
          </w:p>
        </w:tc>
        <w:tc>
          <w:tcPr>
            <w:tcW w:w="570"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0.39</w:t>
            </w:r>
          </w:p>
        </w:tc>
        <w:tc>
          <w:tcPr>
            <w:tcW w:w="506"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(1.53)</w:t>
            </w:r>
          </w:p>
        </w:tc>
        <w:tc>
          <w:tcPr>
            <w:tcW w:w="159" w:type="pct"/>
            <w:tcBorders>
              <w:top w:val="nil"/>
              <w:left w:val="nil"/>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0.47</w:t>
            </w:r>
            <w:r w:rsidRPr="00740526">
              <w:rPr>
                <w:rFonts w:ascii="Times New Roman" w:hAnsi="Times New Roman" w:cs="Times New Roman"/>
                <w:color w:val="000000"/>
                <w:sz w:val="22"/>
                <w:szCs w:val="22"/>
                <w:vertAlign w:val="superscript"/>
              </w:rPr>
              <w:t>*</w:t>
            </w:r>
          </w:p>
        </w:tc>
        <w:tc>
          <w:tcPr>
            <w:tcW w:w="538"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(1.69)</w:t>
            </w:r>
          </w:p>
        </w:tc>
        <w:tc>
          <w:tcPr>
            <w:tcW w:w="590"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0.42</w:t>
            </w:r>
          </w:p>
        </w:tc>
        <w:tc>
          <w:tcPr>
            <w:tcW w:w="485" w:type="pct"/>
            <w:tcBorders>
              <w:top w:val="nil"/>
              <w:left w:val="nil"/>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(1.45)</w:t>
            </w:r>
          </w:p>
        </w:tc>
      </w:tr>
      <w:tr w:rsidR="00523FB7" w:rsidRPr="00740526" w:rsidTr="00747FB4">
        <w:trPr>
          <w:trHeight w:val="315"/>
          <w:jc w:val="center"/>
        </w:trPr>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both"/>
              <w:rPr>
                <w:rFonts w:ascii="Times New Roman" w:hAnsi="Times New Roman" w:cs="Times New Roman"/>
                <w:color w:val="000000"/>
              </w:rPr>
            </w:pPr>
          </w:p>
        </w:tc>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7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06"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159" w:type="pct"/>
            <w:tcBorders>
              <w:top w:val="nil"/>
              <w:left w:val="nil"/>
              <w:bottom w:val="double" w:sz="4" w:space="0" w:color="auto"/>
              <w:right w:val="nil"/>
            </w:tcBorders>
            <w:noWrap/>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38"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590"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c>
          <w:tcPr>
            <w:tcW w:w="485" w:type="pct"/>
            <w:tcBorders>
              <w:top w:val="nil"/>
              <w:left w:val="nil"/>
              <w:bottom w:val="double" w:sz="4" w:space="0" w:color="auto"/>
              <w:right w:val="nil"/>
            </w:tcBorders>
            <w:tcMar>
              <w:top w:w="15" w:type="dxa"/>
              <w:left w:w="15" w:type="dxa"/>
              <w:bottom w:w="0" w:type="dxa"/>
              <w:right w:w="15" w:type="dxa"/>
            </w:tcMar>
            <w:vAlign w:val="center"/>
          </w:tcPr>
          <w:p w:rsidR="00523FB7" w:rsidRPr="00740526" w:rsidRDefault="00523FB7" w:rsidP="00747FB4">
            <w:pPr>
              <w:snapToGrid w:val="0"/>
              <w:jc w:val="right"/>
              <w:rPr>
                <w:rFonts w:ascii="Times New Roman" w:hAnsi="Times New Roman" w:cs="Times New Roman"/>
                <w:color w:val="000000"/>
              </w:rPr>
            </w:pPr>
          </w:p>
        </w:tc>
      </w:tr>
    </w:tbl>
    <w:p w:rsidR="00523FB7" w:rsidRPr="003410DE" w:rsidRDefault="00523FB7" w:rsidP="00DC2003">
      <w:pPr>
        <w:snapToGrid w:val="0"/>
        <w:spacing w:line="360" w:lineRule="auto"/>
        <w:rPr>
          <w:rFonts w:ascii="Times New Roman" w:hAnsi="Times New Roman" w:cs="Times New Roman"/>
          <w:b/>
          <w:bCs/>
          <w:kern w:val="0"/>
        </w:rPr>
      </w:pPr>
      <w:r w:rsidRPr="003410DE">
        <w:rPr>
          <w:rFonts w:ascii="Times New Roman" w:hAnsi="Times New Roman" w:cs="Times New Roman"/>
          <w:b/>
          <w:bCs/>
          <w:kern w:val="0"/>
        </w:rPr>
        <w:t xml:space="preserve">Table 10. Average returns of </w:t>
      </w:r>
      <w:r w:rsidRPr="00D5561B">
        <w:rPr>
          <w:rFonts w:ascii="Times New Roman" w:hAnsi="Times New Roman" w:cs="Times New Roman"/>
          <w:b/>
          <w:bCs/>
          <w:i/>
          <w:kern w:val="0"/>
        </w:rPr>
        <w:t>BE/ME</w:t>
      </w:r>
      <w:r w:rsidRPr="003410DE">
        <w:rPr>
          <w:rFonts w:ascii="Times New Roman" w:hAnsi="Times New Roman" w:cs="Times New Roman"/>
          <w:b/>
          <w:bCs/>
          <w:kern w:val="0"/>
        </w:rPr>
        <w:t xml:space="preserve"> decile portfolios</w:t>
      </w:r>
    </w:p>
    <w:p w:rsidR="00523FB7" w:rsidRPr="00D06437" w:rsidRDefault="00523FB7" w:rsidP="00DC2003">
      <w:pPr>
        <w:snapToGrid w:val="0"/>
        <w:jc w:val="both"/>
        <w:rPr>
          <w:rFonts w:ascii="Times New Roman" w:hAnsi="Times New Roman" w:cs="Times New Roman"/>
          <w:color w:val="000000"/>
          <w:sz w:val="22"/>
          <w:szCs w:val="22"/>
        </w:rPr>
      </w:pPr>
      <w:r w:rsidRPr="00D06437">
        <w:rPr>
          <w:rFonts w:ascii="Times New Roman" w:hAnsi="Times New Roman" w:cs="Times New Roman"/>
          <w:sz w:val="22"/>
          <w:szCs w:val="22"/>
        </w:rPr>
        <w:t xml:space="preserve">For each year from 1975 to 2005, all selected stocks in the sample are sorted into </w:t>
      </w:r>
      <w:r>
        <w:rPr>
          <w:rFonts w:ascii="Times New Roman" w:hAnsi="Times New Roman" w:cs="Times New Roman"/>
          <w:sz w:val="22"/>
          <w:szCs w:val="22"/>
        </w:rPr>
        <w:t>10</w:t>
      </w:r>
      <w:r w:rsidRPr="00D06437">
        <w:rPr>
          <w:rFonts w:ascii="Times New Roman" w:hAnsi="Times New Roman" w:cs="Times New Roman"/>
          <w:sz w:val="22"/>
          <w:szCs w:val="22"/>
        </w:rPr>
        <w:t xml:space="preserve"> portfolios based on </w:t>
      </w:r>
      <w:r w:rsidRPr="00D06437">
        <w:rPr>
          <w:rFonts w:ascii="Times New Roman" w:hAnsi="Times New Roman" w:cs="Times New Roman"/>
          <w:i/>
          <w:sz w:val="22"/>
          <w:szCs w:val="22"/>
        </w:rPr>
        <w:t>BE/ME</w:t>
      </w:r>
      <w:r w:rsidRPr="00D06437">
        <w:rPr>
          <w:rFonts w:ascii="Times New Roman" w:hAnsi="Times New Roman" w:cs="Times New Roman"/>
          <w:sz w:val="22"/>
          <w:szCs w:val="22"/>
        </w:rPr>
        <w:t>. EW (VW) return is calculated as</w:t>
      </w:r>
      <w:r>
        <w:rPr>
          <w:rFonts w:ascii="Times New Roman" w:hAnsi="Times New Roman" w:cs="Times New Roman"/>
          <w:sz w:val="22"/>
          <w:szCs w:val="22"/>
        </w:rPr>
        <w:t xml:space="preserve"> an</w:t>
      </w:r>
      <w:r w:rsidRPr="00D06437">
        <w:rPr>
          <w:rFonts w:ascii="Times New Roman" w:hAnsi="Times New Roman" w:cs="Times New Roman"/>
          <w:kern w:val="0"/>
          <w:sz w:val="22"/>
          <w:szCs w:val="22"/>
        </w:rPr>
        <w:t xml:space="preserve"> equal- (value-) weighted portfolio based on the adjusted changes in institutional ownership. </w:t>
      </w:r>
      <w:r>
        <w:rPr>
          <w:rFonts w:ascii="Times New Roman" w:hAnsi="Times New Roman" w:cs="Times New Roman"/>
          <w:kern w:val="0"/>
          <w:sz w:val="22"/>
          <w:szCs w:val="22"/>
        </w:rPr>
        <w:t>“</w:t>
      </w:r>
      <w:r w:rsidRPr="00D06437">
        <w:rPr>
          <w:rFonts w:ascii="Times New Roman" w:hAnsi="Times New Roman" w:cs="Times New Roman"/>
          <w:i/>
          <w:sz w:val="22"/>
          <w:szCs w:val="22"/>
        </w:rPr>
        <w:t>AdjDITH</w:t>
      </w:r>
      <w:r w:rsidRPr="00D06437">
        <w:rPr>
          <w:rFonts w:ascii="Times New Roman" w:hAnsi="Times New Roman" w:cs="Times New Roman"/>
          <w:color w:val="000000"/>
          <w:sz w:val="22"/>
          <w:szCs w:val="22"/>
        </w:rPr>
        <w:t>&amp;</w:t>
      </w:r>
      <w:r w:rsidRPr="00D06437">
        <w:rPr>
          <w:rFonts w:ascii="Times New Roman" w:hAnsi="Times New Roman" w:cs="Times New Roman"/>
          <w:i/>
          <w:sz w:val="22"/>
          <w:szCs w:val="22"/>
        </w:rPr>
        <w:t>AdjDIND</w:t>
      </w:r>
      <w:r w:rsidRPr="00D06437">
        <w:rPr>
          <w:rFonts w:ascii="Times New Roman" w:hAnsi="Times New Roman" w:cs="Times New Roman"/>
          <w:color w:val="000000"/>
          <w:sz w:val="22"/>
          <w:szCs w:val="22"/>
        </w:rPr>
        <w:t xml:space="preserve"> adjusted”</w:t>
      </w:r>
      <w:r w:rsidRPr="00D06437">
        <w:rPr>
          <w:rFonts w:ascii="Times New Roman" w:hAnsi="Times New Roman" w:cs="Times New Roman"/>
          <w:sz w:val="22"/>
          <w:szCs w:val="22"/>
        </w:rPr>
        <w:t xml:space="preserve"> denotes </w:t>
      </w:r>
      <w:r w:rsidRPr="00D06437">
        <w:rPr>
          <w:rFonts w:ascii="Times New Roman" w:hAnsi="Times New Roman" w:cs="Times New Roman"/>
          <w:i/>
          <w:sz w:val="22"/>
          <w:szCs w:val="22"/>
        </w:rPr>
        <w:t>AdjDITH</w:t>
      </w:r>
      <w:r w:rsidRPr="00D06437">
        <w:rPr>
          <w:rFonts w:ascii="Times New Roman" w:hAnsi="Times New Roman" w:cs="Times New Roman"/>
          <w:sz w:val="22"/>
          <w:szCs w:val="22"/>
        </w:rPr>
        <w:t xml:space="preserve"> and </w:t>
      </w:r>
      <w:r w:rsidRPr="00D06437">
        <w:rPr>
          <w:rFonts w:ascii="Times New Roman" w:hAnsi="Times New Roman" w:cs="Times New Roman"/>
          <w:i/>
          <w:sz w:val="22"/>
          <w:szCs w:val="22"/>
        </w:rPr>
        <w:t>AdjDIND</w:t>
      </w:r>
      <w:r w:rsidRPr="00D06437">
        <w:rPr>
          <w:rFonts w:ascii="Times New Roman" w:hAnsi="Times New Roman" w:cs="Times New Roman"/>
          <w:sz w:val="22"/>
          <w:szCs w:val="22"/>
        </w:rPr>
        <w:t xml:space="preserve"> benchmark</w:t>
      </w:r>
      <w:r>
        <w:rPr>
          <w:rFonts w:ascii="Times New Roman" w:hAnsi="Times New Roman" w:cs="Times New Roman"/>
          <w:sz w:val="22"/>
          <w:szCs w:val="22"/>
        </w:rPr>
        <w:t>-</w:t>
      </w:r>
      <w:r w:rsidRPr="00D06437">
        <w:rPr>
          <w:rFonts w:ascii="Times New Roman" w:hAnsi="Times New Roman" w:cs="Times New Roman"/>
          <w:sz w:val="22"/>
          <w:szCs w:val="22"/>
        </w:rPr>
        <w:t>adjusted returns. The rest of</w:t>
      </w:r>
      <w:r>
        <w:rPr>
          <w:rFonts w:ascii="Times New Roman" w:hAnsi="Times New Roman" w:cs="Times New Roman"/>
          <w:sz w:val="22"/>
          <w:szCs w:val="22"/>
        </w:rPr>
        <w:t xml:space="preserve"> the</w:t>
      </w:r>
      <w:r w:rsidRPr="00D06437">
        <w:rPr>
          <w:rFonts w:ascii="Times New Roman" w:hAnsi="Times New Roman" w:cs="Times New Roman"/>
          <w:sz w:val="22"/>
          <w:szCs w:val="22"/>
        </w:rPr>
        <w:t xml:space="preserve"> methods are defined similarly. </w:t>
      </w:r>
      <w:r w:rsidRPr="00514B74">
        <w:rPr>
          <w:rFonts w:ascii="Times New Roman" w:hAnsi="Times New Roman" w:cs="Times New Roman"/>
          <w:i/>
          <w:iCs/>
          <w:kern w:val="0"/>
          <w:sz w:val="22"/>
          <w:szCs w:val="22"/>
        </w:rPr>
        <w:t>t</w:t>
      </w:r>
      <w:r w:rsidRPr="00514B74">
        <w:rPr>
          <w:rFonts w:ascii="Times New Roman" w:hAnsi="Times New Roman" w:cs="Times New Roman"/>
          <w:kern w:val="0"/>
          <w:sz w:val="22"/>
          <w:szCs w:val="22"/>
        </w:rPr>
        <w:t xml:space="preserve">-statistics are shown in parentheses. </w:t>
      </w:r>
      <w:r w:rsidRPr="00D06437">
        <w:rPr>
          <w:rFonts w:ascii="Times New Roman" w:hAnsi="Times New Roman" w:cs="Times New Roman"/>
          <w:sz w:val="22"/>
          <w:szCs w:val="22"/>
        </w:rPr>
        <w:t xml:space="preserve">The asterisks </w:t>
      </w:r>
      <w:r w:rsidRPr="00D06437">
        <w:rPr>
          <w:rFonts w:ascii="Times New Roman" w:hAnsi="Times New Roman" w:cs="Times New Roman"/>
          <w:color w:val="000000"/>
          <w:sz w:val="22"/>
          <w:szCs w:val="22"/>
          <w:vertAlign w:val="superscript"/>
        </w:rPr>
        <w:t>*</w:t>
      </w:r>
      <w:r w:rsidRPr="00D06437">
        <w:rPr>
          <w:rFonts w:ascii="Times New Roman" w:hAnsi="Times New Roman" w:cs="Times New Roman"/>
          <w:color w:val="000000"/>
          <w:sz w:val="22"/>
          <w:szCs w:val="22"/>
        </w:rPr>
        <w:t xml:space="preserve">, </w:t>
      </w:r>
      <w:r w:rsidRPr="00D06437">
        <w:rPr>
          <w:rFonts w:ascii="Times New Roman" w:hAnsi="Times New Roman" w:cs="Times New Roman"/>
          <w:color w:val="000000"/>
          <w:sz w:val="22"/>
          <w:szCs w:val="22"/>
          <w:vertAlign w:val="superscript"/>
        </w:rPr>
        <w:t>**</w:t>
      </w:r>
      <w:r w:rsidRPr="00D06437">
        <w:rPr>
          <w:rFonts w:ascii="Times New Roman" w:hAnsi="Times New Roman" w:cs="Times New Roman"/>
          <w:color w:val="000000"/>
          <w:sz w:val="22"/>
          <w:szCs w:val="22"/>
        </w:rPr>
        <w:t xml:space="preserve">, and </w:t>
      </w:r>
      <w:r w:rsidRPr="00D06437">
        <w:rPr>
          <w:rFonts w:ascii="Times New Roman" w:hAnsi="Times New Roman" w:cs="Times New Roman"/>
          <w:color w:val="000000"/>
          <w:sz w:val="22"/>
          <w:szCs w:val="22"/>
          <w:vertAlign w:val="superscript"/>
        </w:rPr>
        <w:t>***</w:t>
      </w:r>
      <w:r w:rsidRPr="00D06437">
        <w:rPr>
          <w:rFonts w:ascii="Times New Roman" w:hAnsi="Times New Roman" w:cs="Times New Roman"/>
          <w:color w:val="000000"/>
          <w:sz w:val="22"/>
          <w:szCs w:val="22"/>
        </w:rPr>
        <w:t xml:space="preserve"> indicate significance at the </w:t>
      </w:r>
      <w:r w:rsidRPr="003410DE">
        <w:rPr>
          <w:rFonts w:ascii="Times New Roman" w:hAnsi="Times New Roman" w:cs="Times New Roman"/>
          <w:color w:val="000000"/>
          <w:sz w:val="22"/>
          <w:szCs w:val="22"/>
        </w:rPr>
        <w:t>10</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5</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and 1</w:t>
      </w:r>
      <w:r>
        <w:rPr>
          <w:rFonts w:ascii="Times New Roman" w:hAnsi="Times New Roman" w:cs="Times New Roman"/>
          <w:color w:val="000000"/>
          <w:sz w:val="22"/>
          <w:szCs w:val="22"/>
        </w:rPr>
        <w:t>%</w:t>
      </w:r>
      <w:r w:rsidRPr="00D06437">
        <w:rPr>
          <w:rFonts w:ascii="Times New Roman" w:hAnsi="Times New Roman" w:cs="Times New Roman"/>
          <w:color w:val="000000"/>
          <w:sz w:val="22"/>
          <w:szCs w:val="22"/>
        </w:rPr>
        <w:t xml:space="preserve"> levels, respectively.</w:t>
      </w:r>
    </w:p>
    <w:p w:rsidR="00523FB7" w:rsidRPr="00D06437" w:rsidRDefault="00523FB7" w:rsidP="00DC2003">
      <w:pPr>
        <w:snapToGrid w:val="0"/>
        <w:jc w:val="both"/>
        <w:rPr>
          <w:rFonts w:ascii="Times New Roman" w:hAnsi="Times New Roman" w:cs="Times New Roman"/>
          <w:sz w:val="22"/>
          <w:szCs w:val="22"/>
        </w:rPr>
      </w:pPr>
    </w:p>
    <w:tbl>
      <w:tblPr>
        <w:tblW w:w="13477" w:type="dxa"/>
        <w:tblInd w:w="2" w:type="dxa"/>
        <w:tblCellMar>
          <w:left w:w="0" w:type="dxa"/>
          <w:right w:w="0" w:type="dxa"/>
        </w:tblCellMar>
        <w:tblLook w:val="00A0"/>
      </w:tblPr>
      <w:tblGrid>
        <w:gridCol w:w="2691"/>
        <w:gridCol w:w="1020"/>
        <w:gridCol w:w="1100"/>
        <w:gridCol w:w="1000"/>
        <w:gridCol w:w="940"/>
        <w:gridCol w:w="880"/>
        <w:gridCol w:w="940"/>
        <w:gridCol w:w="960"/>
        <w:gridCol w:w="960"/>
        <w:gridCol w:w="920"/>
        <w:gridCol w:w="880"/>
        <w:gridCol w:w="1355"/>
      </w:tblGrid>
      <w:tr w:rsidR="00523FB7" w:rsidRPr="00740526" w:rsidTr="00747FB4">
        <w:trPr>
          <w:trHeight w:val="300"/>
        </w:trPr>
        <w:tc>
          <w:tcPr>
            <w:tcW w:w="2522"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102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Low</w:t>
            </w:r>
          </w:p>
        </w:tc>
        <w:tc>
          <w:tcPr>
            <w:tcW w:w="110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P02</w:t>
            </w:r>
          </w:p>
        </w:tc>
        <w:tc>
          <w:tcPr>
            <w:tcW w:w="100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P03</w:t>
            </w:r>
          </w:p>
        </w:tc>
        <w:tc>
          <w:tcPr>
            <w:tcW w:w="94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P04</w:t>
            </w:r>
          </w:p>
        </w:tc>
        <w:tc>
          <w:tcPr>
            <w:tcW w:w="88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P05</w:t>
            </w:r>
          </w:p>
        </w:tc>
        <w:tc>
          <w:tcPr>
            <w:tcW w:w="94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P06</w:t>
            </w:r>
          </w:p>
        </w:tc>
        <w:tc>
          <w:tcPr>
            <w:tcW w:w="96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P07</w:t>
            </w:r>
          </w:p>
        </w:tc>
        <w:tc>
          <w:tcPr>
            <w:tcW w:w="96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P08</w:t>
            </w:r>
          </w:p>
        </w:tc>
        <w:tc>
          <w:tcPr>
            <w:tcW w:w="92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P09</w:t>
            </w:r>
          </w:p>
        </w:tc>
        <w:tc>
          <w:tcPr>
            <w:tcW w:w="88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High</w:t>
            </w:r>
          </w:p>
        </w:tc>
        <w:tc>
          <w:tcPr>
            <w:tcW w:w="1355"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High-Low</w:t>
            </w:r>
          </w:p>
        </w:tc>
      </w:tr>
      <w:tr w:rsidR="00523FB7" w:rsidRPr="00740526" w:rsidTr="00747FB4">
        <w:trPr>
          <w:trHeight w:val="300"/>
        </w:trPr>
        <w:tc>
          <w:tcPr>
            <w:tcW w:w="2522" w:type="dxa"/>
            <w:tcBorders>
              <w:top w:val="single" w:sz="4" w:space="0" w:color="auto"/>
              <w:left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b/>
                <w:color w:val="000000"/>
              </w:rPr>
            </w:pPr>
            <w:r w:rsidRPr="00740526">
              <w:rPr>
                <w:rFonts w:ascii="Times New Roman" w:hAnsi="Times New Roman" w:cs="Times New Roman"/>
                <w:b/>
                <w:color w:val="000000"/>
                <w:sz w:val="22"/>
                <w:szCs w:val="22"/>
              </w:rPr>
              <w:t>Average returns</w:t>
            </w:r>
          </w:p>
        </w:tc>
        <w:tc>
          <w:tcPr>
            <w:tcW w:w="10955" w:type="dxa"/>
            <w:gridSpan w:val="11"/>
            <w:tcBorders>
              <w:top w:val="single" w:sz="4" w:space="0" w:color="auto"/>
              <w:left w:val="nil"/>
              <w:right w:val="nil"/>
            </w:tcBorders>
            <w:noWrap/>
            <w:tcMar>
              <w:top w:w="10" w:type="dxa"/>
              <w:left w:w="10" w:type="dxa"/>
              <w:bottom w:w="0" w:type="dxa"/>
              <w:right w:w="10" w:type="dxa"/>
            </w:tcMar>
            <w:vAlign w:val="center"/>
          </w:tcPr>
          <w:p w:rsidR="00523FB7" w:rsidRPr="00740526" w:rsidRDefault="00523FB7" w:rsidP="00747FB4">
            <w:pPr>
              <w:snapToGrid w:val="0"/>
              <w:jc w:val="center"/>
              <w:rPr>
                <w:rFonts w:ascii="Times New Roman" w:hAnsi="Times New Roman" w:cs="Times New Roman"/>
                <w:b/>
                <w:color w:val="000000"/>
              </w:rPr>
            </w:pPr>
            <w:r w:rsidRPr="00740526">
              <w:rPr>
                <w:rFonts w:ascii="Times New Roman" w:hAnsi="Times New Roman" w:cs="Times New Roman"/>
                <w:b/>
                <w:color w:val="000000"/>
                <w:sz w:val="22"/>
                <w:szCs w:val="22"/>
              </w:rPr>
              <w:t>Panel A: Equal weighted</w:t>
            </w:r>
          </w:p>
        </w:tc>
      </w:tr>
      <w:tr w:rsidR="00523FB7" w:rsidRPr="00740526" w:rsidTr="00747FB4">
        <w:trPr>
          <w:trHeight w:val="300"/>
        </w:trPr>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color w:val="000000"/>
                <w:sz w:val="22"/>
                <w:szCs w:val="22"/>
              </w:rPr>
              <w:t xml:space="preserve">Raw </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0.68</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0.78</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0.84</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0.94</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1.01</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1.08</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1.08</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1.13</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1.24</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1.44</w:t>
            </w:r>
          </w:p>
        </w:tc>
        <w:tc>
          <w:tcPr>
            <w:tcW w:w="1355" w:type="dxa"/>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0.77</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(2.02)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(2.58)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(2.85)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(3.18)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(3.50)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(3.67)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(3.63)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(3.71)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(3.96)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(4.06)</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(3.47)</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AdjDITH</w:t>
            </w:r>
            <w:r w:rsidRPr="00740526">
              <w:rPr>
                <w:rFonts w:ascii="Times New Roman" w:hAnsi="Times New Roman" w:cs="Times New Roman"/>
                <w:color w:val="000000"/>
                <w:sz w:val="22"/>
                <w:szCs w:val="22"/>
              </w:rPr>
              <w:t xml:space="preserve"> Adjusted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0.50</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0.49</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(1.31)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(1.82)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(1.91)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(1.67)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(1.79)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(1.96)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(2.16)</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(2.48)</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AdjDIND</w:t>
            </w:r>
            <w:r w:rsidRPr="00740526">
              <w:rPr>
                <w:rFonts w:ascii="Times New Roman" w:hAnsi="Times New Roman" w:cs="Times New Roman"/>
                <w:color w:val="000000"/>
                <w:sz w:val="22"/>
                <w:szCs w:val="22"/>
              </w:rPr>
              <w:t xml:space="preserve"> Adjusted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0.56</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0.52</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(1.51)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(2.14)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(2.18)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(2.03)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(2.41)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(2.63)</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(2.74)</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AdjDITH</w:t>
            </w:r>
            <w:r w:rsidRPr="00740526">
              <w:rPr>
                <w:rFonts w:ascii="Times New Roman" w:hAnsi="Times New Roman" w:cs="Times New Roman"/>
                <w:color w:val="000000"/>
                <w:sz w:val="22"/>
                <w:szCs w:val="22"/>
              </w:rPr>
              <w:t>&amp;</w:t>
            </w:r>
            <w:r w:rsidRPr="00740526">
              <w:rPr>
                <w:rFonts w:ascii="Times New Roman" w:hAnsi="Times New Roman" w:cs="Times New Roman"/>
                <w:i/>
                <w:color w:val="000000"/>
                <w:sz w:val="22"/>
                <w:szCs w:val="22"/>
              </w:rPr>
              <w:t>AdjDIND</w:t>
            </w:r>
            <w:r w:rsidRPr="00740526">
              <w:rPr>
                <w:rFonts w:ascii="Times New Roman" w:hAnsi="Times New Roman" w:cs="Times New Roman"/>
                <w:color w:val="000000"/>
                <w:sz w:val="22"/>
                <w:szCs w:val="22"/>
              </w:rPr>
              <w:t xml:space="preserve"> Adjusted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0.44</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0.40</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(2.38)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(2.11)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(2.18)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(2.38)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(2.37)</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(2.32)</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b/>
                <w:color w:val="000000"/>
              </w:rPr>
            </w:pPr>
          </w:p>
        </w:tc>
        <w:tc>
          <w:tcPr>
            <w:tcW w:w="10955" w:type="dxa"/>
            <w:gridSpan w:val="11"/>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center"/>
              <w:rPr>
                <w:rFonts w:ascii="Times New Roman" w:hAnsi="Times New Roman" w:cs="Times New Roman"/>
                <w:b/>
                <w:color w:val="000000"/>
              </w:rPr>
            </w:pPr>
            <w:r w:rsidRPr="00740526">
              <w:rPr>
                <w:rFonts w:ascii="Times New Roman" w:hAnsi="Times New Roman" w:cs="Times New Roman"/>
                <w:b/>
                <w:color w:val="000000"/>
                <w:sz w:val="22"/>
                <w:szCs w:val="22"/>
              </w:rPr>
              <w:t>Panel B: Value weighted</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color w:val="000000"/>
                <w:sz w:val="22"/>
                <w:szCs w:val="22"/>
              </w:rPr>
              <w:t xml:space="preserve">Raw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1.38</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1.09</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(2.54)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(2.89)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(3.33)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(3.61)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(3.83)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(3.49)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(3.72)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(3.62)</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(2.96)</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AdjDITH</w:t>
            </w:r>
            <w:r w:rsidRPr="00740526">
              <w:rPr>
                <w:rFonts w:ascii="Times New Roman" w:hAnsi="Times New Roman" w:cs="Times New Roman"/>
                <w:color w:val="000000"/>
                <w:sz w:val="22"/>
                <w:szCs w:val="22"/>
              </w:rPr>
              <w:t xml:space="preserve"> Adjusted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0.52</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0.88</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(-2.83)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(1.54)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(1.99)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(1.82)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(1.74)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(1.60)</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(2.31)</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AdjDIND</w:t>
            </w:r>
            <w:r w:rsidRPr="00740526">
              <w:rPr>
                <w:rFonts w:ascii="Times New Roman" w:hAnsi="Times New Roman" w:cs="Times New Roman"/>
                <w:color w:val="000000"/>
                <w:sz w:val="22"/>
                <w:szCs w:val="22"/>
              </w:rPr>
              <w:t xml:space="preserve"> Adjusted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0.58</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0.94</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(-3.00)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(2.44)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(1.72)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(1.88)</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(2.63)</w:t>
            </w:r>
          </w:p>
        </w:tc>
      </w:tr>
      <w:tr w:rsidR="00523FB7" w:rsidRPr="00740526" w:rsidTr="00747FB4">
        <w:trPr>
          <w:trHeight w:val="300"/>
        </w:trPr>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AdjDITH</w:t>
            </w:r>
            <w:r w:rsidRPr="00740526">
              <w:rPr>
                <w:rFonts w:ascii="Times New Roman" w:hAnsi="Times New Roman" w:cs="Times New Roman"/>
                <w:color w:val="000000"/>
                <w:sz w:val="22"/>
                <w:szCs w:val="22"/>
              </w:rPr>
              <w:t>&amp;</w:t>
            </w:r>
            <w:r w:rsidRPr="00740526">
              <w:rPr>
                <w:rFonts w:ascii="Times New Roman" w:hAnsi="Times New Roman" w:cs="Times New Roman"/>
                <w:i/>
                <w:color w:val="000000"/>
                <w:sz w:val="22"/>
                <w:szCs w:val="22"/>
              </w:rPr>
              <w:t>AdjDIND</w:t>
            </w:r>
            <w:r w:rsidRPr="00740526">
              <w:rPr>
                <w:rFonts w:ascii="Times New Roman" w:hAnsi="Times New Roman" w:cs="Times New Roman"/>
                <w:color w:val="000000"/>
                <w:sz w:val="22"/>
                <w:szCs w:val="22"/>
              </w:rPr>
              <w:t xml:space="preserve"> Adjusted </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-0.29</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-0.04</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-0.05</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-0.03</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0.09</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0.18</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0.21</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0.19</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0.17</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0.43</w:t>
            </w:r>
          </w:p>
        </w:tc>
        <w:tc>
          <w:tcPr>
            <w:tcW w:w="1355" w:type="dxa"/>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0.72</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(-3.37)</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(-0.57)</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(-0.74)</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(-0.50)</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(1.43)</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(2.63)</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(2.64)</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(2.03)</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(1.46)</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(1.51)</w:t>
            </w:r>
          </w:p>
        </w:tc>
        <w:tc>
          <w:tcPr>
            <w:tcW w:w="1355" w:type="dxa"/>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(2.27)</w:t>
            </w:r>
          </w:p>
        </w:tc>
      </w:tr>
    </w:tbl>
    <w:p w:rsidR="00523FB7" w:rsidRPr="003410DE" w:rsidRDefault="00523FB7" w:rsidP="00DC2003">
      <w:pPr>
        <w:snapToGrid w:val="0"/>
        <w:spacing w:line="360" w:lineRule="auto"/>
        <w:rPr>
          <w:rFonts w:ascii="Times New Roman" w:hAnsi="Times New Roman" w:cs="Times New Roman"/>
          <w:b/>
          <w:bCs/>
          <w:kern w:val="0"/>
        </w:rPr>
      </w:pPr>
    </w:p>
    <w:p w:rsidR="00523FB7" w:rsidRPr="003410DE" w:rsidRDefault="00523FB7" w:rsidP="00DC2003">
      <w:pPr>
        <w:snapToGrid w:val="0"/>
        <w:spacing w:line="360" w:lineRule="auto"/>
        <w:rPr>
          <w:rFonts w:ascii="Times New Roman" w:hAnsi="Times New Roman" w:cs="Times New Roman"/>
          <w:b/>
          <w:bCs/>
          <w:kern w:val="0"/>
        </w:rPr>
      </w:pPr>
      <w:r w:rsidRPr="003410DE">
        <w:rPr>
          <w:rFonts w:ascii="Times New Roman" w:hAnsi="Times New Roman" w:cs="Times New Roman"/>
          <w:b/>
          <w:bCs/>
          <w:kern w:val="0"/>
        </w:rPr>
        <w:t>Table 11. Average returns of size decile portfolios</w:t>
      </w:r>
    </w:p>
    <w:p w:rsidR="00523FB7" w:rsidRPr="00D06437" w:rsidRDefault="00523FB7" w:rsidP="00DC2003">
      <w:pPr>
        <w:snapToGrid w:val="0"/>
        <w:jc w:val="both"/>
        <w:rPr>
          <w:rFonts w:ascii="Times New Roman" w:hAnsi="Times New Roman" w:cs="Times New Roman"/>
          <w:color w:val="000000"/>
          <w:sz w:val="22"/>
          <w:szCs w:val="22"/>
        </w:rPr>
      </w:pPr>
      <w:r w:rsidRPr="00D06437">
        <w:rPr>
          <w:rFonts w:ascii="Times New Roman" w:hAnsi="Times New Roman" w:cs="Times New Roman"/>
          <w:sz w:val="22"/>
          <w:szCs w:val="22"/>
        </w:rPr>
        <w:t xml:space="preserve">For each year from 1975 to 2005, all selected stocks in the sample are sorted into </w:t>
      </w:r>
      <w:r>
        <w:rPr>
          <w:rFonts w:ascii="Times New Roman" w:hAnsi="Times New Roman" w:cs="Times New Roman"/>
          <w:sz w:val="22"/>
          <w:szCs w:val="22"/>
        </w:rPr>
        <w:t>10</w:t>
      </w:r>
      <w:r w:rsidRPr="00D06437">
        <w:rPr>
          <w:rFonts w:ascii="Times New Roman" w:hAnsi="Times New Roman" w:cs="Times New Roman"/>
          <w:sz w:val="22"/>
          <w:szCs w:val="22"/>
        </w:rPr>
        <w:t xml:space="preserve"> portfolios based on size. </w:t>
      </w:r>
      <w:r w:rsidRPr="00D06437">
        <w:rPr>
          <w:rFonts w:ascii="Times New Roman" w:hAnsi="Times New Roman" w:cs="Times New Roman"/>
          <w:i/>
          <w:sz w:val="22"/>
          <w:szCs w:val="22"/>
        </w:rPr>
        <w:t>EW</w:t>
      </w:r>
      <w:r w:rsidRPr="00D06437">
        <w:rPr>
          <w:rFonts w:ascii="Times New Roman" w:hAnsi="Times New Roman" w:cs="Times New Roman"/>
          <w:sz w:val="22"/>
          <w:szCs w:val="22"/>
        </w:rPr>
        <w:t xml:space="preserve"> (</w:t>
      </w:r>
      <w:r w:rsidRPr="00D06437">
        <w:rPr>
          <w:rFonts w:ascii="Times New Roman" w:hAnsi="Times New Roman" w:cs="Times New Roman"/>
          <w:i/>
          <w:sz w:val="22"/>
          <w:szCs w:val="22"/>
        </w:rPr>
        <w:t>VW</w:t>
      </w:r>
      <w:r w:rsidRPr="00D06437">
        <w:rPr>
          <w:rFonts w:ascii="Times New Roman" w:hAnsi="Times New Roman" w:cs="Times New Roman"/>
          <w:sz w:val="22"/>
          <w:szCs w:val="22"/>
        </w:rPr>
        <w:t>) return is calculated as</w:t>
      </w:r>
      <w:r>
        <w:rPr>
          <w:rFonts w:ascii="Times New Roman" w:hAnsi="Times New Roman" w:cs="Times New Roman"/>
          <w:sz w:val="22"/>
          <w:szCs w:val="22"/>
        </w:rPr>
        <w:t xml:space="preserve"> an</w:t>
      </w:r>
      <w:r w:rsidRPr="00D06437">
        <w:rPr>
          <w:rFonts w:ascii="Times New Roman" w:hAnsi="Times New Roman" w:cs="Times New Roman"/>
          <w:kern w:val="0"/>
          <w:sz w:val="22"/>
          <w:szCs w:val="22"/>
        </w:rPr>
        <w:t xml:space="preserve"> equal- (value-) weighted portfolio based on the adjusted changes in institutional ownership. </w:t>
      </w:r>
      <w:r w:rsidRPr="00D06437">
        <w:rPr>
          <w:rFonts w:ascii="Times New Roman" w:hAnsi="Times New Roman" w:cs="Times New Roman"/>
          <w:sz w:val="22"/>
          <w:szCs w:val="22"/>
        </w:rPr>
        <w:t>“</w:t>
      </w:r>
      <w:r w:rsidRPr="00D06437">
        <w:rPr>
          <w:rFonts w:ascii="Times New Roman" w:hAnsi="Times New Roman" w:cs="Times New Roman"/>
          <w:i/>
          <w:sz w:val="22"/>
          <w:szCs w:val="22"/>
        </w:rPr>
        <w:t>AdjDITH</w:t>
      </w:r>
      <w:r w:rsidRPr="00D06437">
        <w:rPr>
          <w:rFonts w:ascii="Times New Roman" w:hAnsi="Times New Roman" w:cs="Times New Roman"/>
          <w:color w:val="000000"/>
          <w:sz w:val="22"/>
          <w:szCs w:val="22"/>
        </w:rPr>
        <w:t>&amp;</w:t>
      </w:r>
      <w:r w:rsidRPr="00D06437">
        <w:rPr>
          <w:rFonts w:ascii="Times New Roman" w:hAnsi="Times New Roman" w:cs="Times New Roman"/>
          <w:i/>
          <w:sz w:val="22"/>
          <w:szCs w:val="22"/>
        </w:rPr>
        <w:t>AdjDIND</w:t>
      </w:r>
      <w:r w:rsidRPr="00D06437">
        <w:rPr>
          <w:rFonts w:ascii="Times New Roman" w:hAnsi="Times New Roman" w:cs="Times New Roman"/>
          <w:color w:val="000000"/>
          <w:sz w:val="22"/>
          <w:szCs w:val="22"/>
        </w:rPr>
        <w:t xml:space="preserve"> adjusted”</w:t>
      </w:r>
      <w:r w:rsidRPr="00D06437">
        <w:rPr>
          <w:rFonts w:ascii="Times New Roman" w:hAnsi="Times New Roman" w:cs="Times New Roman"/>
          <w:sz w:val="22"/>
          <w:szCs w:val="22"/>
        </w:rPr>
        <w:t xml:space="preserve"> denotes </w:t>
      </w:r>
      <w:r w:rsidRPr="00D06437">
        <w:rPr>
          <w:rFonts w:ascii="Times New Roman" w:hAnsi="Times New Roman" w:cs="Times New Roman"/>
          <w:i/>
          <w:sz w:val="22"/>
          <w:szCs w:val="22"/>
        </w:rPr>
        <w:t>AdjDITH</w:t>
      </w:r>
      <w:r w:rsidRPr="00D06437">
        <w:rPr>
          <w:rFonts w:ascii="Times New Roman" w:hAnsi="Times New Roman" w:cs="Times New Roman"/>
          <w:sz w:val="22"/>
          <w:szCs w:val="22"/>
        </w:rPr>
        <w:t xml:space="preserve"> and </w:t>
      </w:r>
      <w:r w:rsidRPr="00D06437">
        <w:rPr>
          <w:rFonts w:ascii="Times New Roman" w:hAnsi="Times New Roman" w:cs="Times New Roman"/>
          <w:i/>
          <w:sz w:val="22"/>
          <w:szCs w:val="22"/>
        </w:rPr>
        <w:t>AdjDIND</w:t>
      </w:r>
      <w:r w:rsidRPr="00D06437">
        <w:rPr>
          <w:rFonts w:ascii="Times New Roman" w:hAnsi="Times New Roman" w:cs="Times New Roman"/>
          <w:sz w:val="22"/>
          <w:szCs w:val="22"/>
        </w:rPr>
        <w:t xml:space="preserve"> benchmark</w:t>
      </w:r>
      <w:r>
        <w:rPr>
          <w:rFonts w:ascii="Times New Roman" w:hAnsi="Times New Roman" w:cs="Times New Roman"/>
          <w:sz w:val="22"/>
          <w:szCs w:val="22"/>
        </w:rPr>
        <w:t>-</w:t>
      </w:r>
      <w:r w:rsidRPr="00D06437">
        <w:rPr>
          <w:rFonts w:ascii="Times New Roman" w:hAnsi="Times New Roman" w:cs="Times New Roman"/>
          <w:sz w:val="22"/>
          <w:szCs w:val="22"/>
        </w:rPr>
        <w:t>adjusted returns. The rest of</w:t>
      </w:r>
      <w:r>
        <w:rPr>
          <w:rFonts w:ascii="Times New Roman" w:hAnsi="Times New Roman" w:cs="Times New Roman"/>
          <w:sz w:val="22"/>
          <w:szCs w:val="22"/>
        </w:rPr>
        <w:t xml:space="preserve"> the</w:t>
      </w:r>
      <w:r w:rsidRPr="00D06437">
        <w:rPr>
          <w:rFonts w:ascii="Times New Roman" w:hAnsi="Times New Roman" w:cs="Times New Roman"/>
          <w:sz w:val="22"/>
          <w:szCs w:val="22"/>
        </w:rPr>
        <w:t xml:space="preserve"> methods are defined similarly. </w:t>
      </w:r>
      <w:r w:rsidRPr="00514B74">
        <w:rPr>
          <w:rFonts w:ascii="Times New Roman" w:hAnsi="Times New Roman" w:cs="Times New Roman"/>
          <w:i/>
          <w:iCs/>
          <w:kern w:val="0"/>
          <w:sz w:val="22"/>
          <w:szCs w:val="22"/>
        </w:rPr>
        <w:t>t</w:t>
      </w:r>
      <w:r w:rsidRPr="00514B74">
        <w:rPr>
          <w:rFonts w:ascii="Times New Roman" w:hAnsi="Times New Roman" w:cs="Times New Roman"/>
          <w:kern w:val="0"/>
          <w:sz w:val="22"/>
          <w:szCs w:val="22"/>
        </w:rPr>
        <w:t xml:space="preserve">-statistics are shown in parentheses. </w:t>
      </w:r>
      <w:r w:rsidRPr="00D06437">
        <w:rPr>
          <w:rFonts w:ascii="Times New Roman" w:hAnsi="Times New Roman" w:cs="Times New Roman"/>
          <w:sz w:val="22"/>
          <w:szCs w:val="22"/>
        </w:rPr>
        <w:t xml:space="preserve">The asterisks </w:t>
      </w:r>
      <w:r w:rsidRPr="00D06437">
        <w:rPr>
          <w:rFonts w:ascii="Times New Roman" w:hAnsi="Times New Roman" w:cs="Times New Roman"/>
          <w:color w:val="000000"/>
          <w:sz w:val="22"/>
          <w:szCs w:val="22"/>
          <w:vertAlign w:val="superscript"/>
        </w:rPr>
        <w:t>*</w:t>
      </w:r>
      <w:r w:rsidRPr="00D06437">
        <w:rPr>
          <w:rFonts w:ascii="Times New Roman" w:hAnsi="Times New Roman" w:cs="Times New Roman"/>
          <w:color w:val="000000"/>
          <w:sz w:val="22"/>
          <w:szCs w:val="22"/>
        </w:rPr>
        <w:t xml:space="preserve">, </w:t>
      </w:r>
      <w:r w:rsidRPr="00D06437">
        <w:rPr>
          <w:rFonts w:ascii="Times New Roman" w:hAnsi="Times New Roman" w:cs="Times New Roman"/>
          <w:color w:val="000000"/>
          <w:sz w:val="22"/>
          <w:szCs w:val="22"/>
          <w:vertAlign w:val="superscript"/>
        </w:rPr>
        <w:t>**</w:t>
      </w:r>
      <w:r w:rsidRPr="00D06437">
        <w:rPr>
          <w:rFonts w:ascii="Times New Roman" w:hAnsi="Times New Roman" w:cs="Times New Roman"/>
          <w:color w:val="000000"/>
          <w:sz w:val="22"/>
          <w:szCs w:val="22"/>
        </w:rPr>
        <w:t xml:space="preserve">, and </w:t>
      </w:r>
      <w:r w:rsidRPr="00D06437">
        <w:rPr>
          <w:rFonts w:ascii="Times New Roman" w:hAnsi="Times New Roman" w:cs="Times New Roman"/>
          <w:color w:val="000000"/>
          <w:sz w:val="22"/>
          <w:szCs w:val="22"/>
          <w:vertAlign w:val="superscript"/>
        </w:rPr>
        <w:t>***</w:t>
      </w:r>
      <w:r w:rsidRPr="00D06437">
        <w:rPr>
          <w:rFonts w:ascii="Times New Roman" w:hAnsi="Times New Roman" w:cs="Times New Roman"/>
          <w:color w:val="000000"/>
          <w:sz w:val="22"/>
          <w:szCs w:val="22"/>
        </w:rPr>
        <w:t xml:space="preserve"> indicate significance at the </w:t>
      </w:r>
      <w:r w:rsidRPr="003410DE">
        <w:rPr>
          <w:rFonts w:ascii="Times New Roman" w:hAnsi="Times New Roman" w:cs="Times New Roman"/>
          <w:color w:val="000000"/>
          <w:sz w:val="22"/>
          <w:szCs w:val="22"/>
        </w:rPr>
        <w:t>10</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5</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and 1</w:t>
      </w:r>
      <w:r>
        <w:rPr>
          <w:rFonts w:ascii="Times New Roman" w:hAnsi="Times New Roman" w:cs="Times New Roman"/>
          <w:color w:val="000000"/>
          <w:sz w:val="22"/>
          <w:szCs w:val="22"/>
        </w:rPr>
        <w:t>%</w:t>
      </w:r>
      <w:r w:rsidRPr="00D06437">
        <w:rPr>
          <w:rFonts w:ascii="Times New Roman" w:hAnsi="Times New Roman" w:cs="Times New Roman"/>
          <w:color w:val="000000"/>
          <w:sz w:val="22"/>
          <w:szCs w:val="22"/>
        </w:rPr>
        <w:t xml:space="preserve"> levels, respectively.</w:t>
      </w:r>
    </w:p>
    <w:p w:rsidR="00523FB7" w:rsidRPr="003410DE" w:rsidRDefault="00523FB7" w:rsidP="00DC2003">
      <w:pPr>
        <w:snapToGrid w:val="0"/>
        <w:rPr>
          <w:rFonts w:ascii="Times New Roman" w:hAnsi="Times New Roman" w:cs="Times New Roman"/>
          <w:sz w:val="22"/>
          <w:szCs w:val="22"/>
        </w:rPr>
      </w:pPr>
    </w:p>
    <w:tbl>
      <w:tblPr>
        <w:tblW w:w="13719" w:type="dxa"/>
        <w:tblInd w:w="2" w:type="dxa"/>
        <w:tblCellMar>
          <w:left w:w="0" w:type="dxa"/>
          <w:right w:w="0" w:type="dxa"/>
        </w:tblCellMar>
        <w:tblLook w:val="00A0"/>
      </w:tblPr>
      <w:tblGrid>
        <w:gridCol w:w="2764"/>
        <w:gridCol w:w="1020"/>
        <w:gridCol w:w="1100"/>
        <w:gridCol w:w="1000"/>
        <w:gridCol w:w="940"/>
        <w:gridCol w:w="880"/>
        <w:gridCol w:w="940"/>
        <w:gridCol w:w="960"/>
        <w:gridCol w:w="960"/>
        <w:gridCol w:w="920"/>
        <w:gridCol w:w="880"/>
        <w:gridCol w:w="1355"/>
      </w:tblGrid>
      <w:tr w:rsidR="00523FB7" w:rsidRPr="00740526" w:rsidTr="00747FB4">
        <w:trPr>
          <w:trHeight w:val="300"/>
        </w:trPr>
        <w:tc>
          <w:tcPr>
            <w:tcW w:w="2764"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102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Small</w:t>
            </w:r>
          </w:p>
        </w:tc>
        <w:tc>
          <w:tcPr>
            <w:tcW w:w="110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P02</w:t>
            </w:r>
          </w:p>
        </w:tc>
        <w:tc>
          <w:tcPr>
            <w:tcW w:w="100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P03</w:t>
            </w:r>
          </w:p>
        </w:tc>
        <w:tc>
          <w:tcPr>
            <w:tcW w:w="94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P04</w:t>
            </w:r>
          </w:p>
        </w:tc>
        <w:tc>
          <w:tcPr>
            <w:tcW w:w="88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P05</w:t>
            </w:r>
          </w:p>
        </w:tc>
        <w:tc>
          <w:tcPr>
            <w:tcW w:w="94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P06</w:t>
            </w:r>
          </w:p>
        </w:tc>
        <w:tc>
          <w:tcPr>
            <w:tcW w:w="96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P07</w:t>
            </w:r>
          </w:p>
        </w:tc>
        <w:tc>
          <w:tcPr>
            <w:tcW w:w="96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P08</w:t>
            </w:r>
          </w:p>
        </w:tc>
        <w:tc>
          <w:tcPr>
            <w:tcW w:w="92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P09</w:t>
            </w:r>
          </w:p>
        </w:tc>
        <w:tc>
          <w:tcPr>
            <w:tcW w:w="880"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Large</w:t>
            </w:r>
          </w:p>
        </w:tc>
        <w:tc>
          <w:tcPr>
            <w:tcW w:w="1355" w:type="dxa"/>
            <w:tcBorders>
              <w:top w:val="double" w:sz="4" w:space="0" w:color="auto"/>
              <w:left w:val="nil"/>
              <w:bottom w:val="sing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Small-Large</w:t>
            </w:r>
          </w:p>
        </w:tc>
      </w:tr>
      <w:tr w:rsidR="00523FB7" w:rsidRPr="00740526" w:rsidTr="00747FB4">
        <w:trPr>
          <w:trHeight w:val="300"/>
        </w:trPr>
        <w:tc>
          <w:tcPr>
            <w:tcW w:w="2764" w:type="dxa"/>
            <w:tcBorders>
              <w:top w:val="single" w:sz="4" w:space="0" w:color="auto"/>
              <w:left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b/>
                <w:color w:val="000000"/>
              </w:rPr>
            </w:pPr>
            <w:r w:rsidRPr="00740526">
              <w:rPr>
                <w:rFonts w:ascii="Times New Roman" w:hAnsi="Times New Roman" w:cs="Times New Roman"/>
                <w:b/>
                <w:color w:val="000000"/>
                <w:sz w:val="22"/>
                <w:szCs w:val="22"/>
              </w:rPr>
              <w:t>Average returns</w:t>
            </w:r>
          </w:p>
        </w:tc>
        <w:tc>
          <w:tcPr>
            <w:tcW w:w="10955" w:type="dxa"/>
            <w:gridSpan w:val="11"/>
            <w:tcBorders>
              <w:top w:val="single" w:sz="4" w:space="0" w:color="auto"/>
              <w:left w:val="nil"/>
              <w:right w:val="nil"/>
            </w:tcBorders>
            <w:noWrap/>
            <w:tcMar>
              <w:top w:w="10" w:type="dxa"/>
              <w:left w:w="10" w:type="dxa"/>
              <w:bottom w:w="0" w:type="dxa"/>
              <w:right w:w="10" w:type="dxa"/>
            </w:tcMar>
            <w:vAlign w:val="center"/>
          </w:tcPr>
          <w:p w:rsidR="00523FB7" w:rsidRPr="00740526" w:rsidRDefault="00523FB7" w:rsidP="00747FB4">
            <w:pPr>
              <w:snapToGrid w:val="0"/>
              <w:jc w:val="center"/>
              <w:rPr>
                <w:rFonts w:ascii="Times New Roman" w:hAnsi="Times New Roman" w:cs="Times New Roman"/>
                <w:b/>
                <w:color w:val="000000"/>
              </w:rPr>
            </w:pPr>
            <w:r w:rsidRPr="00740526">
              <w:rPr>
                <w:rFonts w:ascii="Times New Roman" w:hAnsi="Times New Roman" w:cs="Times New Roman"/>
                <w:b/>
                <w:color w:val="000000"/>
                <w:sz w:val="22"/>
                <w:szCs w:val="22"/>
              </w:rPr>
              <w:t>Panel A: Equal weighted</w:t>
            </w:r>
          </w:p>
        </w:tc>
      </w:tr>
      <w:tr w:rsidR="00523FB7" w:rsidRPr="00740526" w:rsidTr="00747FB4">
        <w:trPr>
          <w:trHeight w:val="300"/>
        </w:trPr>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color w:val="000000"/>
                <w:sz w:val="22"/>
                <w:szCs w:val="22"/>
              </w:rPr>
              <w:t xml:space="preserve">Raw </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1.77</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1.28</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1.16</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0.99</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0.96</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0.85</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0.80</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0.78</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0.79</w:t>
            </w:r>
          </w:p>
        </w:tc>
        <w:tc>
          <w:tcPr>
            <w:tcW w:w="0" w:type="auto"/>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0.76</w:t>
            </w:r>
          </w:p>
        </w:tc>
        <w:tc>
          <w:tcPr>
            <w:tcW w:w="1355" w:type="dxa"/>
            <w:tcBorders>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1.01</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(4.55)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(3.65)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(3.37)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(3.00)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(2.97)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(2.67)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(2.59)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(2.72)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(2.89)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(3.03)</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(2.98)</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AdjDITH</w:t>
            </w:r>
            <w:r w:rsidRPr="00740526">
              <w:rPr>
                <w:rFonts w:ascii="Times New Roman" w:hAnsi="Times New Roman" w:cs="Times New Roman"/>
                <w:color w:val="000000"/>
                <w:sz w:val="22"/>
                <w:szCs w:val="22"/>
              </w:rPr>
              <w:t xml:space="preserve"> Adjusted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0.00</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0.88</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(2.96)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(1.94)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(1.53)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(0.02)</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(2.71)</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AdjDIND</w:t>
            </w:r>
            <w:r w:rsidRPr="00740526">
              <w:rPr>
                <w:rFonts w:ascii="Times New Roman" w:hAnsi="Times New Roman" w:cs="Times New Roman"/>
                <w:color w:val="000000"/>
                <w:sz w:val="22"/>
                <w:szCs w:val="22"/>
              </w:rPr>
              <w:t xml:space="preserve"> Adjusted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0.00</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0.95</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(3.30)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(2.31)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(1.93)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(1.32)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(-0.04)</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(3.03)</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AdjDITH</w:t>
            </w:r>
            <w:r w:rsidRPr="00740526">
              <w:rPr>
                <w:rFonts w:ascii="Times New Roman" w:hAnsi="Times New Roman" w:cs="Times New Roman"/>
                <w:color w:val="000000"/>
                <w:sz w:val="22"/>
                <w:szCs w:val="22"/>
              </w:rPr>
              <w:t>&amp;</w:t>
            </w:r>
            <w:r w:rsidRPr="00740526">
              <w:rPr>
                <w:rFonts w:ascii="Times New Roman" w:hAnsi="Times New Roman" w:cs="Times New Roman"/>
                <w:i/>
                <w:color w:val="000000"/>
                <w:sz w:val="22"/>
                <w:szCs w:val="22"/>
              </w:rPr>
              <w:t>AdjDIND</w:t>
            </w:r>
            <w:r w:rsidRPr="00740526">
              <w:rPr>
                <w:rFonts w:ascii="Times New Roman" w:hAnsi="Times New Roman" w:cs="Times New Roman"/>
                <w:color w:val="000000"/>
                <w:sz w:val="22"/>
                <w:szCs w:val="22"/>
              </w:rPr>
              <w:t xml:space="preserve"> Adjusted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0.00</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0.85</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(3.24)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(1.90)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(-0.10)</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(2.98)</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b/>
                <w:color w:val="000000"/>
              </w:rPr>
            </w:pPr>
          </w:p>
        </w:tc>
        <w:tc>
          <w:tcPr>
            <w:tcW w:w="10955" w:type="dxa"/>
            <w:gridSpan w:val="11"/>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center"/>
              <w:rPr>
                <w:rFonts w:ascii="Times New Roman" w:hAnsi="Times New Roman" w:cs="Times New Roman"/>
                <w:b/>
                <w:color w:val="000000"/>
              </w:rPr>
            </w:pPr>
            <w:r w:rsidRPr="00740526">
              <w:rPr>
                <w:rFonts w:ascii="Times New Roman" w:hAnsi="Times New Roman" w:cs="Times New Roman"/>
                <w:b/>
                <w:color w:val="000000"/>
                <w:sz w:val="22"/>
                <w:szCs w:val="22"/>
              </w:rPr>
              <w:t>Panel B: Value weighted</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color w:val="000000"/>
                <w:sz w:val="22"/>
                <w:szCs w:val="22"/>
              </w:rPr>
              <w:t xml:space="preserve">Raw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1.61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1.13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0.69</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0.92</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(4.32)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(3.60)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(3.30)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(2.97)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(2.97)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(2.65)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(2.57)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(2.72)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(2.87)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(2.69)</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(2.62)</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AdjDITH</w:t>
            </w:r>
            <w:r w:rsidRPr="00740526">
              <w:rPr>
                <w:rFonts w:ascii="Times New Roman" w:hAnsi="Times New Roman" w:cs="Times New Roman"/>
                <w:color w:val="000000"/>
                <w:sz w:val="22"/>
                <w:szCs w:val="22"/>
              </w:rPr>
              <w:t xml:space="preserve"> Adjusted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-0.03</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0.79</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(2.71)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(1.89)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(1.43)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(0.96)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(0.40)</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(0.52)</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(-0.47)</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(2.41)</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AdjDIND</w:t>
            </w:r>
            <w:r w:rsidRPr="00740526">
              <w:rPr>
                <w:rFonts w:ascii="Times New Roman" w:hAnsi="Times New Roman" w:cs="Times New Roman"/>
                <w:color w:val="000000"/>
                <w:sz w:val="22"/>
                <w:szCs w:val="22"/>
              </w:rPr>
              <w:t xml:space="preserve"> Adjusted </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0.51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0.37</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0.21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0.06</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-0.04</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0.87</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(3.04)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(1.81)</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(1.28)</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(1.25)</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(0.69)</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(0.43)</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(0.64)</w:t>
            </w:r>
          </w:p>
        </w:tc>
        <w:tc>
          <w:tcPr>
            <w:tcW w:w="0" w:type="auto"/>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(-0.68)</w:t>
            </w:r>
          </w:p>
        </w:tc>
        <w:tc>
          <w:tcPr>
            <w:tcW w:w="1355" w:type="dxa"/>
            <w:tcBorders>
              <w:top w:val="nil"/>
              <w:left w:val="nil"/>
              <w:bottom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(2.77)</w:t>
            </w:r>
          </w:p>
        </w:tc>
      </w:tr>
      <w:tr w:rsidR="00523FB7" w:rsidRPr="00740526" w:rsidTr="00747FB4">
        <w:trPr>
          <w:trHeight w:val="300"/>
        </w:trPr>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AdjDITH</w:t>
            </w:r>
            <w:r w:rsidRPr="00740526">
              <w:rPr>
                <w:rFonts w:ascii="Times New Roman" w:hAnsi="Times New Roman" w:cs="Times New Roman"/>
                <w:color w:val="000000"/>
                <w:sz w:val="22"/>
                <w:szCs w:val="22"/>
              </w:rPr>
              <w:t>&amp;</w:t>
            </w:r>
            <w:r w:rsidRPr="00740526">
              <w:rPr>
                <w:rFonts w:ascii="Times New Roman" w:hAnsi="Times New Roman" w:cs="Times New Roman"/>
                <w:i/>
                <w:color w:val="000000"/>
                <w:sz w:val="22"/>
                <w:szCs w:val="22"/>
              </w:rPr>
              <w:t>AdjDIND</w:t>
            </w:r>
            <w:r w:rsidRPr="00740526">
              <w:rPr>
                <w:rFonts w:ascii="Times New Roman" w:hAnsi="Times New Roman" w:cs="Times New Roman"/>
                <w:color w:val="000000"/>
                <w:sz w:val="22"/>
                <w:szCs w:val="22"/>
              </w:rPr>
              <w:t xml:space="preserve"> Adjusted </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0.73</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0.42</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0.30</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0.16</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0.14</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0.04</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0.02</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0.03</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0.04</w:t>
            </w:r>
          </w:p>
        </w:tc>
        <w:tc>
          <w:tcPr>
            <w:tcW w:w="0" w:type="auto"/>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-0.03</w:t>
            </w:r>
          </w:p>
        </w:tc>
        <w:tc>
          <w:tcPr>
            <w:tcW w:w="1355" w:type="dxa"/>
            <w:tcBorders>
              <w:top w:val="nil"/>
              <w:left w:val="nil"/>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0.76</w:t>
            </w:r>
            <w:r w:rsidRPr="00740526">
              <w:rPr>
                <w:rFonts w:ascii="Times New Roman" w:hAnsi="Times New Roman" w:cs="Times New Roman"/>
                <w:color w:val="000000"/>
                <w:sz w:val="22"/>
                <w:szCs w:val="22"/>
                <w:vertAlign w:val="superscript"/>
              </w:rPr>
              <w:t>***</w:t>
            </w:r>
          </w:p>
        </w:tc>
      </w:tr>
      <w:tr w:rsidR="00523FB7" w:rsidRPr="00740526" w:rsidTr="00747FB4">
        <w:trPr>
          <w:trHeight w:val="300"/>
        </w:trPr>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rPr>
                <w:rFonts w:ascii="Times New Roman" w:hAnsi="Times New Roman" w:cs="Times New Roman"/>
                <w:color w:val="000000"/>
              </w:rPr>
            </w:pP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(2.97)</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(2.16)</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(1.77)</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(1.08)</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(1.05)</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(0.31)</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(0.16)</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(0.36)</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(0.69)</w:t>
            </w:r>
          </w:p>
        </w:tc>
        <w:tc>
          <w:tcPr>
            <w:tcW w:w="0" w:type="auto"/>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(-0.68)</w:t>
            </w:r>
          </w:p>
        </w:tc>
        <w:tc>
          <w:tcPr>
            <w:tcW w:w="1355" w:type="dxa"/>
            <w:tcBorders>
              <w:top w:val="nil"/>
              <w:left w:val="nil"/>
              <w:bottom w:val="double" w:sz="4" w:space="0" w:color="auto"/>
              <w:right w:val="nil"/>
            </w:tcBorders>
            <w:noWrap/>
            <w:tcMar>
              <w:top w:w="10" w:type="dxa"/>
              <w:left w:w="10" w:type="dxa"/>
              <w:bottom w:w="0" w:type="dxa"/>
              <w:right w:w="10" w:type="dxa"/>
            </w:tcMar>
            <w:vAlign w:val="center"/>
          </w:tcPr>
          <w:p w:rsidR="00523FB7" w:rsidRPr="00740526"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(2.78)</w:t>
            </w:r>
          </w:p>
        </w:tc>
      </w:tr>
    </w:tbl>
    <w:p w:rsidR="00523FB7" w:rsidRPr="003410DE" w:rsidRDefault="00523FB7" w:rsidP="00DC2003">
      <w:pPr>
        <w:widowControl/>
        <w:rPr>
          <w:rFonts w:ascii="Times New Roman" w:hAnsi="Times New Roman" w:cs="Times New Roman"/>
        </w:rPr>
      </w:pPr>
    </w:p>
    <w:p w:rsidR="00523FB7" w:rsidRPr="00F90A88" w:rsidRDefault="00523FB7" w:rsidP="006D7557">
      <w:pPr>
        <w:rPr>
          <w:rFonts w:ascii="Times New Roman" w:hAnsi="Times New Roman" w:cs="Times New Roman"/>
          <w:b/>
        </w:rPr>
      </w:pPr>
      <w:r w:rsidRPr="00F90A88">
        <w:rPr>
          <w:rFonts w:ascii="Times New Roman" w:hAnsi="Times New Roman" w:cs="Times New Roman"/>
          <w:b/>
        </w:rPr>
        <w:t>Table 12. Source of changes in value premium and size premium</w:t>
      </w:r>
    </w:p>
    <w:p w:rsidR="00523FB7" w:rsidRDefault="00523FB7" w:rsidP="006D7557">
      <w:pPr>
        <w:snapToGrid w:val="0"/>
        <w:jc w:val="both"/>
        <w:rPr>
          <w:rFonts w:ascii="Times New Roman" w:hAnsi="Times New Roman" w:cs="Times New Roman"/>
          <w:kern w:val="0"/>
          <w:sz w:val="20"/>
          <w:szCs w:val="20"/>
        </w:rPr>
      </w:pPr>
      <w:r w:rsidRPr="005424FC">
        <w:rPr>
          <w:rFonts w:ascii="Times New Roman" w:hAnsi="Times New Roman" w:cs="Times New Roman"/>
          <w:kern w:val="0"/>
          <w:sz w:val="20"/>
          <w:szCs w:val="20"/>
        </w:rPr>
        <w:t xml:space="preserve">The table provides the results from estimating the two-factor regression equation and variance decomposition for </w:t>
      </w:r>
      <w:r w:rsidRPr="005424FC">
        <w:rPr>
          <w:rFonts w:ascii="Times New Roman" w:hAnsi="Times New Roman" w:cs="Times New Roman"/>
          <w:i/>
          <w:kern w:val="0"/>
          <w:sz w:val="20"/>
          <w:szCs w:val="20"/>
        </w:rPr>
        <w:t>BE/ME</w:t>
      </w:r>
      <w:r w:rsidRPr="005424FC">
        <w:rPr>
          <w:rFonts w:ascii="Times New Roman" w:hAnsi="Times New Roman" w:cs="Times New Roman"/>
          <w:kern w:val="0"/>
          <w:sz w:val="20"/>
          <w:szCs w:val="20"/>
        </w:rPr>
        <w:t xml:space="preserve"> and size premiums. Panel A provides the estimation results of the two-factor regression equation:</w:t>
      </w:r>
      <w:r w:rsidRPr="005424FC">
        <w:rPr>
          <w:rFonts w:ascii="Times New Roman" w:hAnsi="Times New Roman" w:cs="Times New Roman"/>
          <w:position w:val="-12"/>
          <w:sz w:val="20"/>
          <w:szCs w:val="20"/>
        </w:rPr>
        <w:object w:dxaOrig="3220" w:dyaOrig="320">
          <v:shape id="_x0000_i1036" type="#_x0000_t75" style="width:159.75pt;height:16.5pt" o:ole="">
            <v:imagedata r:id="rId19" o:title=""/>
          </v:shape>
          <o:OLEObject Type="Embed" ProgID="Equation.DSMT4" ShapeID="_x0000_i1036" DrawAspect="Content" ObjectID="_1407004457" r:id="rId20"/>
        </w:object>
      </w:r>
      <w:r w:rsidRPr="005424FC">
        <w:rPr>
          <w:rFonts w:ascii="Times New Roman" w:hAnsi="Times New Roman" w:cs="Times New Roman"/>
          <w:sz w:val="20"/>
          <w:szCs w:val="20"/>
        </w:rPr>
        <w:t xml:space="preserve">where </w:t>
      </w:r>
      <w:r w:rsidRPr="005424FC">
        <w:rPr>
          <w:rFonts w:ascii="Times New Roman" w:hAnsi="Times New Roman" w:cs="Times New Roman"/>
          <w:i/>
          <w:sz w:val="20"/>
          <w:szCs w:val="20"/>
        </w:rPr>
        <w:t>k</w:t>
      </w:r>
      <w:r w:rsidRPr="005424FC">
        <w:rPr>
          <w:rFonts w:ascii="Times New Roman" w:hAnsi="Times New Roman" w:cs="Times New Roman"/>
          <w:sz w:val="20"/>
          <w:szCs w:val="20"/>
        </w:rPr>
        <w:t xml:space="preserve"> is the </w:t>
      </w:r>
      <w:r w:rsidRPr="0084083A">
        <w:rPr>
          <w:rFonts w:ascii="Times New Roman" w:hAnsi="Times New Roman" w:cs="Times New Roman"/>
          <w:kern w:val="0"/>
          <w:sz w:val="20"/>
          <w:szCs w:val="20"/>
        </w:rPr>
        <w:t>spread</w:t>
      </w:r>
      <w:r>
        <w:rPr>
          <w:rFonts w:ascii="Times New Roman" w:hAnsi="Times New Roman" w:cs="Times New Roman"/>
          <w:kern w:val="0"/>
          <w:sz w:val="20"/>
          <w:szCs w:val="20"/>
        </w:rPr>
        <w:t xml:space="preserve">s based on </w:t>
      </w:r>
      <w:r w:rsidRPr="0084083A">
        <w:rPr>
          <w:rFonts w:ascii="Times New Roman" w:hAnsi="Times New Roman" w:cs="Times New Roman"/>
          <w:i/>
          <w:kern w:val="0"/>
          <w:sz w:val="20"/>
          <w:szCs w:val="20"/>
        </w:rPr>
        <w:t>BE/ME</w:t>
      </w:r>
      <w:r>
        <w:rPr>
          <w:rFonts w:ascii="Times New Roman" w:hAnsi="Times New Roman" w:cs="Times New Roman"/>
          <w:kern w:val="0"/>
          <w:sz w:val="20"/>
          <w:szCs w:val="20"/>
        </w:rPr>
        <w:t xml:space="preserve"> (</w:t>
      </w:r>
      <w:r w:rsidRPr="0084083A">
        <w:rPr>
          <w:rFonts w:ascii="Times New Roman" w:hAnsi="Times New Roman" w:cs="Times New Roman"/>
          <w:i/>
          <w:kern w:val="0"/>
          <w:sz w:val="20"/>
          <w:szCs w:val="20"/>
        </w:rPr>
        <w:t>HML</w:t>
      </w:r>
      <w:r>
        <w:rPr>
          <w:rFonts w:ascii="Times New Roman" w:hAnsi="Times New Roman" w:cs="Times New Roman"/>
          <w:kern w:val="0"/>
          <w:sz w:val="20"/>
          <w:szCs w:val="20"/>
        </w:rPr>
        <w:t>) and size (</w:t>
      </w:r>
      <w:r w:rsidRPr="0084083A">
        <w:rPr>
          <w:rFonts w:ascii="Times New Roman" w:hAnsi="Times New Roman" w:cs="Times New Roman"/>
          <w:i/>
          <w:kern w:val="0"/>
          <w:sz w:val="20"/>
          <w:szCs w:val="20"/>
        </w:rPr>
        <w:t>SMB</w:t>
      </w:r>
      <w:r>
        <w:rPr>
          <w:rFonts w:ascii="Times New Roman" w:hAnsi="Times New Roman" w:cs="Times New Roman"/>
          <w:kern w:val="0"/>
          <w:sz w:val="20"/>
          <w:szCs w:val="20"/>
        </w:rPr>
        <w:t>) portfolios</w:t>
      </w:r>
      <w:r>
        <w:rPr>
          <w:rFonts w:ascii="Times New Roman" w:hAnsi="Times New Roman" w:cs="Times New Roman"/>
          <w:sz w:val="20"/>
          <w:szCs w:val="20"/>
        </w:rPr>
        <w:t xml:space="preserve"> </w:t>
      </w:r>
      <w:r w:rsidRPr="005424FC">
        <w:rPr>
          <w:rFonts w:ascii="Times New Roman" w:hAnsi="Times New Roman" w:cs="Times New Roman"/>
          <w:sz w:val="20"/>
          <w:szCs w:val="20"/>
        </w:rPr>
        <w:t>shown in Tables 10 and</w:t>
      </w:r>
      <w:r w:rsidRPr="00ED292B">
        <w:rPr>
          <w:rFonts w:ascii="Times New Roman" w:hAnsi="Times New Roman" w:cs="Times New Roman"/>
          <w:sz w:val="20"/>
          <w:szCs w:val="20"/>
        </w:rPr>
        <w:t xml:space="preserve"> 11. </w:t>
      </w:r>
      <w:r w:rsidRPr="00ED292B">
        <w:rPr>
          <w:rFonts w:ascii="Times New Roman" w:hAnsi="Times New Roman" w:cs="Times New Roman"/>
          <w:i/>
          <w:sz w:val="20"/>
          <w:szCs w:val="20"/>
        </w:rPr>
        <w:t>R</w:t>
      </w:r>
      <w:r w:rsidRPr="00ED292B">
        <w:rPr>
          <w:rFonts w:ascii="Times New Roman" w:hAnsi="Times New Roman" w:cs="Times New Roman"/>
          <w:i/>
          <w:sz w:val="20"/>
          <w:szCs w:val="20"/>
          <w:vertAlign w:val="subscript"/>
        </w:rPr>
        <w:t>AdjDITH</w:t>
      </w:r>
      <w:r w:rsidRPr="00ED292B">
        <w:rPr>
          <w:rFonts w:ascii="Times New Roman" w:hAnsi="Times New Roman" w:cs="Times New Roman"/>
          <w:sz w:val="20"/>
          <w:szCs w:val="20"/>
        </w:rPr>
        <w:t xml:space="preserve"> is the spread returns on </w:t>
      </w:r>
      <w:r w:rsidRPr="00ED292B">
        <w:rPr>
          <w:rFonts w:ascii="Times New Roman" w:hAnsi="Times New Roman" w:cs="Times New Roman"/>
          <w:i/>
          <w:sz w:val="20"/>
          <w:szCs w:val="20"/>
        </w:rPr>
        <w:t>AdjDITH</w:t>
      </w:r>
      <w:r w:rsidRPr="00ED292B">
        <w:rPr>
          <w:rFonts w:ascii="Times New Roman" w:hAnsi="Times New Roman" w:cs="Times New Roman"/>
          <w:sz w:val="20"/>
          <w:szCs w:val="20"/>
        </w:rPr>
        <w:t xml:space="preserve"> portfolios presented in Table 5</w:t>
      </w:r>
      <w:r w:rsidRPr="00AA5D32">
        <w:rPr>
          <w:rFonts w:ascii="Times New Roman" w:hAnsi="Times New Roman" w:cs="Times New Roman"/>
          <w:sz w:val="20"/>
          <w:szCs w:val="20"/>
        </w:rPr>
        <w:t xml:space="preserve"> </w:t>
      </w:r>
      <w:r w:rsidRPr="00AA5D32">
        <w:rPr>
          <w:rFonts w:ascii="Times New Roman" w:hAnsi="Times New Roman" w:cs="Times New Roman"/>
          <w:kern w:val="0"/>
          <w:sz w:val="20"/>
          <w:szCs w:val="20"/>
        </w:rPr>
        <w:t>(defined as returns on stocks with heavy institutional net-selling minus returns on stocks with heavy institutional net-buying)</w:t>
      </w:r>
      <w:r w:rsidRPr="00ED292B">
        <w:rPr>
          <w:rFonts w:ascii="Times New Roman" w:hAnsi="Times New Roman" w:cs="Times New Roman"/>
          <w:sz w:val="20"/>
          <w:szCs w:val="20"/>
        </w:rPr>
        <w:t xml:space="preserve">. </w:t>
      </w:r>
      <w:r w:rsidRPr="00ED292B">
        <w:rPr>
          <w:rFonts w:ascii="Times New Roman" w:hAnsi="Times New Roman" w:cs="Times New Roman"/>
          <w:i/>
          <w:sz w:val="20"/>
          <w:szCs w:val="20"/>
        </w:rPr>
        <w:t>R</w:t>
      </w:r>
      <w:r w:rsidRPr="00ED292B">
        <w:rPr>
          <w:rFonts w:ascii="Times New Roman" w:hAnsi="Times New Roman" w:cs="Times New Roman"/>
          <w:i/>
          <w:sz w:val="20"/>
          <w:szCs w:val="20"/>
          <w:vertAlign w:val="subscript"/>
        </w:rPr>
        <w:t>AdjDIND</w:t>
      </w:r>
      <w:r w:rsidRPr="00ED292B">
        <w:rPr>
          <w:rFonts w:ascii="Times New Roman" w:hAnsi="Times New Roman" w:cs="Times New Roman"/>
          <w:sz w:val="20"/>
          <w:szCs w:val="20"/>
        </w:rPr>
        <w:t xml:space="preserve"> is the spread returns on </w:t>
      </w:r>
      <w:r w:rsidRPr="00ED292B">
        <w:rPr>
          <w:rFonts w:ascii="Times New Roman" w:hAnsi="Times New Roman" w:cs="Times New Roman"/>
          <w:i/>
          <w:sz w:val="20"/>
          <w:szCs w:val="20"/>
        </w:rPr>
        <w:t>AdjDIND</w:t>
      </w:r>
      <w:r w:rsidRPr="00ED292B">
        <w:rPr>
          <w:rFonts w:ascii="Times New Roman" w:hAnsi="Times New Roman" w:cs="Times New Roman"/>
          <w:sz w:val="20"/>
          <w:szCs w:val="20"/>
        </w:rPr>
        <w:t xml:space="preserve"> portfolios which presented in Table 6</w:t>
      </w:r>
      <w:r w:rsidRPr="00AA5D32">
        <w:rPr>
          <w:rFonts w:ascii="Times New Roman" w:hAnsi="Times New Roman" w:cs="Times New Roman"/>
          <w:sz w:val="20"/>
          <w:szCs w:val="20"/>
        </w:rPr>
        <w:t xml:space="preserve"> </w:t>
      </w:r>
      <w:r w:rsidRPr="00AA5D32">
        <w:rPr>
          <w:rFonts w:ascii="Times New Roman" w:hAnsi="Times New Roman" w:cs="Times New Roman"/>
          <w:kern w:val="0"/>
          <w:sz w:val="20"/>
          <w:szCs w:val="20"/>
        </w:rPr>
        <w:t>(defined as returns on stocks with heavy individual net-buying minus returns on stocks with heavy individual net-selling)</w:t>
      </w:r>
      <w:r w:rsidRPr="00ED292B">
        <w:rPr>
          <w:rFonts w:ascii="Times New Roman" w:hAnsi="Times New Roman" w:cs="Times New Roman"/>
          <w:sz w:val="20"/>
          <w:szCs w:val="20"/>
        </w:rPr>
        <w:t xml:space="preserve">. </w:t>
      </w:r>
      <w:r w:rsidRPr="00ED292B">
        <w:rPr>
          <w:rFonts w:ascii="Times New Roman" w:hAnsi="Times New Roman" w:cs="Times New Roman"/>
          <w:kern w:val="0"/>
          <w:sz w:val="20"/>
          <w:szCs w:val="20"/>
        </w:rPr>
        <w:t xml:space="preserve">The portfolio variances are computed using the monthly percentage returns. </w:t>
      </w:r>
      <w:r w:rsidRPr="009C00AC">
        <w:rPr>
          <w:rFonts w:ascii="Times New Roman" w:hAnsi="Times New Roman" w:cs="Times New Roman"/>
          <w:i/>
          <w:iCs/>
          <w:kern w:val="0"/>
          <w:sz w:val="20"/>
          <w:szCs w:val="20"/>
        </w:rPr>
        <w:t>t</w:t>
      </w:r>
      <w:r w:rsidRPr="009C00AC">
        <w:rPr>
          <w:rFonts w:ascii="Times New Roman" w:hAnsi="Times New Roman" w:cs="Times New Roman"/>
          <w:kern w:val="0"/>
          <w:sz w:val="20"/>
          <w:szCs w:val="20"/>
        </w:rPr>
        <w:t>-statistics are shown in parentheses.</w:t>
      </w:r>
      <w:r>
        <w:rPr>
          <w:rFonts w:ascii="Times New Roman" w:hAnsi="Times New Roman" w:cs="Times New Roman"/>
          <w:kern w:val="0"/>
          <w:sz w:val="20"/>
          <w:szCs w:val="20"/>
        </w:rPr>
        <w:t xml:space="preserve"> </w:t>
      </w:r>
      <w:r>
        <w:rPr>
          <w:rFonts w:ascii="TimesNewRomanPSMT" w:hAnsi="TimesNewRomanPSMT" w:cs="TimesNewRomanPSMT"/>
          <w:kern w:val="0"/>
          <w:sz w:val="20"/>
          <w:szCs w:val="20"/>
        </w:rPr>
        <w:t xml:space="preserve">Panel B provides the decomposition of the variance [Var(R)] of HML and SMB into three components: (i) the proportion of the variance attributable to the volatility of the institutional trading portfolio, (ii) the proportion attributable to the volatility of the individual trading portfolio, and (iii) the idiosyncratic variance or the variance attributable to the premium itself. </w:t>
      </w:r>
      <w:r w:rsidRPr="00ED292B">
        <w:rPr>
          <w:rFonts w:ascii="Times New Roman" w:hAnsi="Times New Roman" w:cs="Times New Roman"/>
          <w:kern w:val="0"/>
          <w:sz w:val="20"/>
          <w:szCs w:val="20"/>
        </w:rPr>
        <w:t xml:space="preserve">The relative contributions of individual components to the total risk appear in </w:t>
      </w:r>
      <w:r>
        <w:rPr>
          <w:rFonts w:ascii="Times New Roman" w:hAnsi="Times New Roman" w:cs="Times New Roman"/>
          <w:kern w:val="0"/>
          <w:sz w:val="20"/>
          <w:szCs w:val="20"/>
        </w:rPr>
        <w:t>bracket</w:t>
      </w:r>
      <w:r w:rsidRPr="00ED292B">
        <w:rPr>
          <w:rFonts w:ascii="Times New Roman" w:hAnsi="Times New Roman" w:cs="Times New Roman"/>
          <w:kern w:val="0"/>
          <w:sz w:val="20"/>
          <w:szCs w:val="20"/>
        </w:rPr>
        <w:t>.</w:t>
      </w:r>
    </w:p>
    <w:p w:rsidR="00523FB7" w:rsidRPr="00ED292B" w:rsidRDefault="00523FB7" w:rsidP="006D7557">
      <w:pPr>
        <w:snapToGrid w:val="0"/>
        <w:jc w:val="both"/>
        <w:rPr>
          <w:rFonts w:ascii="Times New Roman" w:hAnsi="Times New Roman" w:cs="Times New Roman"/>
          <w:sz w:val="20"/>
          <w:szCs w:val="20"/>
        </w:rPr>
      </w:pPr>
    </w:p>
    <w:tbl>
      <w:tblPr>
        <w:tblW w:w="5000" w:type="pct"/>
        <w:jc w:val="center"/>
        <w:tblCellMar>
          <w:left w:w="0" w:type="dxa"/>
          <w:right w:w="0" w:type="dxa"/>
        </w:tblCellMar>
        <w:tblLook w:val="00A0"/>
      </w:tblPr>
      <w:tblGrid>
        <w:gridCol w:w="1999"/>
        <w:gridCol w:w="1485"/>
        <w:gridCol w:w="1485"/>
        <w:gridCol w:w="1485"/>
        <w:gridCol w:w="498"/>
        <w:gridCol w:w="2497"/>
        <w:gridCol w:w="1510"/>
        <w:gridCol w:w="1818"/>
        <w:gridCol w:w="1205"/>
      </w:tblGrid>
      <w:tr w:rsidR="00523FB7" w:rsidRPr="00740526" w:rsidTr="00747FB4">
        <w:trPr>
          <w:trHeight w:val="315"/>
          <w:jc w:val="center"/>
        </w:trPr>
        <w:tc>
          <w:tcPr>
            <w:tcW w:w="5000" w:type="pct"/>
            <w:gridSpan w:val="9"/>
            <w:tcBorders>
              <w:top w:val="doub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40526">
              <w:rPr>
                <w:rFonts w:ascii="Times New Roman" w:hAnsi="Times New Roman" w:cs="Times New Roman"/>
                <w:color w:val="000000"/>
                <w:sz w:val="22"/>
                <w:szCs w:val="22"/>
              </w:rPr>
              <w:t>Equal weighted</w:t>
            </w:r>
          </w:p>
        </w:tc>
      </w:tr>
      <w:tr w:rsidR="00523FB7" w:rsidRPr="00740526" w:rsidTr="00747FB4">
        <w:trPr>
          <w:trHeight w:val="315"/>
          <w:jc w:val="center"/>
        </w:trPr>
        <w:tc>
          <w:tcPr>
            <w:tcW w:w="715" w:type="pct"/>
            <w:tcBorders>
              <w:top w:val="nil"/>
              <w:left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p>
        </w:tc>
        <w:tc>
          <w:tcPr>
            <w:tcW w:w="1593" w:type="pct"/>
            <w:gridSpan w:val="3"/>
            <w:tcBorders>
              <w:top w:val="nil"/>
              <w:left w:val="nil"/>
            </w:tcBorders>
            <w:noWrap/>
            <w:tcMar>
              <w:top w:w="12" w:type="dxa"/>
              <w:left w:w="12" w:type="dxa"/>
              <w:bottom w:w="0" w:type="dxa"/>
              <w:right w:w="12" w:type="dxa"/>
            </w:tcMar>
            <w:vAlign w:val="center"/>
          </w:tcPr>
          <w:p w:rsidR="00523FB7" w:rsidRPr="00781EE7" w:rsidRDefault="00523FB7" w:rsidP="00747FB4">
            <w:pPr>
              <w:snapToGrid w:val="0"/>
              <w:jc w:val="center"/>
              <w:rPr>
                <w:rFonts w:ascii="Times New Roman" w:hAnsi="Times New Roman" w:cs="Times New Roman"/>
                <w:color w:val="000000"/>
              </w:rPr>
            </w:pPr>
            <w:r w:rsidRPr="00781EE7">
              <w:rPr>
                <w:rFonts w:ascii="Times New Roman" w:hAnsi="Times New Roman" w:cs="Times New Roman"/>
                <w:color w:val="000000"/>
                <w:sz w:val="22"/>
                <w:szCs w:val="22"/>
              </w:rPr>
              <w:t>Panel A: Regression estimates</w:t>
            </w:r>
          </w:p>
        </w:tc>
        <w:tc>
          <w:tcPr>
            <w:tcW w:w="178" w:type="pct"/>
            <w:tcBorders>
              <w:top w:val="nil"/>
              <w:bottom w:val="nil"/>
              <w:right w:val="nil"/>
            </w:tcBorders>
            <w:vAlign w:val="center"/>
          </w:tcPr>
          <w:p w:rsidR="00523FB7" w:rsidRPr="00781EE7" w:rsidRDefault="00523FB7" w:rsidP="00747FB4">
            <w:pPr>
              <w:snapToGrid w:val="0"/>
              <w:jc w:val="center"/>
              <w:rPr>
                <w:rFonts w:ascii="Times New Roman" w:hAnsi="Times New Roman" w:cs="Times New Roman"/>
                <w:color w:val="000000"/>
              </w:rPr>
            </w:pPr>
          </w:p>
        </w:tc>
        <w:tc>
          <w:tcPr>
            <w:tcW w:w="893" w:type="pct"/>
            <w:tcBorders>
              <w:top w:val="nil"/>
              <w:left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p>
        </w:tc>
        <w:tc>
          <w:tcPr>
            <w:tcW w:w="1621" w:type="pct"/>
            <w:gridSpan w:val="3"/>
            <w:tcBorders>
              <w:top w:val="nil"/>
              <w:left w:val="nil"/>
              <w:right w:val="nil"/>
            </w:tcBorders>
            <w:noWrap/>
            <w:tcMar>
              <w:top w:w="12" w:type="dxa"/>
              <w:left w:w="12" w:type="dxa"/>
              <w:bottom w:w="0" w:type="dxa"/>
              <w:right w:w="12" w:type="dxa"/>
            </w:tcMar>
            <w:vAlign w:val="center"/>
          </w:tcPr>
          <w:p w:rsidR="00523FB7" w:rsidRPr="00781EE7" w:rsidRDefault="00523FB7" w:rsidP="00747FB4">
            <w:pPr>
              <w:snapToGrid w:val="0"/>
              <w:jc w:val="center"/>
              <w:rPr>
                <w:rFonts w:ascii="Times New Roman" w:hAnsi="Times New Roman" w:cs="Times New Roman"/>
                <w:color w:val="000000"/>
              </w:rPr>
            </w:pPr>
            <w:r w:rsidRPr="00781EE7">
              <w:rPr>
                <w:rFonts w:ascii="Times New Roman" w:hAnsi="Times New Roman" w:cs="Times New Roman"/>
                <w:color w:val="000000"/>
                <w:sz w:val="22"/>
                <w:szCs w:val="22"/>
              </w:rPr>
              <w:t xml:space="preserve">Panel B: </w:t>
            </w:r>
            <w:r w:rsidRPr="00740526">
              <w:rPr>
                <w:rFonts w:ascii="Times New Roman" w:hAnsi="Times New Roman" w:cs="Times New Roman"/>
                <w:color w:val="000000"/>
                <w:sz w:val="22"/>
                <w:szCs w:val="22"/>
              </w:rPr>
              <w:t xml:space="preserve">Variance decomposition </w:t>
            </w:r>
          </w:p>
        </w:tc>
      </w:tr>
      <w:tr w:rsidR="00523FB7" w:rsidRPr="00740526" w:rsidTr="00747FB4">
        <w:trPr>
          <w:trHeight w:val="315"/>
          <w:jc w:val="center"/>
        </w:trPr>
        <w:tc>
          <w:tcPr>
            <w:tcW w:w="715" w:type="pct"/>
            <w:tcBorders>
              <w:top w:val="nil"/>
              <w:left w:val="nil"/>
              <w:bottom w:val="single" w:sz="4" w:space="0" w:color="auto"/>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81EE7">
              <w:rPr>
                <w:rFonts w:ascii="Times New Roman" w:hAnsi="Times New Roman" w:cs="Times New Roman"/>
                <w:color w:val="000000"/>
                <w:sz w:val="22"/>
                <w:szCs w:val="22"/>
              </w:rPr>
              <w:t>Dependent variable</w:t>
            </w:r>
          </w:p>
        </w:tc>
        <w:tc>
          <w:tcPr>
            <w:tcW w:w="531" w:type="pct"/>
            <w:tcBorders>
              <w:top w:val="nil"/>
              <w:left w:val="nil"/>
              <w:bottom w:val="single" w:sz="4" w:space="0" w:color="auto"/>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i/>
                <w:color w:val="000000"/>
              </w:rPr>
            </w:pPr>
            <w:r w:rsidRPr="00740526">
              <w:rPr>
                <w:rFonts w:ascii="Times New Roman" w:hAnsi="Times New Roman" w:cs="Times New Roman"/>
                <w:i/>
                <w:color w:val="000000"/>
                <w:sz w:val="22"/>
                <w:szCs w:val="22"/>
              </w:rPr>
              <w:t>AdjDITH</w:t>
            </w:r>
          </w:p>
        </w:tc>
        <w:tc>
          <w:tcPr>
            <w:tcW w:w="531" w:type="pct"/>
            <w:tcBorders>
              <w:top w:val="nil"/>
              <w:left w:val="nil"/>
              <w:bottom w:val="single" w:sz="4" w:space="0" w:color="auto"/>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i/>
                <w:color w:val="000000"/>
              </w:rPr>
            </w:pPr>
            <w:r w:rsidRPr="00740526">
              <w:rPr>
                <w:rFonts w:ascii="Times New Roman" w:hAnsi="Times New Roman" w:cs="Times New Roman"/>
                <w:i/>
                <w:color w:val="000000"/>
                <w:sz w:val="22"/>
                <w:szCs w:val="22"/>
              </w:rPr>
              <w:t>AdjDIND</w:t>
            </w:r>
          </w:p>
        </w:tc>
        <w:tc>
          <w:tcPr>
            <w:tcW w:w="531" w:type="pct"/>
            <w:tcBorders>
              <w:top w:val="nil"/>
              <w:left w:val="nil"/>
              <w:bottom w:val="single" w:sz="4" w:space="0" w:color="auto"/>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Adjusted </w:t>
            </w:r>
            <w:r w:rsidRPr="00740526">
              <w:rPr>
                <w:rFonts w:ascii="Times New Roman" w:hAnsi="Times New Roman" w:cs="Times New Roman"/>
                <w:i/>
                <w:color w:val="000000"/>
                <w:sz w:val="22"/>
                <w:szCs w:val="22"/>
              </w:rPr>
              <w:t>R</w:t>
            </w:r>
            <w:r w:rsidRPr="00740526">
              <w:rPr>
                <w:rFonts w:ascii="Times New Roman" w:hAnsi="Times New Roman" w:cs="Times New Roman"/>
                <w:color w:val="000000"/>
                <w:sz w:val="22"/>
                <w:szCs w:val="22"/>
                <w:vertAlign w:val="superscript"/>
              </w:rPr>
              <w:t>2</w:t>
            </w:r>
          </w:p>
        </w:tc>
        <w:tc>
          <w:tcPr>
            <w:tcW w:w="178" w:type="pct"/>
            <w:tcBorders>
              <w:top w:val="nil"/>
              <w:right w:val="nil"/>
            </w:tcBorders>
            <w:vAlign w:val="center"/>
          </w:tcPr>
          <w:p w:rsidR="00523FB7" w:rsidRPr="00781EE7" w:rsidRDefault="00523FB7" w:rsidP="00747FB4">
            <w:pPr>
              <w:snapToGrid w:val="0"/>
              <w:rPr>
                <w:rFonts w:ascii="Times New Roman" w:hAnsi="Times New Roman" w:cs="Times New Roman"/>
                <w:color w:val="000000"/>
              </w:rPr>
            </w:pPr>
          </w:p>
        </w:tc>
        <w:tc>
          <w:tcPr>
            <w:tcW w:w="893" w:type="pct"/>
            <w:tcBorders>
              <w:top w:val="nil"/>
              <w:left w:val="nil"/>
              <w:bottom w:val="single" w:sz="4" w:space="0" w:color="auto"/>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p>
        </w:tc>
        <w:tc>
          <w:tcPr>
            <w:tcW w:w="540" w:type="pct"/>
            <w:tcBorders>
              <w:top w:val="nil"/>
              <w:left w:val="nil"/>
              <w:bottom w:val="single" w:sz="4" w:space="0" w:color="auto"/>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i/>
                <w:color w:val="000000"/>
                <w:sz w:val="22"/>
                <w:szCs w:val="22"/>
              </w:rPr>
              <w:t>Var</w:t>
            </w:r>
            <w:r w:rsidRPr="00740526">
              <w:rPr>
                <w:rFonts w:ascii="Times New Roman" w:hAnsi="Times New Roman" w:cs="Times New Roman"/>
                <w:color w:val="000000"/>
                <w:sz w:val="22"/>
                <w:szCs w:val="22"/>
              </w:rPr>
              <w:t>(</w:t>
            </w:r>
            <w:r w:rsidRPr="00740526">
              <w:rPr>
                <w:rFonts w:ascii="Times New Roman" w:hAnsi="Times New Roman" w:cs="Times New Roman"/>
                <w:i/>
                <w:color w:val="000000"/>
                <w:sz w:val="22"/>
                <w:szCs w:val="22"/>
              </w:rPr>
              <w:t>AdjDITH</w:t>
            </w:r>
            <w:r w:rsidRPr="00740526">
              <w:rPr>
                <w:rFonts w:ascii="Times New Roman" w:hAnsi="Times New Roman" w:cs="Times New Roman"/>
                <w:color w:val="000000"/>
                <w:sz w:val="22"/>
                <w:szCs w:val="22"/>
              </w:rPr>
              <w:t>)</w:t>
            </w:r>
          </w:p>
        </w:tc>
        <w:tc>
          <w:tcPr>
            <w:tcW w:w="650" w:type="pct"/>
            <w:tcBorders>
              <w:top w:val="nil"/>
              <w:left w:val="nil"/>
              <w:bottom w:val="single" w:sz="4" w:space="0" w:color="auto"/>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i/>
                <w:color w:val="000000"/>
                <w:sz w:val="22"/>
                <w:szCs w:val="22"/>
              </w:rPr>
              <w:t>Var</w:t>
            </w:r>
            <w:r w:rsidRPr="00740526">
              <w:rPr>
                <w:rFonts w:ascii="Times New Roman" w:hAnsi="Times New Roman" w:cs="Times New Roman"/>
                <w:color w:val="000000"/>
                <w:sz w:val="22"/>
                <w:szCs w:val="22"/>
              </w:rPr>
              <w:t xml:space="preserve"> (</w:t>
            </w:r>
            <w:r w:rsidRPr="00740526">
              <w:rPr>
                <w:rFonts w:ascii="Times New Roman" w:hAnsi="Times New Roman" w:cs="Times New Roman"/>
                <w:i/>
                <w:color w:val="000000"/>
                <w:sz w:val="22"/>
                <w:szCs w:val="22"/>
              </w:rPr>
              <w:t>AdjDIND</w:t>
            </w:r>
            <w:r w:rsidRPr="00740526">
              <w:rPr>
                <w:rFonts w:ascii="Times New Roman" w:hAnsi="Times New Roman" w:cs="Times New Roman"/>
                <w:color w:val="000000"/>
                <w:sz w:val="22"/>
                <w:szCs w:val="22"/>
              </w:rPr>
              <w:t>)</w:t>
            </w:r>
          </w:p>
        </w:tc>
        <w:tc>
          <w:tcPr>
            <w:tcW w:w="431" w:type="pct"/>
            <w:tcBorders>
              <w:top w:val="nil"/>
              <w:left w:val="nil"/>
              <w:bottom w:val="single" w:sz="4" w:space="0" w:color="auto"/>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i/>
                <w:color w:val="000000"/>
                <w:sz w:val="22"/>
                <w:szCs w:val="22"/>
              </w:rPr>
              <w:t>Var</w:t>
            </w:r>
            <w:r w:rsidRPr="00740526">
              <w:rPr>
                <w:rFonts w:ascii="Times New Roman" w:hAnsi="Times New Roman" w:cs="Times New Roman"/>
                <w:color w:val="000000"/>
                <w:sz w:val="22"/>
                <w:szCs w:val="22"/>
              </w:rPr>
              <w:t>(</w:t>
            </w:r>
            <w:r w:rsidRPr="00740526">
              <w:rPr>
                <w:rFonts w:ascii="Times New Roman" w:hAnsi="Times New Roman" w:cs="Times New Roman"/>
                <w:i/>
                <w:color w:val="000000"/>
                <w:sz w:val="22"/>
                <w:szCs w:val="22"/>
              </w:rPr>
              <w:t>ε</w:t>
            </w:r>
            <w:r w:rsidRPr="00740526">
              <w:rPr>
                <w:rFonts w:ascii="Times New Roman" w:hAnsi="Times New Roman" w:cs="Times New Roman"/>
                <w:color w:val="000000"/>
                <w:sz w:val="22"/>
                <w:szCs w:val="22"/>
              </w:rPr>
              <w:t>)</w:t>
            </w:r>
          </w:p>
        </w:tc>
      </w:tr>
      <w:tr w:rsidR="00523FB7" w:rsidRPr="00740526" w:rsidTr="00747FB4">
        <w:trPr>
          <w:trHeight w:val="315"/>
          <w:jc w:val="center"/>
        </w:trPr>
        <w:tc>
          <w:tcPr>
            <w:tcW w:w="715"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i/>
                <w:color w:val="000000"/>
              </w:rPr>
            </w:pPr>
            <w:r w:rsidRPr="00740526">
              <w:rPr>
                <w:rFonts w:ascii="Times New Roman" w:hAnsi="Times New Roman" w:cs="Times New Roman"/>
                <w:i/>
                <w:color w:val="000000"/>
                <w:sz w:val="22"/>
                <w:szCs w:val="22"/>
              </w:rPr>
              <w:t>R</w:t>
            </w:r>
            <w:r w:rsidRPr="00740526">
              <w:rPr>
                <w:rFonts w:ascii="Times New Roman" w:hAnsi="Times New Roman" w:cs="Times New Roman"/>
                <w:i/>
                <w:color w:val="000000"/>
                <w:sz w:val="22"/>
                <w:szCs w:val="22"/>
                <w:vertAlign w:val="subscript"/>
              </w:rPr>
              <w:t>HML</w:t>
            </w:r>
          </w:p>
        </w:tc>
        <w:tc>
          <w:tcPr>
            <w:tcW w:w="531"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0.42 </w:t>
            </w:r>
          </w:p>
        </w:tc>
        <w:tc>
          <w:tcPr>
            <w:tcW w:w="531"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-0.26 </w:t>
            </w:r>
          </w:p>
        </w:tc>
        <w:tc>
          <w:tcPr>
            <w:tcW w:w="531" w:type="pct"/>
            <w:tcBorders>
              <w:top w:val="single" w:sz="4" w:space="0" w:color="auto"/>
              <w:left w:val="nil"/>
              <w:bottom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0.09 </w:t>
            </w:r>
          </w:p>
        </w:tc>
        <w:tc>
          <w:tcPr>
            <w:tcW w:w="178" w:type="pct"/>
            <w:tcBorders>
              <w:bottom w:val="nil"/>
              <w:right w:val="nil"/>
            </w:tcBorders>
          </w:tcPr>
          <w:p w:rsidR="00523FB7" w:rsidRPr="00781EE7" w:rsidRDefault="00523FB7" w:rsidP="00747FB4">
            <w:pPr>
              <w:snapToGrid w:val="0"/>
              <w:rPr>
                <w:rFonts w:ascii="Times New Roman" w:hAnsi="Times New Roman" w:cs="Times New Roman"/>
                <w:color w:val="000000"/>
              </w:rPr>
            </w:pPr>
          </w:p>
        </w:tc>
        <w:tc>
          <w:tcPr>
            <w:tcW w:w="893"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81EE7">
              <w:rPr>
                <w:rFonts w:ascii="Times New Roman" w:hAnsi="Times New Roman" w:cs="Times New Roman"/>
                <w:color w:val="000000"/>
                <w:sz w:val="22"/>
                <w:szCs w:val="22"/>
              </w:rPr>
              <w:t xml:space="preserve">Components of </w:t>
            </w:r>
            <w:r w:rsidRPr="00781EE7">
              <w:rPr>
                <w:rFonts w:ascii="Times New Roman" w:hAnsi="Times New Roman" w:cs="Times New Roman"/>
                <w:i/>
                <w:color w:val="000000"/>
                <w:sz w:val="22"/>
                <w:szCs w:val="22"/>
              </w:rPr>
              <w:t>Var</w:t>
            </w:r>
            <w:r w:rsidRPr="00781EE7">
              <w:rPr>
                <w:rFonts w:ascii="Times New Roman" w:hAnsi="Times New Roman" w:cs="Times New Roman"/>
                <w:color w:val="000000"/>
                <w:sz w:val="22"/>
                <w:szCs w:val="22"/>
              </w:rPr>
              <w:t>(</w:t>
            </w:r>
            <w:r w:rsidRPr="00781EE7">
              <w:rPr>
                <w:rFonts w:ascii="Times New Roman" w:hAnsi="Times New Roman" w:cs="Times New Roman"/>
                <w:i/>
                <w:color w:val="000000"/>
                <w:sz w:val="22"/>
                <w:szCs w:val="22"/>
              </w:rPr>
              <w:t>R</w:t>
            </w:r>
            <w:r w:rsidRPr="00781EE7">
              <w:rPr>
                <w:rFonts w:ascii="Times New Roman" w:hAnsi="Times New Roman" w:cs="Times New Roman"/>
                <w:i/>
                <w:color w:val="000000"/>
                <w:sz w:val="22"/>
                <w:szCs w:val="22"/>
                <w:vertAlign w:val="subscript"/>
              </w:rPr>
              <w:t>HML</w:t>
            </w:r>
            <w:r w:rsidRPr="00781EE7">
              <w:rPr>
                <w:rFonts w:ascii="Times New Roman" w:hAnsi="Times New Roman" w:cs="Times New Roman"/>
                <w:color w:val="000000"/>
                <w:sz w:val="22"/>
                <w:szCs w:val="22"/>
              </w:rPr>
              <w:t>)</w:t>
            </w:r>
          </w:p>
        </w:tc>
        <w:tc>
          <w:tcPr>
            <w:tcW w:w="540"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0.00016 </w:t>
            </w:r>
          </w:p>
        </w:tc>
        <w:tc>
          <w:tcPr>
            <w:tcW w:w="650"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0.00006 </w:t>
            </w:r>
          </w:p>
        </w:tc>
        <w:tc>
          <w:tcPr>
            <w:tcW w:w="431"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0.00168 </w:t>
            </w:r>
          </w:p>
        </w:tc>
      </w:tr>
      <w:tr w:rsidR="00523FB7" w:rsidRPr="00740526" w:rsidTr="00747FB4">
        <w:trPr>
          <w:trHeight w:val="315"/>
          <w:jc w:val="center"/>
        </w:trPr>
        <w:tc>
          <w:tcPr>
            <w:tcW w:w="715"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t</w:t>
            </w:r>
            <w:r w:rsidRPr="00740526">
              <w:rPr>
                <w:rFonts w:ascii="Times New Roman" w:hAnsi="Times New Roman" w:cs="Times New Roman"/>
                <w:color w:val="000000"/>
                <w:sz w:val="22"/>
                <w:szCs w:val="22"/>
              </w:rPr>
              <w:t>-ratio</w:t>
            </w:r>
          </w:p>
        </w:tc>
        <w:tc>
          <w:tcPr>
            <w:tcW w:w="5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(5.73)</w:t>
            </w:r>
          </w:p>
        </w:tc>
        <w:tc>
          <w:tcPr>
            <w:tcW w:w="5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(-3.53)</w:t>
            </w:r>
          </w:p>
        </w:tc>
        <w:tc>
          <w:tcPr>
            <w:tcW w:w="531" w:type="pct"/>
            <w:tcBorders>
              <w:top w:val="nil"/>
              <w:left w:val="nil"/>
              <w:bottom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p>
        </w:tc>
        <w:tc>
          <w:tcPr>
            <w:tcW w:w="178" w:type="pct"/>
            <w:tcBorders>
              <w:top w:val="nil"/>
              <w:bottom w:val="nil"/>
              <w:right w:val="nil"/>
            </w:tcBorders>
            <w:vAlign w:val="center"/>
          </w:tcPr>
          <w:p w:rsidR="00523FB7" w:rsidRPr="00781EE7" w:rsidRDefault="00523FB7" w:rsidP="00747FB4">
            <w:pPr>
              <w:snapToGrid w:val="0"/>
              <w:rPr>
                <w:rFonts w:ascii="Times New Roman" w:hAnsi="Times New Roman" w:cs="Times New Roman"/>
                <w:color w:val="000000"/>
              </w:rPr>
            </w:pPr>
          </w:p>
        </w:tc>
        <w:tc>
          <w:tcPr>
            <w:tcW w:w="893"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40526">
              <w:rPr>
                <w:rFonts w:ascii="Times New Roman" w:hAnsi="Times New Roman" w:cs="Times New Roman"/>
                <w:color w:val="000000"/>
                <w:sz w:val="22"/>
                <w:szCs w:val="22"/>
              </w:rPr>
              <w:t>Percentage</w:t>
            </w:r>
          </w:p>
        </w:tc>
        <w:tc>
          <w:tcPr>
            <w:tcW w:w="540"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[8.87%]</w:t>
            </w:r>
          </w:p>
        </w:tc>
        <w:tc>
          <w:tcPr>
            <w:tcW w:w="650"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[3.36%]</w:t>
            </w:r>
          </w:p>
        </w:tc>
        <w:tc>
          <w:tcPr>
            <w:tcW w:w="4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[90.48%]</w:t>
            </w:r>
          </w:p>
        </w:tc>
      </w:tr>
      <w:tr w:rsidR="00523FB7" w:rsidRPr="00740526" w:rsidTr="00747FB4">
        <w:trPr>
          <w:trHeight w:val="315"/>
          <w:jc w:val="center"/>
        </w:trPr>
        <w:tc>
          <w:tcPr>
            <w:tcW w:w="715"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i/>
                <w:color w:val="000000"/>
              </w:rPr>
            </w:pPr>
            <w:r w:rsidRPr="00740526">
              <w:rPr>
                <w:rFonts w:ascii="Times New Roman" w:hAnsi="Times New Roman" w:cs="Times New Roman"/>
                <w:i/>
                <w:color w:val="000000"/>
                <w:sz w:val="22"/>
                <w:szCs w:val="22"/>
              </w:rPr>
              <w:t>R</w:t>
            </w:r>
            <w:r w:rsidRPr="00740526">
              <w:rPr>
                <w:rFonts w:ascii="Times New Roman" w:hAnsi="Times New Roman" w:cs="Times New Roman"/>
                <w:i/>
                <w:color w:val="000000"/>
                <w:sz w:val="22"/>
                <w:szCs w:val="22"/>
                <w:vertAlign w:val="subscript"/>
              </w:rPr>
              <w:t>SMB</w:t>
            </w:r>
          </w:p>
        </w:tc>
        <w:tc>
          <w:tcPr>
            <w:tcW w:w="5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-0.76 </w:t>
            </w:r>
          </w:p>
        </w:tc>
        <w:tc>
          <w:tcPr>
            <w:tcW w:w="5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-0.33 </w:t>
            </w:r>
          </w:p>
        </w:tc>
        <w:tc>
          <w:tcPr>
            <w:tcW w:w="531" w:type="pct"/>
            <w:tcBorders>
              <w:top w:val="nil"/>
              <w:left w:val="nil"/>
              <w:bottom w:val="nil"/>
            </w:tcBorders>
            <w:noWrap/>
            <w:tcMar>
              <w:top w:w="12" w:type="dxa"/>
              <w:left w:w="12" w:type="dxa"/>
              <w:bottom w:w="0" w:type="dxa"/>
              <w:right w:w="12" w:type="dxa"/>
            </w:tcMa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0.16 </w:t>
            </w:r>
          </w:p>
        </w:tc>
        <w:tc>
          <w:tcPr>
            <w:tcW w:w="178" w:type="pct"/>
            <w:tcBorders>
              <w:top w:val="nil"/>
              <w:bottom w:val="nil"/>
              <w:right w:val="nil"/>
            </w:tcBorders>
          </w:tcPr>
          <w:p w:rsidR="00523FB7" w:rsidRPr="00781EE7" w:rsidRDefault="00523FB7" w:rsidP="00747FB4">
            <w:pPr>
              <w:snapToGrid w:val="0"/>
              <w:rPr>
                <w:rFonts w:ascii="Times New Roman" w:hAnsi="Times New Roman" w:cs="Times New Roman"/>
                <w:color w:val="000000"/>
              </w:rPr>
            </w:pPr>
          </w:p>
        </w:tc>
        <w:tc>
          <w:tcPr>
            <w:tcW w:w="893"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81EE7">
              <w:rPr>
                <w:rFonts w:ascii="Times New Roman" w:hAnsi="Times New Roman" w:cs="Times New Roman"/>
                <w:color w:val="000000"/>
                <w:sz w:val="22"/>
                <w:szCs w:val="22"/>
              </w:rPr>
              <w:t xml:space="preserve">Components of </w:t>
            </w:r>
            <w:r w:rsidRPr="00781EE7">
              <w:rPr>
                <w:rFonts w:ascii="Times New Roman" w:hAnsi="Times New Roman" w:cs="Times New Roman"/>
                <w:i/>
                <w:color w:val="000000"/>
                <w:sz w:val="22"/>
                <w:szCs w:val="22"/>
              </w:rPr>
              <w:t>Var</w:t>
            </w:r>
            <w:r w:rsidRPr="00781EE7">
              <w:rPr>
                <w:rFonts w:ascii="Times New Roman" w:hAnsi="Times New Roman" w:cs="Times New Roman"/>
                <w:color w:val="000000"/>
                <w:sz w:val="22"/>
                <w:szCs w:val="22"/>
              </w:rPr>
              <w:t>(</w:t>
            </w:r>
            <w:r w:rsidRPr="00781EE7">
              <w:rPr>
                <w:rFonts w:ascii="Times New Roman" w:hAnsi="Times New Roman" w:cs="Times New Roman"/>
                <w:i/>
                <w:color w:val="000000"/>
                <w:sz w:val="22"/>
                <w:szCs w:val="22"/>
              </w:rPr>
              <w:t>R</w:t>
            </w:r>
            <w:r w:rsidRPr="00781EE7">
              <w:rPr>
                <w:rFonts w:ascii="Times New Roman" w:hAnsi="Times New Roman" w:cs="Times New Roman"/>
                <w:i/>
                <w:color w:val="000000"/>
                <w:sz w:val="22"/>
                <w:szCs w:val="22"/>
                <w:vertAlign w:val="subscript"/>
              </w:rPr>
              <w:t>SMB</w:t>
            </w:r>
            <w:r w:rsidRPr="00781EE7">
              <w:rPr>
                <w:rFonts w:ascii="Times New Roman" w:hAnsi="Times New Roman" w:cs="Times New Roman"/>
                <w:color w:val="000000"/>
                <w:sz w:val="22"/>
                <w:szCs w:val="22"/>
              </w:rPr>
              <w:t>)</w:t>
            </w:r>
          </w:p>
        </w:tc>
        <w:tc>
          <w:tcPr>
            <w:tcW w:w="540"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0.00054 </w:t>
            </w:r>
          </w:p>
        </w:tc>
        <w:tc>
          <w:tcPr>
            <w:tcW w:w="650"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0.00010 </w:t>
            </w:r>
          </w:p>
        </w:tc>
        <w:tc>
          <w:tcPr>
            <w:tcW w:w="4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0.00372 </w:t>
            </w:r>
          </w:p>
        </w:tc>
      </w:tr>
      <w:tr w:rsidR="00523FB7" w:rsidRPr="00740526" w:rsidTr="00747FB4">
        <w:trPr>
          <w:trHeight w:val="315"/>
          <w:jc w:val="center"/>
        </w:trPr>
        <w:tc>
          <w:tcPr>
            <w:tcW w:w="715"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t</w:t>
            </w:r>
            <w:r w:rsidRPr="00740526">
              <w:rPr>
                <w:rFonts w:ascii="Times New Roman" w:hAnsi="Times New Roman" w:cs="Times New Roman"/>
                <w:color w:val="000000"/>
                <w:sz w:val="22"/>
                <w:szCs w:val="22"/>
              </w:rPr>
              <w:t>-ratio</w:t>
            </w:r>
          </w:p>
        </w:tc>
        <w:tc>
          <w:tcPr>
            <w:tcW w:w="5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(-7.00)</w:t>
            </w:r>
          </w:p>
        </w:tc>
        <w:tc>
          <w:tcPr>
            <w:tcW w:w="5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(-2.99)</w:t>
            </w:r>
          </w:p>
        </w:tc>
        <w:tc>
          <w:tcPr>
            <w:tcW w:w="531" w:type="pct"/>
            <w:tcBorders>
              <w:top w:val="nil"/>
              <w:left w:val="nil"/>
              <w:bottom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p>
        </w:tc>
        <w:tc>
          <w:tcPr>
            <w:tcW w:w="178" w:type="pct"/>
            <w:tcBorders>
              <w:top w:val="nil"/>
              <w:bottom w:val="nil"/>
              <w:right w:val="nil"/>
            </w:tcBorders>
            <w:vAlign w:val="center"/>
          </w:tcPr>
          <w:p w:rsidR="00523FB7" w:rsidRPr="00781EE7" w:rsidRDefault="00523FB7" w:rsidP="00747FB4">
            <w:pPr>
              <w:snapToGrid w:val="0"/>
              <w:rPr>
                <w:rFonts w:ascii="Times New Roman" w:hAnsi="Times New Roman" w:cs="Times New Roman"/>
                <w:color w:val="000000"/>
              </w:rPr>
            </w:pPr>
          </w:p>
        </w:tc>
        <w:tc>
          <w:tcPr>
            <w:tcW w:w="893"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40526">
              <w:rPr>
                <w:rFonts w:ascii="Times New Roman" w:hAnsi="Times New Roman" w:cs="Times New Roman"/>
                <w:color w:val="000000"/>
                <w:sz w:val="22"/>
                <w:szCs w:val="22"/>
              </w:rPr>
              <w:t>Percentage</w:t>
            </w:r>
          </w:p>
        </w:tc>
        <w:tc>
          <w:tcPr>
            <w:tcW w:w="540"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[12.14%]</w:t>
            </w:r>
          </w:p>
        </w:tc>
        <w:tc>
          <w:tcPr>
            <w:tcW w:w="650"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[2.21%]</w:t>
            </w:r>
          </w:p>
        </w:tc>
        <w:tc>
          <w:tcPr>
            <w:tcW w:w="4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[83.07%]</w:t>
            </w:r>
          </w:p>
        </w:tc>
      </w:tr>
      <w:tr w:rsidR="00523FB7" w:rsidRPr="00740526" w:rsidTr="00747FB4">
        <w:trPr>
          <w:trHeight w:val="315"/>
          <w:jc w:val="center"/>
        </w:trPr>
        <w:tc>
          <w:tcPr>
            <w:tcW w:w="2308" w:type="pct"/>
            <w:gridSpan w:val="4"/>
            <w:tcBorders>
              <w:top w:val="nil"/>
              <w:lef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40526">
              <w:rPr>
                <w:rFonts w:ascii="Times New Roman" w:hAnsi="Times New Roman" w:cs="Times New Roman"/>
                <w:color w:val="000000"/>
                <w:sz w:val="22"/>
                <w:szCs w:val="22"/>
              </w:rPr>
              <w:t>Value weighted</w:t>
            </w:r>
          </w:p>
        </w:tc>
        <w:tc>
          <w:tcPr>
            <w:tcW w:w="2692" w:type="pct"/>
            <w:gridSpan w:val="5"/>
            <w:tcBorders>
              <w:top w:val="nil"/>
              <w:bottom w:val="nil"/>
              <w:right w:val="nil"/>
            </w:tcBorders>
            <w:vAlign w:val="center"/>
          </w:tcPr>
          <w:p w:rsidR="00523FB7" w:rsidRPr="00781EE7" w:rsidRDefault="00523FB7" w:rsidP="00747FB4">
            <w:pPr>
              <w:snapToGrid w:val="0"/>
              <w:rPr>
                <w:rFonts w:ascii="Times New Roman" w:hAnsi="Times New Roman" w:cs="Times New Roman"/>
                <w:color w:val="000000"/>
              </w:rPr>
            </w:pPr>
          </w:p>
        </w:tc>
      </w:tr>
      <w:tr w:rsidR="00523FB7" w:rsidRPr="00740526" w:rsidTr="00747FB4">
        <w:trPr>
          <w:trHeight w:val="315"/>
          <w:jc w:val="center"/>
        </w:trPr>
        <w:tc>
          <w:tcPr>
            <w:tcW w:w="715"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i/>
                <w:color w:val="000000"/>
              </w:rPr>
            </w:pPr>
            <w:r w:rsidRPr="00740526">
              <w:rPr>
                <w:rFonts w:ascii="Times New Roman" w:hAnsi="Times New Roman" w:cs="Times New Roman"/>
                <w:i/>
                <w:color w:val="000000"/>
                <w:sz w:val="22"/>
                <w:szCs w:val="22"/>
              </w:rPr>
              <w:t>R</w:t>
            </w:r>
            <w:r w:rsidRPr="00740526">
              <w:rPr>
                <w:rFonts w:ascii="Times New Roman" w:hAnsi="Times New Roman" w:cs="Times New Roman"/>
                <w:i/>
                <w:color w:val="000000"/>
                <w:sz w:val="22"/>
                <w:szCs w:val="22"/>
                <w:vertAlign w:val="subscript"/>
              </w:rPr>
              <w:t>HML</w:t>
            </w:r>
          </w:p>
        </w:tc>
        <w:tc>
          <w:tcPr>
            <w:tcW w:w="531"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0.37 </w:t>
            </w:r>
          </w:p>
        </w:tc>
        <w:tc>
          <w:tcPr>
            <w:tcW w:w="531"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0.07 </w:t>
            </w:r>
          </w:p>
        </w:tc>
        <w:tc>
          <w:tcPr>
            <w:tcW w:w="531" w:type="pct"/>
            <w:tcBorders>
              <w:top w:val="single" w:sz="4" w:space="0" w:color="auto"/>
              <w:left w:val="nil"/>
              <w:bottom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0.02 </w:t>
            </w:r>
          </w:p>
        </w:tc>
        <w:tc>
          <w:tcPr>
            <w:tcW w:w="178" w:type="pct"/>
            <w:tcBorders>
              <w:top w:val="nil"/>
              <w:bottom w:val="nil"/>
              <w:right w:val="nil"/>
            </w:tcBorders>
          </w:tcPr>
          <w:p w:rsidR="00523FB7" w:rsidRPr="00781EE7" w:rsidRDefault="00523FB7" w:rsidP="00747FB4">
            <w:pPr>
              <w:snapToGrid w:val="0"/>
              <w:rPr>
                <w:rFonts w:ascii="Times New Roman" w:hAnsi="Times New Roman" w:cs="Times New Roman"/>
                <w:color w:val="000000"/>
              </w:rPr>
            </w:pPr>
          </w:p>
        </w:tc>
        <w:tc>
          <w:tcPr>
            <w:tcW w:w="893"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81EE7">
              <w:rPr>
                <w:rFonts w:ascii="Times New Roman" w:hAnsi="Times New Roman" w:cs="Times New Roman"/>
                <w:color w:val="000000"/>
                <w:sz w:val="22"/>
                <w:szCs w:val="22"/>
              </w:rPr>
              <w:t xml:space="preserve">Components of </w:t>
            </w:r>
            <w:r w:rsidRPr="00781EE7">
              <w:rPr>
                <w:rFonts w:ascii="Times New Roman" w:hAnsi="Times New Roman" w:cs="Times New Roman"/>
                <w:i/>
                <w:color w:val="000000"/>
                <w:sz w:val="22"/>
                <w:szCs w:val="22"/>
              </w:rPr>
              <w:t>Var</w:t>
            </w:r>
            <w:r w:rsidRPr="00781EE7">
              <w:rPr>
                <w:rFonts w:ascii="Times New Roman" w:hAnsi="Times New Roman" w:cs="Times New Roman"/>
                <w:color w:val="000000"/>
                <w:sz w:val="22"/>
                <w:szCs w:val="22"/>
              </w:rPr>
              <w:t>(</w:t>
            </w:r>
            <w:r w:rsidRPr="00781EE7">
              <w:rPr>
                <w:rFonts w:ascii="Times New Roman" w:hAnsi="Times New Roman" w:cs="Times New Roman"/>
                <w:i/>
                <w:color w:val="000000"/>
                <w:sz w:val="22"/>
                <w:szCs w:val="22"/>
              </w:rPr>
              <w:t>R</w:t>
            </w:r>
            <w:r w:rsidRPr="00781EE7">
              <w:rPr>
                <w:rFonts w:ascii="Times New Roman" w:hAnsi="Times New Roman" w:cs="Times New Roman"/>
                <w:i/>
                <w:color w:val="000000"/>
                <w:sz w:val="22"/>
                <w:szCs w:val="22"/>
                <w:vertAlign w:val="subscript"/>
              </w:rPr>
              <w:t>HML</w:t>
            </w:r>
            <w:r w:rsidRPr="00781EE7">
              <w:rPr>
                <w:rFonts w:ascii="Times New Roman" w:hAnsi="Times New Roman" w:cs="Times New Roman"/>
                <w:color w:val="000000"/>
                <w:sz w:val="22"/>
                <w:szCs w:val="22"/>
              </w:rPr>
              <w:t>)</w:t>
            </w:r>
          </w:p>
        </w:tc>
        <w:tc>
          <w:tcPr>
            <w:tcW w:w="540"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0.00014 </w:t>
            </w:r>
          </w:p>
        </w:tc>
        <w:tc>
          <w:tcPr>
            <w:tcW w:w="650"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0.00001 </w:t>
            </w:r>
          </w:p>
        </w:tc>
        <w:tc>
          <w:tcPr>
            <w:tcW w:w="431" w:type="pct"/>
            <w:tcBorders>
              <w:top w:val="single" w:sz="4" w:space="0" w:color="auto"/>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0.00516 </w:t>
            </w:r>
          </w:p>
        </w:tc>
      </w:tr>
      <w:tr w:rsidR="00523FB7" w:rsidRPr="00740526" w:rsidTr="00747FB4">
        <w:trPr>
          <w:trHeight w:val="315"/>
          <w:jc w:val="center"/>
        </w:trPr>
        <w:tc>
          <w:tcPr>
            <w:tcW w:w="715"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t</w:t>
            </w:r>
            <w:r w:rsidRPr="00740526">
              <w:rPr>
                <w:rFonts w:ascii="Times New Roman" w:hAnsi="Times New Roman" w:cs="Times New Roman"/>
                <w:color w:val="000000"/>
                <w:sz w:val="22"/>
                <w:szCs w:val="22"/>
              </w:rPr>
              <w:t>-ratio</w:t>
            </w:r>
          </w:p>
        </w:tc>
        <w:tc>
          <w:tcPr>
            <w:tcW w:w="5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(3.06)</w:t>
            </w:r>
          </w:p>
        </w:tc>
        <w:tc>
          <w:tcPr>
            <w:tcW w:w="5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(0.77)</w:t>
            </w:r>
          </w:p>
        </w:tc>
        <w:tc>
          <w:tcPr>
            <w:tcW w:w="531" w:type="pct"/>
            <w:tcBorders>
              <w:top w:val="nil"/>
              <w:left w:val="nil"/>
              <w:bottom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p>
        </w:tc>
        <w:tc>
          <w:tcPr>
            <w:tcW w:w="178" w:type="pct"/>
            <w:tcBorders>
              <w:top w:val="nil"/>
              <w:bottom w:val="nil"/>
              <w:right w:val="nil"/>
            </w:tcBorders>
            <w:vAlign w:val="center"/>
          </w:tcPr>
          <w:p w:rsidR="00523FB7" w:rsidRPr="00781EE7" w:rsidRDefault="00523FB7" w:rsidP="00747FB4">
            <w:pPr>
              <w:snapToGrid w:val="0"/>
              <w:rPr>
                <w:rFonts w:ascii="Times New Roman" w:hAnsi="Times New Roman" w:cs="Times New Roman"/>
                <w:color w:val="000000"/>
              </w:rPr>
            </w:pPr>
          </w:p>
        </w:tc>
        <w:tc>
          <w:tcPr>
            <w:tcW w:w="893"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40526">
              <w:rPr>
                <w:rFonts w:ascii="Times New Roman" w:hAnsi="Times New Roman" w:cs="Times New Roman"/>
                <w:color w:val="000000"/>
                <w:sz w:val="22"/>
                <w:szCs w:val="22"/>
              </w:rPr>
              <w:t>Percentage</w:t>
            </w:r>
          </w:p>
        </w:tc>
        <w:tc>
          <w:tcPr>
            <w:tcW w:w="540"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[2.56%]</w:t>
            </w:r>
          </w:p>
        </w:tc>
        <w:tc>
          <w:tcPr>
            <w:tcW w:w="650"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[0.16%]</w:t>
            </w:r>
          </w:p>
        </w:tc>
        <w:tc>
          <w:tcPr>
            <w:tcW w:w="431" w:type="pct"/>
            <w:tcBorders>
              <w:top w:val="nil"/>
              <w:left w:val="nil"/>
              <w:bottom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[97.28%]</w:t>
            </w:r>
          </w:p>
        </w:tc>
      </w:tr>
      <w:tr w:rsidR="00523FB7" w:rsidRPr="00740526" w:rsidTr="00747FB4">
        <w:trPr>
          <w:trHeight w:val="315"/>
          <w:jc w:val="center"/>
        </w:trPr>
        <w:tc>
          <w:tcPr>
            <w:tcW w:w="715" w:type="pct"/>
            <w:tcBorders>
              <w:top w:val="nil"/>
              <w:left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i/>
                <w:color w:val="000000"/>
              </w:rPr>
            </w:pPr>
            <w:r w:rsidRPr="00740526">
              <w:rPr>
                <w:rFonts w:ascii="Times New Roman" w:hAnsi="Times New Roman" w:cs="Times New Roman"/>
                <w:i/>
                <w:color w:val="000000"/>
                <w:sz w:val="22"/>
                <w:szCs w:val="22"/>
              </w:rPr>
              <w:t>R</w:t>
            </w:r>
            <w:r w:rsidRPr="00740526">
              <w:rPr>
                <w:rFonts w:ascii="Times New Roman" w:hAnsi="Times New Roman" w:cs="Times New Roman"/>
                <w:i/>
                <w:color w:val="000000"/>
                <w:sz w:val="22"/>
                <w:szCs w:val="22"/>
                <w:vertAlign w:val="subscript"/>
              </w:rPr>
              <w:t>SMB</w:t>
            </w:r>
          </w:p>
        </w:tc>
        <w:tc>
          <w:tcPr>
            <w:tcW w:w="531" w:type="pct"/>
            <w:tcBorders>
              <w:top w:val="nil"/>
              <w:left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-0.33 </w:t>
            </w:r>
          </w:p>
        </w:tc>
        <w:tc>
          <w:tcPr>
            <w:tcW w:w="531" w:type="pct"/>
            <w:tcBorders>
              <w:top w:val="nil"/>
              <w:left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-0.27 </w:t>
            </w:r>
          </w:p>
        </w:tc>
        <w:tc>
          <w:tcPr>
            <w:tcW w:w="531" w:type="pct"/>
            <w:tcBorders>
              <w:top w:val="nil"/>
              <w:lef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0.05 </w:t>
            </w:r>
          </w:p>
        </w:tc>
        <w:tc>
          <w:tcPr>
            <w:tcW w:w="178" w:type="pct"/>
            <w:tcBorders>
              <w:top w:val="nil"/>
              <w:right w:val="nil"/>
            </w:tcBorders>
          </w:tcPr>
          <w:p w:rsidR="00523FB7" w:rsidRPr="00781EE7" w:rsidRDefault="00523FB7" w:rsidP="00747FB4">
            <w:pPr>
              <w:snapToGrid w:val="0"/>
              <w:rPr>
                <w:rFonts w:ascii="Times New Roman" w:hAnsi="Times New Roman" w:cs="Times New Roman"/>
                <w:color w:val="000000"/>
              </w:rPr>
            </w:pPr>
          </w:p>
        </w:tc>
        <w:tc>
          <w:tcPr>
            <w:tcW w:w="893" w:type="pct"/>
            <w:tcBorders>
              <w:top w:val="nil"/>
              <w:left w:val="nil"/>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81EE7">
              <w:rPr>
                <w:rFonts w:ascii="Times New Roman" w:hAnsi="Times New Roman" w:cs="Times New Roman"/>
                <w:color w:val="000000"/>
                <w:sz w:val="22"/>
                <w:szCs w:val="22"/>
              </w:rPr>
              <w:t xml:space="preserve">Components of </w:t>
            </w:r>
            <w:r w:rsidRPr="00781EE7">
              <w:rPr>
                <w:rFonts w:ascii="Times New Roman" w:hAnsi="Times New Roman" w:cs="Times New Roman"/>
                <w:i/>
                <w:color w:val="000000"/>
                <w:sz w:val="22"/>
                <w:szCs w:val="22"/>
              </w:rPr>
              <w:t>Var</w:t>
            </w:r>
            <w:r w:rsidRPr="00781EE7">
              <w:rPr>
                <w:rFonts w:ascii="Times New Roman" w:hAnsi="Times New Roman" w:cs="Times New Roman"/>
                <w:color w:val="000000"/>
                <w:sz w:val="22"/>
                <w:szCs w:val="22"/>
              </w:rPr>
              <w:t>(</w:t>
            </w:r>
            <w:r w:rsidRPr="00781EE7">
              <w:rPr>
                <w:rFonts w:ascii="Times New Roman" w:hAnsi="Times New Roman" w:cs="Times New Roman"/>
                <w:i/>
                <w:color w:val="000000"/>
                <w:sz w:val="22"/>
                <w:szCs w:val="22"/>
              </w:rPr>
              <w:t>R</w:t>
            </w:r>
            <w:r w:rsidRPr="00781EE7">
              <w:rPr>
                <w:rFonts w:ascii="Times New Roman" w:hAnsi="Times New Roman" w:cs="Times New Roman"/>
                <w:i/>
                <w:color w:val="000000"/>
                <w:sz w:val="22"/>
                <w:szCs w:val="22"/>
                <w:vertAlign w:val="subscript"/>
              </w:rPr>
              <w:t>SMB</w:t>
            </w:r>
            <w:r w:rsidRPr="00781EE7">
              <w:rPr>
                <w:rFonts w:ascii="Times New Roman" w:hAnsi="Times New Roman" w:cs="Times New Roman"/>
                <w:color w:val="000000"/>
                <w:sz w:val="22"/>
                <w:szCs w:val="22"/>
              </w:rPr>
              <w:t>)</w:t>
            </w:r>
          </w:p>
        </w:tc>
        <w:tc>
          <w:tcPr>
            <w:tcW w:w="540" w:type="pct"/>
            <w:tcBorders>
              <w:top w:val="nil"/>
              <w:left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0.00011 </w:t>
            </w:r>
          </w:p>
        </w:tc>
        <w:tc>
          <w:tcPr>
            <w:tcW w:w="650" w:type="pct"/>
            <w:tcBorders>
              <w:top w:val="nil"/>
              <w:left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0.00014 </w:t>
            </w:r>
          </w:p>
        </w:tc>
        <w:tc>
          <w:tcPr>
            <w:tcW w:w="431" w:type="pct"/>
            <w:tcBorders>
              <w:top w:val="nil"/>
              <w:left w:val="nil"/>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 xml:space="preserve">0.00450 </w:t>
            </w:r>
          </w:p>
        </w:tc>
      </w:tr>
      <w:tr w:rsidR="00523FB7" w:rsidRPr="00740526" w:rsidTr="00747FB4">
        <w:trPr>
          <w:trHeight w:val="315"/>
          <w:jc w:val="center"/>
        </w:trPr>
        <w:tc>
          <w:tcPr>
            <w:tcW w:w="715" w:type="pct"/>
            <w:tcBorders>
              <w:top w:val="nil"/>
              <w:left w:val="nil"/>
              <w:bottom w:val="double" w:sz="4" w:space="0" w:color="auto"/>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40526">
              <w:rPr>
                <w:rFonts w:ascii="Times New Roman" w:hAnsi="Times New Roman" w:cs="Times New Roman"/>
                <w:i/>
                <w:color w:val="000000"/>
                <w:sz w:val="22"/>
                <w:szCs w:val="22"/>
              </w:rPr>
              <w:t>t</w:t>
            </w:r>
            <w:r w:rsidRPr="00740526">
              <w:rPr>
                <w:rFonts w:ascii="Times New Roman" w:hAnsi="Times New Roman" w:cs="Times New Roman"/>
                <w:color w:val="000000"/>
                <w:sz w:val="22"/>
                <w:szCs w:val="22"/>
              </w:rPr>
              <w:t>-ratio</w:t>
            </w:r>
          </w:p>
        </w:tc>
        <w:tc>
          <w:tcPr>
            <w:tcW w:w="531" w:type="pct"/>
            <w:tcBorders>
              <w:top w:val="nil"/>
              <w:left w:val="nil"/>
              <w:bottom w:val="double" w:sz="4" w:space="0" w:color="auto"/>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(-2.91)</w:t>
            </w:r>
          </w:p>
        </w:tc>
        <w:tc>
          <w:tcPr>
            <w:tcW w:w="531" w:type="pct"/>
            <w:tcBorders>
              <w:top w:val="nil"/>
              <w:left w:val="nil"/>
              <w:bottom w:val="double" w:sz="4" w:space="0" w:color="auto"/>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(-3.26)</w:t>
            </w:r>
          </w:p>
        </w:tc>
        <w:tc>
          <w:tcPr>
            <w:tcW w:w="531" w:type="pct"/>
            <w:tcBorders>
              <w:top w:val="nil"/>
              <w:left w:val="nil"/>
              <w:bottom w:val="double" w:sz="4" w:space="0" w:color="auto"/>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p>
        </w:tc>
        <w:tc>
          <w:tcPr>
            <w:tcW w:w="178" w:type="pct"/>
            <w:tcBorders>
              <w:top w:val="nil"/>
              <w:bottom w:val="double" w:sz="4" w:space="0" w:color="auto"/>
              <w:right w:val="nil"/>
            </w:tcBorders>
            <w:vAlign w:val="center"/>
          </w:tcPr>
          <w:p w:rsidR="00523FB7" w:rsidRPr="00781EE7" w:rsidRDefault="00523FB7" w:rsidP="00747FB4">
            <w:pPr>
              <w:snapToGrid w:val="0"/>
              <w:rPr>
                <w:rFonts w:ascii="Times New Roman" w:hAnsi="Times New Roman" w:cs="Times New Roman"/>
                <w:color w:val="000000"/>
              </w:rPr>
            </w:pPr>
          </w:p>
        </w:tc>
        <w:tc>
          <w:tcPr>
            <w:tcW w:w="893" w:type="pct"/>
            <w:tcBorders>
              <w:top w:val="nil"/>
              <w:left w:val="nil"/>
              <w:bottom w:val="double" w:sz="4" w:space="0" w:color="auto"/>
              <w:right w:val="nil"/>
            </w:tcBorders>
            <w:noWrap/>
            <w:tcMar>
              <w:top w:w="12" w:type="dxa"/>
              <w:left w:w="12" w:type="dxa"/>
              <w:bottom w:w="0" w:type="dxa"/>
              <w:right w:w="12" w:type="dxa"/>
            </w:tcMar>
            <w:vAlign w:val="center"/>
          </w:tcPr>
          <w:p w:rsidR="00523FB7" w:rsidRPr="00781EE7" w:rsidRDefault="00523FB7" w:rsidP="00747FB4">
            <w:pPr>
              <w:snapToGrid w:val="0"/>
              <w:rPr>
                <w:rFonts w:ascii="Times New Roman" w:hAnsi="Times New Roman" w:cs="Times New Roman"/>
                <w:color w:val="000000"/>
              </w:rPr>
            </w:pPr>
            <w:r w:rsidRPr="00740526">
              <w:rPr>
                <w:rFonts w:ascii="Times New Roman" w:hAnsi="Times New Roman" w:cs="Times New Roman"/>
                <w:color w:val="000000"/>
                <w:sz w:val="22"/>
                <w:szCs w:val="22"/>
              </w:rPr>
              <w:t>Percentage</w:t>
            </w:r>
          </w:p>
        </w:tc>
        <w:tc>
          <w:tcPr>
            <w:tcW w:w="540" w:type="pct"/>
            <w:tcBorders>
              <w:top w:val="nil"/>
              <w:left w:val="nil"/>
              <w:bottom w:val="double" w:sz="4" w:space="0" w:color="auto"/>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[2.25%]</w:t>
            </w:r>
          </w:p>
        </w:tc>
        <w:tc>
          <w:tcPr>
            <w:tcW w:w="650" w:type="pct"/>
            <w:tcBorders>
              <w:top w:val="nil"/>
              <w:left w:val="nil"/>
              <w:bottom w:val="double" w:sz="4" w:space="0" w:color="auto"/>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[2.85%]</w:t>
            </w:r>
          </w:p>
        </w:tc>
        <w:tc>
          <w:tcPr>
            <w:tcW w:w="431" w:type="pct"/>
            <w:tcBorders>
              <w:top w:val="nil"/>
              <w:left w:val="nil"/>
              <w:bottom w:val="double" w:sz="4" w:space="0" w:color="auto"/>
              <w:right w:val="nil"/>
            </w:tcBorders>
            <w:noWrap/>
            <w:tcMar>
              <w:top w:w="12" w:type="dxa"/>
              <w:left w:w="12" w:type="dxa"/>
              <w:bottom w:w="0" w:type="dxa"/>
              <w:right w:w="12" w:type="dxa"/>
            </w:tcMar>
            <w:vAlign w:val="center"/>
          </w:tcPr>
          <w:p w:rsidR="00523FB7" w:rsidRPr="00781EE7" w:rsidRDefault="00523FB7" w:rsidP="00747FB4">
            <w:pPr>
              <w:snapToGrid w:val="0"/>
              <w:jc w:val="right"/>
              <w:rPr>
                <w:rFonts w:ascii="Times New Roman" w:hAnsi="Times New Roman" w:cs="Times New Roman"/>
                <w:color w:val="000000"/>
              </w:rPr>
            </w:pPr>
            <w:r w:rsidRPr="00740526">
              <w:rPr>
                <w:rFonts w:ascii="Times New Roman" w:hAnsi="Times New Roman" w:cs="Times New Roman"/>
                <w:color w:val="000000"/>
                <w:sz w:val="22"/>
                <w:szCs w:val="22"/>
              </w:rPr>
              <w:t>[94.92%]</w:t>
            </w:r>
          </w:p>
        </w:tc>
      </w:tr>
    </w:tbl>
    <w:p w:rsidR="00523FB7" w:rsidRDefault="00523FB7" w:rsidP="006D7557">
      <w:pPr>
        <w:rPr>
          <w:rFonts w:ascii="Times New Roman" w:hAnsi="Times New Roman" w:cs="Times New Roman"/>
        </w:rPr>
      </w:pPr>
    </w:p>
    <w:p w:rsidR="00523FB7" w:rsidRDefault="00523FB7">
      <w:pPr>
        <w:widowControl/>
        <w:rPr>
          <w:rFonts w:ascii="Times New Roman" w:hAnsi="Times New Roman" w:cs="Times New Roman"/>
          <w:b/>
          <w:bCs/>
          <w:kern w:val="0"/>
        </w:rPr>
      </w:pPr>
      <w:r>
        <w:rPr>
          <w:rFonts w:ascii="Times New Roman" w:hAnsi="Times New Roman" w:cs="Times New Roman"/>
          <w:b/>
          <w:bCs/>
          <w:kern w:val="0"/>
        </w:rPr>
        <w:br w:type="page"/>
      </w:r>
    </w:p>
    <w:p w:rsidR="00523FB7" w:rsidRDefault="00523FB7" w:rsidP="00074774">
      <w:pPr>
        <w:widowControl/>
        <w:rPr>
          <w:rFonts w:ascii="Times New Roman" w:hAnsi="Times New Roman" w:cs="Times New Roman"/>
          <w:b/>
          <w:bCs/>
          <w:kern w:val="0"/>
        </w:rPr>
      </w:pPr>
      <w:r w:rsidRPr="003410DE">
        <w:rPr>
          <w:rFonts w:ascii="Times New Roman" w:hAnsi="Times New Roman" w:cs="Times New Roman"/>
          <w:b/>
          <w:bCs/>
          <w:kern w:val="0"/>
        </w:rPr>
        <w:t>Table 1</w:t>
      </w:r>
      <w:r>
        <w:rPr>
          <w:rFonts w:ascii="Times New Roman" w:hAnsi="Times New Roman" w:cs="Times New Roman"/>
          <w:b/>
          <w:bCs/>
          <w:kern w:val="0"/>
        </w:rPr>
        <w:t>3</w:t>
      </w:r>
      <w:r w:rsidRPr="003410DE">
        <w:rPr>
          <w:rFonts w:ascii="Times New Roman" w:hAnsi="Times New Roman" w:cs="Times New Roman"/>
          <w:b/>
          <w:bCs/>
          <w:kern w:val="0"/>
        </w:rPr>
        <w:t>. Investing strategies based on independent double sorts</w:t>
      </w:r>
    </w:p>
    <w:p w:rsidR="00523FB7" w:rsidRDefault="00523FB7" w:rsidP="00074774">
      <w:pPr>
        <w:widowControl/>
        <w:snapToGrid w:val="0"/>
        <w:jc w:val="both"/>
        <w:rPr>
          <w:rFonts w:ascii="Times New Roman" w:hAnsi="Times New Roman" w:cs="Times New Roman"/>
          <w:color w:val="000000"/>
          <w:sz w:val="22"/>
          <w:szCs w:val="22"/>
        </w:rPr>
      </w:pPr>
      <w:r w:rsidRPr="003410DE">
        <w:rPr>
          <w:rFonts w:ascii="Times New Roman" w:hAnsi="Times New Roman" w:cs="Times New Roman"/>
          <w:sz w:val="22"/>
          <w:szCs w:val="22"/>
        </w:rPr>
        <w:t>This table reports</w:t>
      </w:r>
      <w:r>
        <w:rPr>
          <w:rFonts w:ascii="Times New Roman" w:hAnsi="Times New Roman" w:cs="Times New Roman"/>
          <w:sz w:val="22"/>
          <w:szCs w:val="22"/>
        </w:rPr>
        <w:t xml:space="preserve"> the</w:t>
      </w:r>
      <w:r w:rsidRPr="003410DE">
        <w:rPr>
          <w:rFonts w:ascii="Times New Roman" w:hAnsi="Times New Roman" w:cs="Times New Roman"/>
          <w:sz w:val="22"/>
          <w:szCs w:val="22"/>
        </w:rPr>
        <w:t xml:space="preserve"> average returns on different investing strategies. First, five portfolios are formed </w:t>
      </w:r>
      <w:r>
        <w:rPr>
          <w:rFonts w:ascii="Times New Roman" w:hAnsi="Times New Roman" w:cs="Times New Roman"/>
          <w:sz w:val="22"/>
          <w:szCs w:val="22"/>
        </w:rPr>
        <w:t xml:space="preserve">based </w:t>
      </w:r>
      <w:r w:rsidRPr="003410DE">
        <w:rPr>
          <w:rFonts w:ascii="Times New Roman" w:hAnsi="Times New Roman" w:cs="Times New Roman"/>
          <w:sz w:val="22"/>
          <w:szCs w:val="22"/>
        </w:rPr>
        <w:t xml:space="preserve">on </w:t>
      </w:r>
      <w:r w:rsidRPr="00D5561B">
        <w:rPr>
          <w:rFonts w:ascii="Times New Roman" w:hAnsi="Times New Roman" w:cs="Times New Roman"/>
          <w:i/>
          <w:sz w:val="22"/>
          <w:szCs w:val="22"/>
        </w:rPr>
        <w:t>BE/ME</w:t>
      </w:r>
      <w:r w:rsidRPr="003410DE">
        <w:rPr>
          <w:rFonts w:ascii="Times New Roman" w:hAnsi="Times New Roman" w:cs="Times New Roman"/>
          <w:sz w:val="22"/>
          <w:szCs w:val="22"/>
        </w:rPr>
        <w:t xml:space="preserve"> or size, and five portfolios are formed </w:t>
      </w:r>
      <w:r>
        <w:rPr>
          <w:rFonts w:ascii="Times New Roman" w:hAnsi="Times New Roman" w:cs="Times New Roman"/>
          <w:sz w:val="22"/>
          <w:szCs w:val="22"/>
        </w:rPr>
        <w:t xml:space="preserve">based </w:t>
      </w:r>
      <w:r w:rsidRPr="003410DE">
        <w:rPr>
          <w:rFonts w:ascii="Times New Roman" w:hAnsi="Times New Roman" w:cs="Times New Roman"/>
          <w:sz w:val="22"/>
          <w:szCs w:val="22"/>
        </w:rPr>
        <w:t xml:space="preserve">on </w:t>
      </w:r>
      <w:r w:rsidRPr="00D5561B">
        <w:rPr>
          <w:rFonts w:ascii="Times New Roman" w:hAnsi="Times New Roman" w:cs="Times New Roman"/>
          <w:i/>
          <w:sz w:val="22"/>
          <w:szCs w:val="22"/>
        </w:rPr>
        <w:t>AdjD</w:t>
      </w:r>
      <w:r w:rsidRPr="0017025B">
        <w:rPr>
          <w:rFonts w:ascii="Times New Roman" w:hAnsi="Times New Roman" w:cs="Times New Roman"/>
          <w:i/>
          <w:sz w:val="22"/>
          <w:szCs w:val="22"/>
        </w:rPr>
        <w:t>ITH</w:t>
      </w:r>
      <w:r w:rsidRPr="003410DE">
        <w:rPr>
          <w:rFonts w:ascii="Times New Roman" w:hAnsi="Times New Roman" w:cs="Times New Roman"/>
          <w:sz w:val="22"/>
          <w:szCs w:val="22"/>
        </w:rPr>
        <w:t xml:space="preserve"> or </w:t>
      </w:r>
      <w:r w:rsidRPr="00D5561B">
        <w:rPr>
          <w:rFonts w:ascii="Times New Roman" w:hAnsi="Times New Roman" w:cs="Times New Roman"/>
          <w:i/>
          <w:sz w:val="22"/>
          <w:szCs w:val="22"/>
        </w:rPr>
        <w:t>AdjDIND</w:t>
      </w:r>
      <w:r w:rsidRPr="003410DE">
        <w:rPr>
          <w:rFonts w:ascii="Times New Roman" w:hAnsi="Times New Roman" w:cs="Times New Roman"/>
          <w:sz w:val="22"/>
          <w:szCs w:val="22"/>
        </w:rPr>
        <w:t xml:space="preserve">. Second, </w:t>
      </w:r>
      <w:r>
        <w:rPr>
          <w:rFonts w:ascii="Times New Roman" w:hAnsi="Times New Roman" w:cs="Times New Roman"/>
          <w:sz w:val="22"/>
          <w:szCs w:val="22"/>
        </w:rPr>
        <w:t>25</w:t>
      </w:r>
      <w:r w:rsidRPr="003410DE">
        <w:rPr>
          <w:rFonts w:ascii="Times New Roman" w:hAnsi="Times New Roman" w:cs="Times New Roman"/>
          <w:sz w:val="22"/>
          <w:szCs w:val="22"/>
        </w:rPr>
        <w:t xml:space="preserve"> portfolios result from the four types of intersections. The intersection between size and </w:t>
      </w:r>
      <w:r w:rsidRPr="00D5561B">
        <w:rPr>
          <w:rFonts w:ascii="Times New Roman" w:hAnsi="Times New Roman" w:cs="Times New Roman"/>
          <w:i/>
          <w:sz w:val="22"/>
          <w:szCs w:val="22"/>
        </w:rPr>
        <w:t>AdjD</w:t>
      </w:r>
      <w:r w:rsidRPr="0017025B">
        <w:rPr>
          <w:rFonts w:ascii="Times New Roman" w:hAnsi="Times New Roman" w:cs="Times New Roman"/>
          <w:i/>
          <w:sz w:val="22"/>
          <w:szCs w:val="22"/>
        </w:rPr>
        <w:t>ITH</w:t>
      </w:r>
      <w:r w:rsidRPr="003410DE">
        <w:rPr>
          <w:rFonts w:ascii="Times New Roman" w:hAnsi="Times New Roman" w:cs="Times New Roman"/>
          <w:sz w:val="22"/>
          <w:szCs w:val="22"/>
        </w:rPr>
        <w:t xml:space="preserve">, size and </w:t>
      </w:r>
      <w:r w:rsidRPr="00D5561B">
        <w:rPr>
          <w:rFonts w:ascii="Times New Roman" w:hAnsi="Times New Roman" w:cs="Times New Roman"/>
          <w:i/>
          <w:sz w:val="22"/>
          <w:szCs w:val="22"/>
        </w:rPr>
        <w:t>AdjDIND</w:t>
      </w:r>
      <w:r w:rsidRPr="003410DE">
        <w:rPr>
          <w:rFonts w:ascii="Times New Roman" w:hAnsi="Times New Roman" w:cs="Times New Roman"/>
          <w:sz w:val="22"/>
          <w:szCs w:val="22"/>
        </w:rPr>
        <w:t xml:space="preserve">, </w:t>
      </w:r>
      <w:r w:rsidRPr="00D5561B">
        <w:rPr>
          <w:rFonts w:ascii="Times New Roman" w:hAnsi="Times New Roman" w:cs="Times New Roman"/>
          <w:i/>
          <w:sz w:val="22"/>
          <w:szCs w:val="22"/>
        </w:rPr>
        <w:t>BE/ME</w:t>
      </w:r>
      <w:r w:rsidRPr="003410DE">
        <w:rPr>
          <w:rFonts w:ascii="Times New Roman" w:hAnsi="Times New Roman" w:cs="Times New Roman"/>
          <w:sz w:val="22"/>
          <w:szCs w:val="22"/>
        </w:rPr>
        <w:t xml:space="preserve"> and </w:t>
      </w:r>
      <w:r w:rsidRPr="00D5561B">
        <w:rPr>
          <w:rFonts w:ascii="Times New Roman" w:hAnsi="Times New Roman" w:cs="Times New Roman"/>
          <w:i/>
          <w:sz w:val="22"/>
          <w:szCs w:val="22"/>
        </w:rPr>
        <w:t>AdjD</w:t>
      </w:r>
      <w:r w:rsidRPr="0017025B">
        <w:rPr>
          <w:rFonts w:ascii="Times New Roman" w:hAnsi="Times New Roman" w:cs="Times New Roman"/>
          <w:i/>
          <w:sz w:val="22"/>
          <w:szCs w:val="22"/>
        </w:rPr>
        <w:t>ITH</w:t>
      </w:r>
      <w:r w:rsidRPr="003410DE">
        <w:rPr>
          <w:rFonts w:ascii="Times New Roman" w:hAnsi="Times New Roman" w:cs="Times New Roman"/>
          <w:sz w:val="22"/>
          <w:szCs w:val="22"/>
        </w:rPr>
        <w:t xml:space="preserve">, and </w:t>
      </w:r>
      <w:r w:rsidRPr="00D5561B">
        <w:rPr>
          <w:rFonts w:ascii="Times New Roman" w:hAnsi="Times New Roman" w:cs="Times New Roman"/>
          <w:i/>
          <w:sz w:val="22"/>
          <w:szCs w:val="22"/>
        </w:rPr>
        <w:t>BE/ME</w:t>
      </w:r>
      <w:r w:rsidRPr="003410DE">
        <w:rPr>
          <w:rFonts w:ascii="Times New Roman" w:hAnsi="Times New Roman" w:cs="Times New Roman"/>
          <w:sz w:val="22"/>
          <w:szCs w:val="22"/>
        </w:rPr>
        <w:t xml:space="preserve"> and </w:t>
      </w:r>
      <w:r w:rsidRPr="00D5561B">
        <w:rPr>
          <w:rFonts w:ascii="Times New Roman" w:hAnsi="Times New Roman" w:cs="Times New Roman"/>
          <w:i/>
          <w:sz w:val="22"/>
          <w:szCs w:val="22"/>
        </w:rPr>
        <w:t>AdjDIND</w:t>
      </w:r>
      <w:r w:rsidRPr="003410DE">
        <w:rPr>
          <w:rFonts w:ascii="Times New Roman" w:hAnsi="Times New Roman" w:cs="Times New Roman"/>
          <w:sz w:val="22"/>
          <w:szCs w:val="22"/>
        </w:rPr>
        <w:t xml:space="preserve"> </w:t>
      </w:r>
      <w:r>
        <w:rPr>
          <w:rFonts w:ascii="Times New Roman" w:hAnsi="Times New Roman" w:cs="Times New Roman"/>
          <w:sz w:val="22"/>
          <w:szCs w:val="22"/>
        </w:rPr>
        <w:t>is</w:t>
      </w:r>
      <w:r w:rsidRPr="003410DE">
        <w:rPr>
          <w:rFonts w:ascii="Times New Roman" w:hAnsi="Times New Roman" w:cs="Times New Roman"/>
          <w:sz w:val="22"/>
          <w:szCs w:val="22"/>
        </w:rPr>
        <w:t xml:space="preserve"> shown in Panels A to D, respectively. The investing strategy “(Small, Sell)</w:t>
      </w:r>
      <w:r w:rsidRPr="003410DE">
        <w:rPr>
          <w:rFonts w:ascii="Times New Roman" w:hAnsi="Times New Roman" w:cs="Times New Roman"/>
          <w:color w:val="000000"/>
          <w:sz w:val="22"/>
          <w:szCs w:val="22"/>
        </w:rPr>
        <w:t xml:space="preserve"> – (Large, Sell)</w:t>
      </w:r>
      <w:r w:rsidRPr="003410DE">
        <w:rPr>
          <w:rFonts w:ascii="Times New Roman" w:hAnsi="Times New Roman" w:cs="Times New Roman"/>
          <w:sz w:val="22"/>
          <w:szCs w:val="22"/>
        </w:rPr>
        <w:t xml:space="preserve">” denotes a zero-cost portfolio that buys small stocks </w:t>
      </w:r>
      <w:r>
        <w:rPr>
          <w:rFonts w:ascii="Times New Roman" w:hAnsi="Times New Roman" w:cs="Times New Roman"/>
          <w:sz w:val="22"/>
          <w:szCs w:val="22"/>
        </w:rPr>
        <w:t>with</w:t>
      </w:r>
      <w:r w:rsidRPr="003410DE">
        <w:rPr>
          <w:rFonts w:ascii="Times New Roman" w:hAnsi="Times New Roman" w:cs="Times New Roman"/>
          <w:sz w:val="22"/>
          <w:szCs w:val="22"/>
        </w:rPr>
        <w:t xml:space="preserve"> institutional (or individual)</w:t>
      </w:r>
      <w:r>
        <w:rPr>
          <w:rFonts w:ascii="Times New Roman" w:hAnsi="Times New Roman" w:cs="Times New Roman"/>
          <w:sz w:val="22"/>
          <w:szCs w:val="22"/>
        </w:rPr>
        <w:t xml:space="preserve"> </w:t>
      </w:r>
      <w:r w:rsidRPr="003410DE">
        <w:rPr>
          <w:rFonts w:ascii="Times New Roman" w:hAnsi="Times New Roman" w:cs="Times New Roman"/>
          <w:sz w:val="22"/>
          <w:szCs w:val="22"/>
        </w:rPr>
        <w:t xml:space="preserve">net-selling and sells short large stocks </w:t>
      </w:r>
      <w:r>
        <w:rPr>
          <w:rFonts w:ascii="Times New Roman" w:hAnsi="Times New Roman" w:cs="Times New Roman"/>
          <w:sz w:val="22"/>
          <w:szCs w:val="22"/>
        </w:rPr>
        <w:t>with</w:t>
      </w:r>
      <w:r w:rsidRPr="003410DE">
        <w:rPr>
          <w:rFonts w:ascii="Times New Roman" w:hAnsi="Times New Roman" w:cs="Times New Roman"/>
          <w:sz w:val="22"/>
          <w:szCs w:val="22"/>
        </w:rPr>
        <w:t xml:space="preserve"> institutional (or individual) net-buying. The rest of </w:t>
      </w:r>
      <w:r>
        <w:rPr>
          <w:rFonts w:ascii="Times New Roman" w:hAnsi="Times New Roman" w:cs="Times New Roman"/>
          <w:sz w:val="22"/>
          <w:szCs w:val="22"/>
        </w:rPr>
        <w:t xml:space="preserve">the </w:t>
      </w:r>
      <w:r w:rsidRPr="003410DE">
        <w:rPr>
          <w:rFonts w:ascii="Times New Roman" w:hAnsi="Times New Roman" w:cs="Times New Roman"/>
          <w:sz w:val="22"/>
          <w:szCs w:val="22"/>
        </w:rPr>
        <w:t xml:space="preserve">strategies are defined similarly. </w:t>
      </w:r>
      <w:r w:rsidRPr="006363B4">
        <w:rPr>
          <w:rFonts w:ascii="Times New Roman" w:hAnsi="Times New Roman" w:cs="Times New Roman"/>
          <w:kern w:val="0"/>
          <w:sz w:val="22"/>
          <w:szCs w:val="22"/>
        </w:rPr>
        <w:t>“</w:t>
      </w:r>
      <w:r w:rsidRPr="006363B4">
        <w:rPr>
          <w:rFonts w:ascii="Times New Roman" w:hAnsi="Times New Roman" w:cs="Times New Roman"/>
          <w:color w:val="000000"/>
          <w:sz w:val="22"/>
          <w:szCs w:val="22"/>
        </w:rPr>
        <w:t>Carhart’s alpha”</w:t>
      </w:r>
      <w:r w:rsidRPr="006363B4">
        <w:rPr>
          <w:rFonts w:ascii="Times New Roman" w:hAnsi="Times New Roman" w:cs="Times New Roman"/>
          <w:sz w:val="22"/>
          <w:szCs w:val="22"/>
        </w:rPr>
        <w:t xml:space="preserve"> indicates the risk adjusted returns by </w:t>
      </w:r>
      <w:r w:rsidRPr="006363B4">
        <w:rPr>
          <w:rFonts w:ascii="Times New Roman" w:hAnsi="Times New Roman" w:cs="Times New Roman"/>
          <w:color w:val="000000"/>
          <w:sz w:val="22"/>
          <w:szCs w:val="22"/>
        </w:rPr>
        <w:t>Carhart</w:t>
      </w:r>
      <w:r>
        <w:rPr>
          <w:rFonts w:ascii="Times New Roman" w:hAnsi="Times New Roman" w:cs="Times New Roman"/>
          <w:color w:val="000000"/>
          <w:sz w:val="22"/>
          <w:szCs w:val="22"/>
        </w:rPr>
        <w:t>’s</w:t>
      </w:r>
      <w:r w:rsidRPr="006363B4">
        <w:rPr>
          <w:rFonts w:ascii="Times New Roman" w:hAnsi="Times New Roman" w:cs="Times New Roman"/>
          <w:color w:val="000000"/>
          <w:sz w:val="22"/>
          <w:szCs w:val="22"/>
        </w:rPr>
        <w:t xml:space="preserve"> (1997)</w:t>
      </w:r>
      <w:r w:rsidRPr="006363B4">
        <w:rPr>
          <w:rFonts w:ascii="Times New Roman" w:hAnsi="Times New Roman" w:cs="Times New Roman"/>
          <w:sz w:val="22"/>
          <w:szCs w:val="22"/>
        </w:rPr>
        <w:t xml:space="preserve"> four factors, i.e., market excess returns, </w:t>
      </w:r>
      <w:r w:rsidRPr="006363B4">
        <w:rPr>
          <w:rFonts w:ascii="Times New Roman" w:hAnsi="Times New Roman" w:cs="Times New Roman"/>
          <w:i/>
          <w:sz w:val="22"/>
          <w:szCs w:val="22"/>
        </w:rPr>
        <w:t>HML</w:t>
      </w:r>
      <w:r w:rsidRPr="006363B4">
        <w:rPr>
          <w:rFonts w:ascii="Times New Roman" w:hAnsi="Times New Roman" w:cs="Times New Roman"/>
          <w:sz w:val="22"/>
          <w:szCs w:val="22"/>
        </w:rPr>
        <w:t>,</w:t>
      </w:r>
      <w:r w:rsidRPr="006363B4">
        <w:rPr>
          <w:rFonts w:ascii="Times New Roman" w:hAnsi="Times New Roman" w:cs="Times New Roman"/>
          <w:i/>
          <w:sz w:val="22"/>
          <w:szCs w:val="22"/>
        </w:rPr>
        <w:t xml:space="preserve"> SMB, </w:t>
      </w:r>
      <w:r w:rsidRPr="006363B4">
        <w:rPr>
          <w:rFonts w:ascii="Times New Roman" w:hAnsi="Times New Roman" w:cs="Times New Roman"/>
          <w:sz w:val="22"/>
          <w:szCs w:val="22"/>
        </w:rPr>
        <w:t>and</w:t>
      </w:r>
      <w:r w:rsidRPr="006363B4">
        <w:rPr>
          <w:rFonts w:ascii="Times New Roman" w:hAnsi="Times New Roman" w:cs="Times New Roman"/>
          <w:i/>
          <w:sz w:val="22"/>
          <w:szCs w:val="22"/>
        </w:rPr>
        <w:t xml:space="preserve"> MOM</w:t>
      </w:r>
      <w:r w:rsidRPr="006363B4">
        <w:rPr>
          <w:rFonts w:ascii="Times New Roman" w:hAnsi="Times New Roman" w:cs="Times New Roman"/>
          <w:sz w:val="22"/>
          <w:szCs w:val="22"/>
        </w:rPr>
        <w:t>.</w:t>
      </w:r>
      <w:r>
        <w:rPr>
          <w:rFonts w:ascii="Times New Roman" w:hAnsi="Times New Roman" w:cs="Times New Roman"/>
          <w:sz w:val="22"/>
          <w:szCs w:val="22"/>
        </w:rPr>
        <w:t xml:space="preserve"> </w:t>
      </w:r>
      <w:r w:rsidRPr="00514B74">
        <w:rPr>
          <w:rFonts w:ascii="Times New Roman" w:hAnsi="Times New Roman" w:cs="Times New Roman"/>
          <w:i/>
          <w:iCs/>
          <w:kern w:val="0"/>
          <w:sz w:val="22"/>
          <w:szCs w:val="22"/>
        </w:rPr>
        <w:t>t</w:t>
      </w:r>
      <w:r w:rsidRPr="00514B74">
        <w:rPr>
          <w:rFonts w:ascii="Times New Roman" w:hAnsi="Times New Roman" w:cs="Times New Roman"/>
          <w:kern w:val="0"/>
          <w:sz w:val="22"/>
          <w:szCs w:val="22"/>
        </w:rPr>
        <w:t xml:space="preserve">-statistics are shown in parentheses. </w:t>
      </w:r>
      <w:r w:rsidRPr="003410DE">
        <w:rPr>
          <w:rFonts w:ascii="Times New Roman" w:hAnsi="Times New Roman" w:cs="Times New Roman"/>
          <w:sz w:val="22"/>
          <w:szCs w:val="22"/>
        </w:rPr>
        <w:t xml:space="preserve">The asterisks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and </w:t>
      </w:r>
      <w:r w:rsidRPr="003410DE">
        <w:rPr>
          <w:rFonts w:ascii="Times New Roman" w:hAnsi="Times New Roman" w:cs="Times New Roman"/>
          <w:color w:val="000000"/>
          <w:sz w:val="22"/>
          <w:szCs w:val="22"/>
          <w:vertAlign w:val="superscript"/>
        </w:rPr>
        <w:t>***</w:t>
      </w:r>
      <w:r w:rsidRPr="003410DE">
        <w:rPr>
          <w:rFonts w:ascii="Times New Roman" w:hAnsi="Times New Roman" w:cs="Times New Roman"/>
          <w:color w:val="000000"/>
          <w:sz w:val="22"/>
          <w:szCs w:val="22"/>
        </w:rPr>
        <w:t xml:space="preserve"> indicate significance at the 10</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5</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and 1</w:t>
      </w:r>
      <w:r>
        <w:rPr>
          <w:rFonts w:ascii="Times New Roman" w:hAnsi="Times New Roman" w:cs="Times New Roman"/>
          <w:color w:val="000000"/>
          <w:sz w:val="22"/>
          <w:szCs w:val="22"/>
        </w:rPr>
        <w:t>%</w:t>
      </w:r>
      <w:r w:rsidRPr="003410DE">
        <w:rPr>
          <w:rFonts w:ascii="Times New Roman" w:hAnsi="Times New Roman" w:cs="Times New Roman"/>
          <w:color w:val="000000"/>
          <w:sz w:val="22"/>
          <w:szCs w:val="22"/>
        </w:rPr>
        <w:t xml:space="preserve"> levels, respectively.</w:t>
      </w:r>
    </w:p>
    <w:p w:rsidR="00523FB7" w:rsidRPr="00D94AD8" w:rsidRDefault="00523FB7" w:rsidP="00074774">
      <w:pPr>
        <w:widowControl/>
        <w:snapToGrid w:val="0"/>
        <w:jc w:val="both"/>
        <w:rPr>
          <w:rFonts w:ascii="Times New Roman" w:hAnsi="Times New Roman" w:cs="Times New Roman"/>
          <w:sz w:val="22"/>
          <w:szCs w:val="22"/>
        </w:rPr>
      </w:pPr>
    </w:p>
    <w:tbl>
      <w:tblPr>
        <w:tblW w:w="5000" w:type="pct"/>
        <w:tblCellMar>
          <w:left w:w="0" w:type="dxa"/>
          <w:right w:w="0" w:type="dxa"/>
        </w:tblCellMar>
        <w:tblLook w:val="00A0"/>
      </w:tblPr>
      <w:tblGrid>
        <w:gridCol w:w="2845"/>
        <w:gridCol w:w="640"/>
        <w:gridCol w:w="772"/>
        <w:gridCol w:w="584"/>
        <w:gridCol w:w="773"/>
        <w:gridCol w:w="48"/>
        <w:gridCol w:w="585"/>
        <w:gridCol w:w="773"/>
        <w:gridCol w:w="585"/>
        <w:gridCol w:w="773"/>
        <w:gridCol w:w="225"/>
        <w:gridCol w:w="574"/>
        <w:gridCol w:w="759"/>
        <w:gridCol w:w="574"/>
        <w:gridCol w:w="762"/>
        <w:gridCol w:w="48"/>
        <w:gridCol w:w="574"/>
        <w:gridCol w:w="759"/>
        <w:gridCol w:w="574"/>
        <w:gridCol w:w="759"/>
      </w:tblGrid>
      <w:tr w:rsidR="00523FB7" w:rsidRPr="00740526" w:rsidTr="00747FB4">
        <w:trPr>
          <w:trHeight w:val="315"/>
        </w:trPr>
        <w:tc>
          <w:tcPr>
            <w:tcW w:w="940" w:type="pct"/>
            <w:tcBorders>
              <w:top w:val="double" w:sz="6" w:space="0" w:color="auto"/>
              <w:left w:val="nil"/>
              <w:bottom w:val="single" w:sz="8"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b/>
                <w:bCs/>
                <w:color w:val="000000"/>
                <w:sz w:val="20"/>
                <w:szCs w:val="20"/>
              </w:rPr>
            </w:pPr>
            <w:r w:rsidRPr="00740526">
              <w:rPr>
                <w:rFonts w:ascii="Times New Roman" w:hAnsi="Times New Roman" w:cs="Times New Roman" w:hint="eastAsia"/>
                <w:b/>
                <w:bCs/>
                <w:color w:val="000000"/>
                <w:sz w:val="20"/>
                <w:szCs w:val="20"/>
              </w:rPr>
              <w:t xml:space="preserve">　</w:t>
            </w:r>
          </w:p>
        </w:tc>
        <w:tc>
          <w:tcPr>
            <w:tcW w:w="2004" w:type="pct"/>
            <w:gridSpan w:val="9"/>
            <w:tcBorders>
              <w:top w:val="double" w:sz="6"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 xml:space="preserve">Panel A: BE/ME vs. </w:t>
            </w:r>
            <w:r w:rsidRPr="00740526">
              <w:rPr>
                <w:rFonts w:ascii="Times New Roman" w:hAnsi="Times New Roman" w:cs="Times New Roman"/>
                <w:b/>
                <w:bCs/>
                <w:i/>
                <w:color w:val="000000"/>
                <w:sz w:val="20"/>
                <w:szCs w:val="20"/>
              </w:rPr>
              <w:t>AdjDITH</w:t>
            </w:r>
          </w:p>
        </w:tc>
        <w:tc>
          <w:tcPr>
            <w:tcW w:w="86" w:type="pct"/>
            <w:tcBorders>
              <w:top w:val="double" w:sz="6"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b/>
                <w:bCs/>
                <w:color w:val="000000"/>
                <w:sz w:val="20"/>
                <w:szCs w:val="20"/>
              </w:rPr>
            </w:pPr>
            <w:r w:rsidRPr="00740526">
              <w:rPr>
                <w:rFonts w:ascii="Times New Roman" w:hAnsi="Times New Roman" w:cs="Times New Roman" w:hint="eastAsia"/>
                <w:b/>
                <w:bCs/>
                <w:color w:val="000000"/>
                <w:sz w:val="20"/>
                <w:szCs w:val="20"/>
              </w:rPr>
              <w:t xml:space="preserve">　</w:t>
            </w:r>
          </w:p>
        </w:tc>
        <w:tc>
          <w:tcPr>
            <w:tcW w:w="1970" w:type="pct"/>
            <w:gridSpan w:val="9"/>
            <w:tcBorders>
              <w:top w:val="double" w:sz="6"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 xml:space="preserve">Panel B: BE/ME vs. </w:t>
            </w:r>
            <w:r w:rsidRPr="00740526">
              <w:rPr>
                <w:rFonts w:ascii="Times New Roman" w:hAnsi="Times New Roman" w:cs="Times New Roman"/>
                <w:b/>
                <w:bCs/>
                <w:i/>
                <w:iCs/>
                <w:color w:val="000000"/>
                <w:sz w:val="20"/>
                <w:szCs w:val="20"/>
              </w:rPr>
              <w:t>AdjDIND</w:t>
            </w:r>
          </w:p>
        </w:tc>
      </w:tr>
      <w:tr w:rsidR="00523FB7" w:rsidRPr="00740526" w:rsidTr="00747FB4">
        <w:trPr>
          <w:trHeight w:val="300"/>
        </w:trPr>
        <w:tc>
          <w:tcPr>
            <w:tcW w:w="940" w:type="pct"/>
            <w:tcBorders>
              <w:top w:val="nil"/>
              <w:left w:val="nil"/>
              <w:bottom w:val="single" w:sz="8"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b/>
                <w:bCs/>
                <w:color w:val="000000"/>
                <w:sz w:val="20"/>
                <w:szCs w:val="20"/>
              </w:rPr>
            </w:pPr>
            <w:r w:rsidRPr="00740526">
              <w:rPr>
                <w:rFonts w:ascii="Times New Roman" w:hAnsi="Times New Roman" w:cs="Times New Roman" w:hint="eastAsia"/>
                <w:b/>
                <w:bCs/>
                <w:color w:val="000000"/>
                <w:sz w:val="20"/>
                <w:szCs w:val="20"/>
              </w:rPr>
              <w:t xml:space="preserve">　</w:t>
            </w:r>
          </w:p>
        </w:tc>
        <w:tc>
          <w:tcPr>
            <w:tcW w:w="994" w:type="pct"/>
            <w:gridSpan w:val="4"/>
            <w:tcBorders>
              <w:top w:val="single" w:sz="8" w:space="0" w:color="auto"/>
              <w:left w:val="nil"/>
              <w:bottom w:val="single" w:sz="8" w:space="0" w:color="auto"/>
              <w:right w:val="nil"/>
            </w:tcBorders>
            <w:noWrap/>
            <w:tcMar>
              <w:top w:w="14" w:type="dxa"/>
              <w:left w:w="14" w:type="dxa"/>
              <w:bottom w:w="0" w:type="dxa"/>
              <w:right w:w="14" w:type="dxa"/>
            </w:tcMar>
            <w:vAlign w:val="center"/>
          </w:tcPr>
          <w:p w:rsidR="00523FB7" w:rsidRPr="005544EF"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Raw returns</w:t>
            </w:r>
          </w:p>
        </w:tc>
        <w:tc>
          <w:tcPr>
            <w:tcW w:w="1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center"/>
              <w:rPr>
                <w:rFonts w:ascii="Times New Roman" w:hAnsi="Times New Roman" w:cs="Times New Roman"/>
                <w:b/>
                <w:bCs/>
                <w:color w:val="000000"/>
                <w:sz w:val="20"/>
                <w:szCs w:val="20"/>
              </w:rPr>
            </w:pPr>
          </w:p>
        </w:tc>
        <w:tc>
          <w:tcPr>
            <w:tcW w:w="994" w:type="pct"/>
            <w:gridSpan w:val="4"/>
            <w:tcBorders>
              <w:top w:val="single" w:sz="8" w:space="0" w:color="auto"/>
              <w:left w:val="nil"/>
              <w:bottom w:val="single" w:sz="8" w:space="0" w:color="auto"/>
              <w:right w:val="nil"/>
            </w:tcBorders>
            <w:noWrap/>
            <w:tcMar>
              <w:top w:w="14" w:type="dxa"/>
              <w:left w:w="14" w:type="dxa"/>
              <w:bottom w:w="0" w:type="dxa"/>
              <w:right w:w="14" w:type="dxa"/>
            </w:tcMar>
            <w:vAlign w:val="center"/>
          </w:tcPr>
          <w:p w:rsidR="00523FB7" w:rsidRPr="005544EF"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Carhart’s alphas</w:t>
            </w:r>
          </w:p>
        </w:tc>
        <w:tc>
          <w:tcPr>
            <w:tcW w:w="8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b/>
                <w:bCs/>
                <w:color w:val="000000"/>
                <w:sz w:val="20"/>
                <w:szCs w:val="20"/>
              </w:rPr>
            </w:pPr>
          </w:p>
        </w:tc>
        <w:tc>
          <w:tcPr>
            <w:tcW w:w="977" w:type="pct"/>
            <w:gridSpan w:val="4"/>
            <w:tcBorders>
              <w:top w:val="single" w:sz="8" w:space="0" w:color="auto"/>
              <w:left w:val="nil"/>
              <w:bottom w:val="single" w:sz="8" w:space="0" w:color="auto"/>
              <w:right w:val="nil"/>
            </w:tcBorders>
            <w:noWrap/>
            <w:tcMar>
              <w:top w:w="14" w:type="dxa"/>
              <w:left w:w="14" w:type="dxa"/>
              <w:bottom w:w="0" w:type="dxa"/>
              <w:right w:w="14" w:type="dxa"/>
            </w:tcMar>
            <w:vAlign w:val="center"/>
          </w:tcPr>
          <w:p w:rsidR="00523FB7" w:rsidRPr="005544EF"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Raw returns</w:t>
            </w:r>
          </w:p>
        </w:tc>
        <w:tc>
          <w:tcPr>
            <w:tcW w:w="1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977" w:type="pct"/>
            <w:gridSpan w:val="4"/>
            <w:tcBorders>
              <w:top w:val="single" w:sz="8" w:space="0" w:color="auto"/>
              <w:left w:val="nil"/>
              <w:bottom w:val="single" w:sz="8" w:space="0" w:color="auto"/>
              <w:right w:val="nil"/>
            </w:tcBorders>
            <w:noWrap/>
            <w:tcMar>
              <w:top w:w="14" w:type="dxa"/>
              <w:left w:w="14" w:type="dxa"/>
              <w:bottom w:w="0" w:type="dxa"/>
              <w:right w:w="14" w:type="dxa"/>
            </w:tcMar>
            <w:vAlign w:val="center"/>
          </w:tcPr>
          <w:p w:rsidR="00523FB7" w:rsidRPr="005544EF"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Carhart’s alphas</w:t>
            </w:r>
          </w:p>
        </w:tc>
      </w:tr>
      <w:tr w:rsidR="00523FB7" w:rsidRPr="00740526" w:rsidTr="00747FB4">
        <w:trPr>
          <w:trHeight w:val="300"/>
        </w:trPr>
        <w:tc>
          <w:tcPr>
            <w:tcW w:w="940" w:type="pct"/>
            <w:tcBorders>
              <w:top w:val="nil"/>
              <w:left w:val="nil"/>
              <w:bottom w:val="single" w:sz="8"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Investing strategy</w:t>
            </w:r>
          </w:p>
        </w:tc>
        <w:tc>
          <w:tcPr>
            <w:tcW w:w="215"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EW</w:t>
            </w:r>
          </w:p>
        </w:tc>
        <w:tc>
          <w:tcPr>
            <w:tcW w:w="282"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215"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VW</w:t>
            </w:r>
          </w:p>
        </w:tc>
        <w:tc>
          <w:tcPr>
            <w:tcW w:w="282"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17" w:type="pct"/>
            <w:tcBorders>
              <w:top w:val="nil"/>
              <w:left w:val="nil"/>
              <w:bottom w:val="nil"/>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p>
        </w:tc>
        <w:tc>
          <w:tcPr>
            <w:tcW w:w="215"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EW</w:t>
            </w:r>
          </w:p>
        </w:tc>
        <w:tc>
          <w:tcPr>
            <w:tcW w:w="282"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215"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VW</w:t>
            </w:r>
          </w:p>
        </w:tc>
        <w:tc>
          <w:tcPr>
            <w:tcW w:w="282"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86" w:type="pct"/>
            <w:tcBorders>
              <w:top w:val="nil"/>
              <w:left w:val="nil"/>
              <w:bottom w:val="nil"/>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p>
        </w:tc>
        <w:tc>
          <w:tcPr>
            <w:tcW w:w="211"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EW</w:t>
            </w:r>
          </w:p>
        </w:tc>
        <w:tc>
          <w:tcPr>
            <w:tcW w:w="277"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211"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VW</w:t>
            </w:r>
          </w:p>
        </w:tc>
        <w:tc>
          <w:tcPr>
            <w:tcW w:w="277"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16" w:type="pct"/>
            <w:tcBorders>
              <w:top w:val="nil"/>
              <w:left w:val="nil"/>
              <w:bottom w:val="nil"/>
              <w:right w:val="nil"/>
            </w:tcBorders>
            <w:noWrap/>
            <w:tcMar>
              <w:top w:w="14" w:type="dxa"/>
              <w:left w:w="14" w:type="dxa"/>
              <w:bottom w:w="0" w:type="dxa"/>
              <w:right w:w="14" w:type="dxa"/>
            </w:tcMar>
            <w:vAlign w:val="center"/>
          </w:tcPr>
          <w:p w:rsidR="00523FB7" w:rsidRPr="00976571" w:rsidRDefault="00523FB7" w:rsidP="00747FB4">
            <w:pPr>
              <w:snapToGrid w:val="0"/>
              <w:rPr>
                <w:rFonts w:ascii="Times New Roman" w:hAnsi="Times New Roman" w:cs="Times New Roman"/>
                <w:color w:val="000000"/>
                <w:sz w:val="20"/>
                <w:szCs w:val="20"/>
              </w:rPr>
            </w:pPr>
          </w:p>
        </w:tc>
        <w:tc>
          <w:tcPr>
            <w:tcW w:w="211"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EW</w:t>
            </w:r>
          </w:p>
        </w:tc>
        <w:tc>
          <w:tcPr>
            <w:tcW w:w="277"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211"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VW</w:t>
            </w:r>
          </w:p>
        </w:tc>
        <w:tc>
          <w:tcPr>
            <w:tcW w:w="277"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r>
      <w:tr w:rsidR="00523FB7" w:rsidRPr="00740526" w:rsidTr="00747FB4">
        <w:trPr>
          <w:trHeight w:val="285"/>
        </w:trPr>
        <w:tc>
          <w:tcPr>
            <w:tcW w:w="940"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(1) (Value, Sell) – (Growth, Sell)</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0.51</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(2.54)</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(2.41)</w:t>
            </w:r>
          </w:p>
        </w:tc>
        <w:tc>
          <w:tcPr>
            <w:tcW w:w="1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(0.11)</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8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0.38</w:t>
            </w:r>
            <w:r w:rsidRPr="00740526">
              <w:rPr>
                <w:rFonts w:ascii="Times New Roman" w:hAnsi="Times New Roman" w:cs="Times New Roman"/>
                <w:color w:val="000000"/>
                <w:sz w:val="20"/>
                <w:szCs w:val="20"/>
                <w:vertAlign w:val="superscript"/>
              </w:rPr>
              <w:t>*</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(1.93)</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0.41</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(1.55)</w:t>
            </w:r>
          </w:p>
        </w:tc>
        <w:tc>
          <w:tcPr>
            <w:tcW w:w="1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(-0.52)</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-0.18</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(-1.02)</w:t>
            </w:r>
          </w:p>
        </w:tc>
      </w:tr>
      <w:tr w:rsidR="00523FB7" w:rsidRPr="00740526" w:rsidTr="00747FB4">
        <w:trPr>
          <w:trHeight w:val="285"/>
        </w:trPr>
        <w:tc>
          <w:tcPr>
            <w:tcW w:w="940"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rPr>
                <w:rFonts w:ascii="Times New Roman" w:hAnsi="Times New Roman" w:cs="Times New Roman"/>
                <w:bCs/>
                <w:color w:val="000000"/>
                <w:sz w:val="20"/>
                <w:szCs w:val="20"/>
              </w:rPr>
            </w:pPr>
            <w:r w:rsidRPr="00740526">
              <w:rPr>
                <w:rFonts w:ascii="Times New Roman" w:hAnsi="Times New Roman" w:cs="Times New Roman"/>
                <w:bCs/>
                <w:color w:val="000000"/>
                <w:sz w:val="20"/>
                <w:szCs w:val="20"/>
              </w:rPr>
              <w:t>(2) (Value, Buy) – (Growth, Sell)</w:t>
            </w:r>
          </w:p>
        </w:tc>
        <w:tc>
          <w:tcPr>
            <w:tcW w:w="215"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82"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215"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282"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(0.50)</w:t>
            </w:r>
          </w:p>
        </w:tc>
        <w:tc>
          <w:tcPr>
            <w:tcW w:w="17"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-0.32</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(-1.83)</w:t>
            </w:r>
          </w:p>
        </w:tc>
        <w:tc>
          <w:tcPr>
            <w:tcW w:w="215"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-0.38</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(-1.80)</w:t>
            </w:r>
          </w:p>
        </w:tc>
        <w:tc>
          <w:tcPr>
            <w:tcW w:w="86"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0.65</w:t>
            </w:r>
            <w:r w:rsidRPr="00740526">
              <w:rPr>
                <w:rFonts w:ascii="Times New Roman" w:hAnsi="Times New Roman" w:cs="Times New Roman"/>
                <w:color w:val="000000"/>
                <w:sz w:val="20"/>
                <w:szCs w:val="20"/>
                <w:vertAlign w:val="superscript"/>
              </w:rPr>
              <w:t>***</w:t>
            </w:r>
          </w:p>
        </w:tc>
        <w:tc>
          <w:tcPr>
            <w:tcW w:w="277"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(2.64)</w:t>
            </w:r>
          </w:p>
        </w:tc>
        <w:tc>
          <w:tcPr>
            <w:tcW w:w="211"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0.53</w:t>
            </w:r>
          </w:p>
        </w:tc>
        <w:tc>
          <w:tcPr>
            <w:tcW w:w="277"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(1.60)</w:t>
            </w:r>
          </w:p>
        </w:tc>
        <w:tc>
          <w:tcPr>
            <w:tcW w:w="16"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-0.01</w:t>
            </w:r>
          </w:p>
        </w:tc>
        <w:tc>
          <w:tcPr>
            <w:tcW w:w="277"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(-0.07)</w:t>
            </w:r>
          </w:p>
        </w:tc>
        <w:tc>
          <w:tcPr>
            <w:tcW w:w="211"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277"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(-0.89)</w:t>
            </w:r>
          </w:p>
        </w:tc>
      </w:tr>
      <w:tr w:rsidR="00523FB7" w:rsidRPr="00740526" w:rsidTr="00747FB4">
        <w:trPr>
          <w:trHeight w:val="285"/>
        </w:trPr>
        <w:tc>
          <w:tcPr>
            <w:tcW w:w="940"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rPr>
                <w:rFonts w:ascii="Times New Roman" w:hAnsi="Times New Roman" w:cs="Times New Roman"/>
                <w:bCs/>
                <w:color w:val="000000"/>
                <w:sz w:val="20"/>
                <w:szCs w:val="20"/>
              </w:rPr>
            </w:pPr>
            <w:r w:rsidRPr="00740526">
              <w:rPr>
                <w:rFonts w:ascii="Times New Roman" w:hAnsi="Times New Roman" w:cs="Times New Roman"/>
                <w:bCs/>
                <w:color w:val="000000"/>
                <w:sz w:val="20"/>
                <w:szCs w:val="20"/>
              </w:rPr>
              <w:t>(3) (Value, Sell) – (Growth, Buy)</w:t>
            </w:r>
          </w:p>
        </w:tc>
        <w:tc>
          <w:tcPr>
            <w:tcW w:w="215"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0.85</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(3.70)</w:t>
            </w:r>
          </w:p>
        </w:tc>
        <w:tc>
          <w:tcPr>
            <w:tcW w:w="215"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0.98</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(3.01)</w:t>
            </w:r>
          </w:p>
        </w:tc>
        <w:tc>
          <w:tcPr>
            <w:tcW w:w="17"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0.28</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(1.83)</w:t>
            </w:r>
          </w:p>
        </w:tc>
        <w:tc>
          <w:tcPr>
            <w:tcW w:w="215"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0.33</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(1.87)</w:t>
            </w:r>
          </w:p>
        </w:tc>
        <w:tc>
          <w:tcPr>
            <w:tcW w:w="86"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0.19</w:t>
            </w:r>
          </w:p>
        </w:tc>
        <w:tc>
          <w:tcPr>
            <w:tcW w:w="277"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(0.79)</w:t>
            </w:r>
          </w:p>
        </w:tc>
        <w:tc>
          <w:tcPr>
            <w:tcW w:w="211"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0.43</w:t>
            </w:r>
            <w:r w:rsidRPr="00740526">
              <w:rPr>
                <w:rFonts w:ascii="Times New Roman" w:hAnsi="Times New Roman" w:cs="Times New Roman"/>
                <w:color w:val="000000"/>
                <w:sz w:val="20"/>
                <w:szCs w:val="20"/>
                <w:vertAlign w:val="superscript"/>
              </w:rPr>
              <w:t>*</w:t>
            </w:r>
          </w:p>
        </w:tc>
        <w:tc>
          <w:tcPr>
            <w:tcW w:w="277"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(1.68)</w:t>
            </w:r>
          </w:p>
        </w:tc>
        <w:tc>
          <w:tcPr>
            <w:tcW w:w="16"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277"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(-0.67)</w:t>
            </w:r>
          </w:p>
        </w:tc>
        <w:tc>
          <w:tcPr>
            <w:tcW w:w="211"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277"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(-0.58)</w:t>
            </w:r>
          </w:p>
        </w:tc>
      </w:tr>
      <w:tr w:rsidR="00523FB7" w:rsidRPr="00740526" w:rsidTr="00747FB4">
        <w:trPr>
          <w:trHeight w:val="285"/>
        </w:trPr>
        <w:tc>
          <w:tcPr>
            <w:tcW w:w="940"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(4) (Value, Buy) – (Growth, Buy)</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0.36</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(1.85)</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0.41</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(1.39)</w:t>
            </w:r>
          </w:p>
        </w:tc>
        <w:tc>
          <w:tcPr>
            <w:tcW w:w="1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(-0.36)</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(-0.35)</w:t>
            </w:r>
          </w:p>
        </w:tc>
        <w:tc>
          <w:tcPr>
            <w:tcW w:w="8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0.15</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(0.44)</w:t>
            </w:r>
          </w:p>
        </w:tc>
        <w:tc>
          <w:tcPr>
            <w:tcW w:w="1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-0.07</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(-0.47)</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p>
        </w:tc>
      </w:tr>
      <w:tr w:rsidR="00523FB7" w:rsidRPr="00740526" w:rsidTr="00747FB4">
        <w:trPr>
          <w:trHeight w:val="285"/>
        </w:trPr>
        <w:tc>
          <w:tcPr>
            <w:tcW w:w="940"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(5) (Growth, Sell) – (Growth, Buy)</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0.33</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(1.86)</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(1.47)</w:t>
            </w:r>
          </w:p>
        </w:tc>
        <w:tc>
          <w:tcPr>
            <w:tcW w:w="1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(1.65)</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0.31</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(1.65)</w:t>
            </w:r>
          </w:p>
        </w:tc>
        <w:tc>
          <w:tcPr>
            <w:tcW w:w="8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-0.59</w:t>
            </w:r>
            <w:r w:rsidRPr="00740526">
              <w:rPr>
                <w:rFonts w:ascii="Times New Roman" w:hAnsi="Times New Roman" w:cs="Times New Roman"/>
                <w:color w:val="000000"/>
                <w:sz w:val="20"/>
                <w:szCs w:val="20"/>
                <w:vertAlign w:val="superscript"/>
              </w:rPr>
              <w:t>*</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(-1.86)</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-0.38</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(-1.12)</w:t>
            </w:r>
          </w:p>
        </w:tc>
        <w:tc>
          <w:tcPr>
            <w:tcW w:w="1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(-0.32)</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r>
      <w:tr w:rsidR="00523FB7" w:rsidRPr="00740526" w:rsidTr="00747FB4">
        <w:trPr>
          <w:trHeight w:val="285"/>
        </w:trPr>
        <w:tc>
          <w:tcPr>
            <w:tcW w:w="940"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(6) (Value, Sell) – (Value, Buy)</w:t>
            </w:r>
          </w:p>
        </w:tc>
        <w:tc>
          <w:tcPr>
            <w:tcW w:w="215"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0.49</w:t>
            </w:r>
            <w:r w:rsidRPr="00740526">
              <w:rPr>
                <w:rFonts w:ascii="Times New Roman" w:hAnsi="Times New Roman" w:cs="Times New Roman"/>
                <w:color w:val="000000"/>
                <w:sz w:val="20"/>
                <w:szCs w:val="20"/>
                <w:vertAlign w:val="superscript"/>
              </w:rPr>
              <w:t>***</w:t>
            </w:r>
          </w:p>
        </w:tc>
        <w:tc>
          <w:tcPr>
            <w:tcW w:w="282"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(2.97)</w:t>
            </w:r>
          </w:p>
        </w:tc>
        <w:tc>
          <w:tcPr>
            <w:tcW w:w="215"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0.57</w:t>
            </w:r>
            <w:r w:rsidRPr="00740526">
              <w:rPr>
                <w:rFonts w:ascii="Times New Roman" w:hAnsi="Times New Roman" w:cs="Times New Roman"/>
                <w:color w:val="000000"/>
                <w:sz w:val="20"/>
                <w:szCs w:val="20"/>
                <w:vertAlign w:val="superscript"/>
              </w:rPr>
              <w:t>**</w:t>
            </w:r>
          </w:p>
        </w:tc>
        <w:tc>
          <w:tcPr>
            <w:tcW w:w="282"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(2.42)</w:t>
            </w:r>
          </w:p>
        </w:tc>
        <w:tc>
          <w:tcPr>
            <w:tcW w:w="17"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0.34</w:t>
            </w:r>
            <w:r w:rsidRPr="00740526">
              <w:rPr>
                <w:rFonts w:ascii="Times New Roman" w:hAnsi="Times New Roman" w:cs="Times New Roman"/>
                <w:color w:val="000000"/>
                <w:sz w:val="20"/>
                <w:szCs w:val="20"/>
                <w:vertAlign w:val="superscript"/>
              </w:rPr>
              <w:t>**</w:t>
            </w:r>
          </w:p>
        </w:tc>
        <w:tc>
          <w:tcPr>
            <w:tcW w:w="282"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(2.15)</w:t>
            </w:r>
          </w:p>
        </w:tc>
        <w:tc>
          <w:tcPr>
            <w:tcW w:w="215"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0.41</w:t>
            </w:r>
            <w:r w:rsidRPr="00740526">
              <w:rPr>
                <w:rFonts w:ascii="Times New Roman" w:hAnsi="Times New Roman" w:cs="Times New Roman"/>
                <w:color w:val="000000"/>
                <w:sz w:val="20"/>
                <w:szCs w:val="20"/>
                <w:vertAlign w:val="superscript"/>
              </w:rPr>
              <w:t>*</w:t>
            </w:r>
          </w:p>
        </w:tc>
        <w:tc>
          <w:tcPr>
            <w:tcW w:w="282"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(1.73)</w:t>
            </w:r>
          </w:p>
        </w:tc>
        <w:tc>
          <w:tcPr>
            <w:tcW w:w="86"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-0.19</w:t>
            </w:r>
          </w:p>
        </w:tc>
        <w:tc>
          <w:tcPr>
            <w:tcW w:w="277"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(-1.14)</w:t>
            </w:r>
          </w:p>
        </w:tc>
        <w:tc>
          <w:tcPr>
            <w:tcW w:w="211"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77"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(-0.24)</w:t>
            </w:r>
          </w:p>
        </w:tc>
        <w:tc>
          <w:tcPr>
            <w:tcW w:w="16"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-0.07</w:t>
            </w:r>
          </w:p>
        </w:tc>
        <w:tc>
          <w:tcPr>
            <w:tcW w:w="277"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(-0.43)</w:t>
            </w:r>
          </w:p>
        </w:tc>
        <w:tc>
          <w:tcPr>
            <w:tcW w:w="211"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77" w:type="pct"/>
            <w:tcBorders>
              <w:top w:val="nil"/>
              <w:left w:val="nil"/>
              <w:bottom w:val="dashSmallGap"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r>
      <w:tr w:rsidR="00523FB7" w:rsidRPr="00740526" w:rsidTr="00747FB4">
        <w:trPr>
          <w:trHeight w:val="285"/>
        </w:trPr>
        <w:tc>
          <w:tcPr>
            <w:tcW w:w="940"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(3) – (1)</w:t>
            </w:r>
          </w:p>
        </w:tc>
        <w:tc>
          <w:tcPr>
            <w:tcW w:w="215"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0.33</w:t>
            </w:r>
            <w:r w:rsidRPr="00740526">
              <w:rPr>
                <w:rFonts w:ascii="Times New Roman" w:hAnsi="Times New Roman" w:cs="Times New Roman"/>
                <w:color w:val="000000"/>
                <w:sz w:val="20"/>
                <w:szCs w:val="20"/>
                <w:vertAlign w:val="superscript"/>
              </w:rPr>
              <w:t>*</w:t>
            </w:r>
          </w:p>
        </w:tc>
        <w:tc>
          <w:tcPr>
            <w:tcW w:w="282"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(1.86)</w:t>
            </w:r>
          </w:p>
        </w:tc>
        <w:tc>
          <w:tcPr>
            <w:tcW w:w="215"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p>
        </w:tc>
        <w:tc>
          <w:tcPr>
            <w:tcW w:w="282"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(1.47)</w:t>
            </w:r>
          </w:p>
        </w:tc>
        <w:tc>
          <w:tcPr>
            <w:tcW w:w="17"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r w:rsidRPr="00740526">
              <w:rPr>
                <w:rFonts w:ascii="Times New Roman" w:hAnsi="Times New Roman" w:cs="Times New Roman"/>
                <w:color w:val="000000"/>
                <w:sz w:val="20"/>
                <w:szCs w:val="20"/>
                <w:vertAlign w:val="superscript"/>
              </w:rPr>
              <w:t>*</w:t>
            </w:r>
          </w:p>
        </w:tc>
        <w:tc>
          <w:tcPr>
            <w:tcW w:w="282"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(1.65)</w:t>
            </w:r>
          </w:p>
        </w:tc>
        <w:tc>
          <w:tcPr>
            <w:tcW w:w="215"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0.31</w:t>
            </w:r>
            <w:r w:rsidRPr="00740526">
              <w:rPr>
                <w:rFonts w:ascii="Times New Roman" w:hAnsi="Times New Roman" w:cs="Times New Roman"/>
                <w:color w:val="000000"/>
                <w:sz w:val="20"/>
                <w:szCs w:val="20"/>
                <w:vertAlign w:val="superscript"/>
              </w:rPr>
              <w:t>*</w:t>
            </w:r>
          </w:p>
        </w:tc>
        <w:tc>
          <w:tcPr>
            <w:tcW w:w="282"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(1.65)</w:t>
            </w:r>
          </w:p>
        </w:tc>
        <w:tc>
          <w:tcPr>
            <w:tcW w:w="86"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-0.19</w:t>
            </w:r>
          </w:p>
        </w:tc>
        <w:tc>
          <w:tcPr>
            <w:tcW w:w="277"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(-0.82)</w:t>
            </w:r>
          </w:p>
        </w:tc>
        <w:tc>
          <w:tcPr>
            <w:tcW w:w="211"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77"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(0.11)</w:t>
            </w:r>
          </w:p>
        </w:tc>
        <w:tc>
          <w:tcPr>
            <w:tcW w:w="16"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277"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(-0.32)</w:t>
            </w:r>
          </w:p>
        </w:tc>
        <w:tc>
          <w:tcPr>
            <w:tcW w:w="211"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77" w:type="pct"/>
            <w:tcBorders>
              <w:top w:val="dashSmallGap"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r>
      <w:tr w:rsidR="00523FB7" w:rsidRPr="00740526" w:rsidTr="00747FB4">
        <w:trPr>
          <w:trHeight w:val="285"/>
        </w:trPr>
        <w:tc>
          <w:tcPr>
            <w:tcW w:w="940"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(3) – (2)</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0.82</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(2.92)</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0.85</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(2.70)</w:t>
            </w:r>
          </w:p>
        </w:tc>
        <w:tc>
          <w:tcPr>
            <w:tcW w:w="1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0.60</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(2.44)</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(2.32)</w:t>
            </w:r>
          </w:p>
        </w:tc>
        <w:tc>
          <w:tcPr>
            <w:tcW w:w="8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-0.38</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(-1.10)</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1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(-0.45)</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(0.22)</w:t>
            </w:r>
          </w:p>
        </w:tc>
      </w:tr>
      <w:tr w:rsidR="00523FB7" w:rsidRPr="00740526" w:rsidTr="00747FB4">
        <w:trPr>
          <w:trHeight w:val="285"/>
        </w:trPr>
        <w:tc>
          <w:tcPr>
            <w:tcW w:w="940"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(3) – (4)</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0.49</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(2.97)</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0.57</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(2.42)</w:t>
            </w:r>
          </w:p>
        </w:tc>
        <w:tc>
          <w:tcPr>
            <w:tcW w:w="1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0.34</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(2.15)</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0.41</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(1.73)</w:t>
            </w:r>
          </w:p>
        </w:tc>
        <w:tc>
          <w:tcPr>
            <w:tcW w:w="8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-0.19</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(-1.14)</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(-0.24)</w:t>
            </w:r>
          </w:p>
        </w:tc>
        <w:tc>
          <w:tcPr>
            <w:tcW w:w="1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-0.07</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(-0.43)</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r>
      <w:tr w:rsidR="00523FB7" w:rsidRPr="00740526" w:rsidTr="00747FB4">
        <w:trPr>
          <w:trHeight w:val="285"/>
        </w:trPr>
        <w:tc>
          <w:tcPr>
            <w:tcW w:w="940"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(3) – (5)</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0.51</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(2.54)</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(2.41)</w:t>
            </w:r>
          </w:p>
        </w:tc>
        <w:tc>
          <w:tcPr>
            <w:tcW w:w="1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(0.11)</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8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0.38</w:t>
            </w:r>
            <w:r w:rsidRPr="00740526">
              <w:rPr>
                <w:rFonts w:ascii="Times New Roman" w:hAnsi="Times New Roman" w:cs="Times New Roman"/>
                <w:color w:val="000000"/>
                <w:sz w:val="20"/>
                <w:szCs w:val="20"/>
                <w:vertAlign w:val="superscript"/>
              </w:rPr>
              <w:t>*</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(1.93)</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0.41</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(1.55)</w:t>
            </w:r>
          </w:p>
        </w:tc>
        <w:tc>
          <w:tcPr>
            <w:tcW w:w="1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(-0.52)</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-0.18</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(-1.02)</w:t>
            </w:r>
          </w:p>
        </w:tc>
      </w:tr>
      <w:tr w:rsidR="00523FB7" w:rsidRPr="00740526" w:rsidTr="00747FB4">
        <w:trPr>
          <w:trHeight w:val="285"/>
        </w:trPr>
        <w:tc>
          <w:tcPr>
            <w:tcW w:w="940"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(3) – (6)</w:t>
            </w:r>
          </w:p>
        </w:tc>
        <w:tc>
          <w:tcPr>
            <w:tcW w:w="215"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0.36</w:t>
            </w:r>
            <w:r w:rsidRPr="00740526">
              <w:rPr>
                <w:rFonts w:ascii="Times New Roman" w:hAnsi="Times New Roman" w:cs="Times New Roman"/>
                <w:color w:val="000000"/>
                <w:sz w:val="20"/>
                <w:szCs w:val="20"/>
                <w:vertAlign w:val="superscript"/>
              </w:rPr>
              <w:t>*</w:t>
            </w:r>
          </w:p>
        </w:tc>
        <w:tc>
          <w:tcPr>
            <w:tcW w:w="282"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(1.85)</w:t>
            </w:r>
          </w:p>
        </w:tc>
        <w:tc>
          <w:tcPr>
            <w:tcW w:w="215"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0.41</w:t>
            </w:r>
          </w:p>
        </w:tc>
        <w:tc>
          <w:tcPr>
            <w:tcW w:w="282"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(1.39)</w:t>
            </w:r>
          </w:p>
        </w:tc>
        <w:tc>
          <w:tcPr>
            <w:tcW w:w="17"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82"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(-0.36)</w:t>
            </w:r>
          </w:p>
        </w:tc>
        <w:tc>
          <w:tcPr>
            <w:tcW w:w="215"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282"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(-0.35)</w:t>
            </w:r>
          </w:p>
        </w:tc>
        <w:tc>
          <w:tcPr>
            <w:tcW w:w="86"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0.38</w:t>
            </w:r>
            <w:r w:rsidRPr="00740526">
              <w:rPr>
                <w:rFonts w:ascii="Times New Roman" w:hAnsi="Times New Roman" w:cs="Times New Roman"/>
                <w:color w:val="000000"/>
                <w:sz w:val="20"/>
                <w:szCs w:val="20"/>
                <w:vertAlign w:val="superscript"/>
              </w:rPr>
              <w:t>*</w:t>
            </w:r>
          </w:p>
        </w:tc>
        <w:tc>
          <w:tcPr>
            <w:tcW w:w="277"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(1.95)</w:t>
            </w:r>
          </w:p>
        </w:tc>
        <w:tc>
          <w:tcPr>
            <w:tcW w:w="211"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0.48</w:t>
            </w:r>
            <w:r w:rsidRPr="00740526">
              <w:rPr>
                <w:rFonts w:ascii="Times New Roman" w:hAnsi="Times New Roman" w:cs="Times New Roman"/>
                <w:color w:val="000000"/>
                <w:sz w:val="20"/>
                <w:szCs w:val="20"/>
                <w:vertAlign w:val="superscript"/>
              </w:rPr>
              <w:t>*</w:t>
            </w:r>
          </w:p>
        </w:tc>
        <w:tc>
          <w:tcPr>
            <w:tcW w:w="277"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(1.79)</w:t>
            </w:r>
          </w:p>
        </w:tc>
        <w:tc>
          <w:tcPr>
            <w:tcW w:w="16"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-0.07</w:t>
            </w:r>
          </w:p>
        </w:tc>
        <w:tc>
          <w:tcPr>
            <w:tcW w:w="277"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(-0.47)</w:t>
            </w:r>
          </w:p>
        </w:tc>
        <w:tc>
          <w:tcPr>
            <w:tcW w:w="211"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p>
        </w:tc>
        <w:tc>
          <w:tcPr>
            <w:tcW w:w="277" w:type="pct"/>
            <w:tcBorders>
              <w:top w:val="nil"/>
              <w:left w:val="nil"/>
              <w:bottom w:val="dashed" w:sz="4" w:space="0" w:color="auto"/>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p>
        </w:tc>
      </w:tr>
      <w:tr w:rsidR="00523FB7" w:rsidRPr="00740526" w:rsidTr="00747FB4">
        <w:trPr>
          <w:trHeight w:val="285"/>
        </w:trPr>
        <w:tc>
          <w:tcPr>
            <w:tcW w:w="940"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(2) – (1)</w:t>
            </w:r>
          </w:p>
        </w:tc>
        <w:tc>
          <w:tcPr>
            <w:tcW w:w="215"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-0.49</w:t>
            </w:r>
            <w:r w:rsidRPr="00740526">
              <w:rPr>
                <w:rFonts w:ascii="Times New Roman" w:hAnsi="Times New Roman" w:cs="Times New Roman"/>
                <w:color w:val="000000"/>
                <w:sz w:val="20"/>
                <w:szCs w:val="20"/>
                <w:vertAlign w:val="superscript"/>
              </w:rPr>
              <w:t>***</w:t>
            </w:r>
          </w:p>
        </w:tc>
        <w:tc>
          <w:tcPr>
            <w:tcW w:w="282"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(-2.97)</w:t>
            </w:r>
          </w:p>
        </w:tc>
        <w:tc>
          <w:tcPr>
            <w:tcW w:w="215"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-0.57</w:t>
            </w:r>
            <w:r w:rsidRPr="00740526">
              <w:rPr>
                <w:rFonts w:ascii="Times New Roman" w:hAnsi="Times New Roman" w:cs="Times New Roman"/>
                <w:color w:val="000000"/>
                <w:sz w:val="20"/>
                <w:szCs w:val="20"/>
                <w:vertAlign w:val="superscript"/>
              </w:rPr>
              <w:t>**</w:t>
            </w:r>
          </w:p>
        </w:tc>
        <w:tc>
          <w:tcPr>
            <w:tcW w:w="282"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(-2.42)</w:t>
            </w:r>
          </w:p>
        </w:tc>
        <w:tc>
          <w:tcPr>
            <w:tcW w:w="17"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-0.34</w:t>
            </w:r>
            <w:r w:rsidRPr="00740526">
              <w:rPr>
                <w:rFonts w:ascii="Times New Roman" w:hAnsi="Times New Roman" w:cs="Times New Roman"/>
                <w:color w:val="000000"/>
                <w:sz w:val="20"/>
                <w:szCs w:val="20"/>
                <w:vertAlign w:val="superscript"/>
              </w:rPr>
              <w:t>**</w:t>
            </w:r>
          </w:p>
        </w:tc>
        <w:tc>
          <w:tcPr>
            <w:tcW w:w="282"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(-2.15)</w:t>
            </w:r>
          </w:p>
        </w:tc>
        <w:tc>
          <w:tcPr>
            <w:tcW w:w="215"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-0.41</w:t>
            </w:r>
            <w:r w:rsidRPr="00740526">
              <w:rPr>
                <w:rFonts w:ascii="Times New Roman" w:hAnsi="Times New Roman" w:cs="Times New Roman"/>
                <w:color w:val="000000"/>
                <w:sz w:val="20"/>
                <w:szCs w:val="20"/>
                <w:vertAlign w:val="superscript"/>
              </w:rPr>
              <w:t>**</w:t>
            </w:r>
          </w:p>
        </w:tc>
        <w:tc>
          <w:tcPr>
            <w:tcW w:w="282"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(-1.73)</w:t>
            </w:r>
          </w:p>
        </w:tc>
        <w:tc>
          <w:tcPr>
            <w:tcW w:w="86"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0.19</w:t>
            </w:r>
          </w:p>
        </w:tc>
        <w:tc>
          <w:tcPr>
            <w:tcW w:w="277"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(1.14)</w:t>
            </w:r>
          </w:p>
        </w:tc>
        <w:tc>
          <w:tcPr>
            <w:tcW w:w="211"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77"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(0.24)</w:t>
            </w:r>
          </w:p>
        </w:tc>
        <w:tc>
          <w:tcPr>
            <w:tcW w:w="16"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0.07</w:t>
            </w:r>
          </w:p>
        </w:tc>
        <w:tc>
          <w:tcPr>
            <w:tcW w:w="277"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(0.43)</w:t>
            </w:r>
          </w:p>
        </w:tc>
        <w:tc>
          <w:tcPr>
            <w:tcW w:w="211"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77" w:type="pct"/>
            <w:tcBorders>
              <w:top w:val="dashed" w:sz="4" w:space="0" w:color="auto"/>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r>
      <w:tr w:rsidR="00523FB7" w:rsidRPr="00740526" w:rsidTr="00747FB4">
        <w:trPr>
          <w:trHeight w:val="285"/>
        </w:trPr>
        <w:tc>
          <w:tcPr>
            <w:tcW w:w="940"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(2) – (4)</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-0.33</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(-1.86)</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(-1.47)</w:t>
            </w:r>
          </w:p>
        </w:tc>
        <w:tc>
          <w:tcPr>
            <w:tcW w:w="1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(-1.65)</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-0.31</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(-1.65)</w:t>
            </w:r>
          </w:p>
        </w:tc>
        <w:tc>
          <w:tcPr>
            <w:tcW w:w="8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0.59</w:t>
            </w:r>
            <w:r w:rsidRPr="00740526">
              <w:rPr>
                <w:rFonts w:ascii="Times New Roman" w:hAnsi="Times New Roman" w:cs="Times New Roman"/>
                <w:color w:val="000000"/>
                <w:sz w:val="20"/>
                <w:szCs w:val="20"/>
                <w:vertAlign w:val="superscript"/>
              </w:rPr>
              <w:t>*</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(1.86)</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0.38</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(1.12)</w:t>
            </w:r>
          </w:p>
        </w:tc>
        <w:tc>
          <w:tcPr>
            <w:tcW w:w="1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(0.32)</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r>
      <w:tr w:rsidR="00523FB7" w:rsidRPr="00740526" w:rsidTr="00747FB4">
        <w:trPr>
          <w:trHeight w:val="285"/>
        </w:trPr>
        <w:tc>
          <w:tcPr>
            <w:tcW w:w="940"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(2) – (5)</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-0.31</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(-0.89)</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(-0.38)</w:t>
            </w:r>
          </w:p>
        </w:tc>
        <w:tc>
          <w:tcPr>
            <w:tcW w:w="1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-0.58</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(-1.93)</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-0.69</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(-2.05)</w:t>
            </w:r>
          </w:p>
        </w:tc>
        <w:tc>
          <w:tcPr>
            <w:tcW w:w="8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1.24</w:t>
            </w:r>
            <w:r w:rsidRPr="00740526">
              <w:rPr>
                <w:rFonts w:ascii="Times New Roman" w:hAnsi="Times New Roman" w:cs="Times New Roman"/>
                <w:color w:val="000000"/>
                <w:sz w:val="20"/>
                <w:szCs w:val="20"/>
                <w:vertAlign w:val="superscript"/>
              </w:rPr>
              <w:t>**</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(2.51)</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0.91</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(1.57)</w:t>
            </w:r>
          </w:p>
        </w:tc>
        <w:tc>
          <w:tcPr>
            <w:tcW w:w="1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-0.26</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(-0.61)</w:t>
            </w:r>
          </w:p>
        </w:tc>
      </w:tr>
      <w:tr w:rsidR="00523FB7" w:rsidRPr="00740526" w:rsidTr="00747FB4">
        <w:trPr>
          <w:trHeight w:val="285"/>
        </w:trPr>
        <w:tc>
          <w:tcPr>
            <w:tcW w:w="940"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(2) – (6)</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-0.46</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(-1.43)</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-0.44</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(-1.04)</w:t>
            </w:r>
          </w:p>
        </w:tc>
        <w:tc>
          <w:tcPr>
            <w:tcW w:w="1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-0.65</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(-2.22)</w:t>
            </w:r>
          </w:p>
        </w:tc>
        <w:tc>
          <w:tcPr>
            <w:tcW w:w="215"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-0.79</w:t>
            </w:r>
            <w:r w:rsidRPr="00740526">
              <w:rPr>
                <w:rFonts w:ascii="Times New Roman" w:hAnsi="Times New Roman" w:cs="Times New Roman"/>
                <w:color w:val="000000"/>
                <w:sz w:val="20"/>
                <w:szCs w:val="20"/>
                <w:vertAlign w:val="superscript"/>
              </w:rPr>
              <w:t>**</w:t>
            </w:r>
          </w:p>
        </w:tc>
        <w:tc>
          <w:tcPr>
            <w:tcW w:w="282"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(-2.00)</w:t>
            </w:r>
          </w:p>
        </w:tc>
        <w:tc>
          <w:tcPr>
            <w:tcW w:w="8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0.76</w:t>
            </w:r>
            <w:r w:rsidRPr="00740526">
              <w:rPr>
                <w:rFonts w:ascii="Times New Roman" w:hAnsi="Times New Roman" w:cs="Times New Roman"/>
                <w:color w:val="000000"/>
                <w:sz w:val="20"/>
                <w:szCs w:val="20"/>
                <w:vertAlign w:val="superscript"/>
              </w:rPr>
              <w:t>**</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(2.08)</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0.51</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(1.03)</w:t>
            </w:r>
          </w:p>
        </w:tc>
        <w:tc>
          <w:tcPr>
            <w:tcW w:w="16"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(0.20)</w:t>
            </w:r>
          </w:p>
        </w:tc>
        <w:tc>
          <w:tcPr>
            <w:tcW w:w="211"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-0.23</w:t>
            </w:r>
          </w:p>
        </w:tc>
        <w:tc>
          <w:tcPr>
            <w:tcW w:w="277" w:type="pct"/>
            <w:tcBorders>
              <w:top w:val="nil"/>
              <w:left w:val="nil"/>
              <w:bottom w:val="nil"/>
              <w:right w:val="nil"/>
            </w:tcBorders>
            <w:noWrap/>
            <w:tcMar>
              <w:top w:w="14" w:type="dxa"/>
              <w:left w:w="14" w:type="dxa"/>
              <w:bottom w:w="0" w:type="dxa"/>
              <w:right w:w="14" w:type="dxa"/>
            </w:tcMar>
            <w:vAlign w:val="center"/>
          </w:tcPr>
          <w:p w:rsidR="00523FB7" w:rsidRPr="005544EF"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(-0.58)</w:t>
            </w:r>
          </w:p>
        </w:tc>
      </w:tr>
      <w:tr w:rsidR="00523FB7" w:rsidRPr="00740526" w:rsidTr="00747FB4">
        <w:trPr>
          <w:trHeight w:val="300"/>
        </w:trPr>
        <w:tc>
          <w:tcPr>
            <w:tcW w:w="940"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15"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82"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15"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82"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17"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15"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82"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15"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82"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86"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11"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77"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11"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77"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16"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11"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77"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11"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77" w:type="pct"/>
            <w:tcBorders>
              <w:top w:val="nil"/>
              <w:left w:val="nil"/>
              <w:bottom w:val="double" w:sz="6" w:space="0" w:color="auto"/>
              <w:right w:val="nil"/>
            </w:tcBorders>
            <w:noWrap/>
            <w:tcMar>
              <w:top w:w="14" w:type="dxa"/>
              <w:left w:w="14" w:type="dxa"/>
              <w:bottom w:w="0" w:type="dxa"/>
              <w:right w:w="14" w:type="dxa"/>
            </w:tcMar>
            <w:vAlign w:val="center"/>
          </w:tcPr>
          <w:p w:rsidR="00523FB7" w:rsidRPr="005544EF"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r>
    </w:tbl>
    <w:p w:rsidR="00523FB7" w:rsidRDefault="00523FB7" w:rsidP="00074774">
      <w:pPr>
        <w:widowControl/>
        <w:snapToGrid w:val="0"/>
        <w:rPr>
          <w:rFonts w:ascii="Times New Roman" w:hAnsi="Times New Roman" w:cs="Times New Roman"/>
          <w:sz w:val="22"/>
          <w:szCs w:val="22"/>
        </w:rPr>
      </w:pPr>
    </w:p>
    <w:tbl>
      <w:tblPr>
        <w:tblW w:w="5000" w:type="pct"/>
        <w:tblCellMar>
          <w:left w:w="0" w:type="dxa"/>
          <w:right w:w="0" w:type="dxa"/>
        </w:tblCellMar>
        <w:tblLook w:val="00A0"/>
      </w:tblPr>
      <w:tblGrid>
        <w:gridCol w:w="2580"/>
        <w:gridCol w:w="715"/>
        <w:gridCol w:w="682"/>
        <w:gridCol w:w="715"/>
        <w:gridCol w:w="682"/>
        <w:gridCol w:w="48"/>
        <w:gridCol w:w="715"/>
        <w:gridCol w:w="682"/>
        <w:gridCol w:w="715"/>
        <w:gridCol w:w="682"/>
        <w:gridCol w:w="240"/>
        <w:gridCol w:w="704"/>
        <w:gridCol w:w="670"/>
        <w:gridCol w:w="701"/>
        <w:gridCol w:w="670"/>
        <w:gridCol w:w="48"/>
        <w:gridCol w:w="701"/>
        <w:gridCol w:w="670"/>
        <w:gridCol w:w="701"/>
        <w:gridCol w:w="665"/>
      </w:tblGrid>
      <w:tr w:rsidR="00523FB7" w:rsidRPr="00740526" w:rsidTr="00747FB4">
        <w:trPr>
          <w:trHeight w:val="315"/>
        </w:trPr>
        <w:tc>
          <w:tcPr>
            <w:tcW w:w="923" w:type="pct"/>
            <w:tcBorders>
              <w:top w:val="double" w:sz="6" w:space="0" w:color="auto"/>
              <w:left w:val="nil"/>
              <w:bottom w:val="single" w:sz="8"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b/>
                <w:bCs/>
                <w:color w:val="000000"/>
                <w:sz w:val="20"/>
                <w:szCs w:val="20"/>
              </w:rPr>
            </w:pPr>
            <w:r w:rsidRPr="00740526">
              <w:rPr>
                <w:rFonts w:ascii="Times New Roman" w:hAnsi="Times New Roman" w:cs="Times New Roman" w:hint="eastAsia"/>
                <w:b/>
                <w:bCs/>
                <w:color w:val="000000"/>
                <w:sz w:val="20"/>
                <w:szCs w:val="20"/>
              </w:rPr>
              <w:t xml:space="preserve">　</w:t>
            </w:r>
          </w:p>
        </w:tc>
        <w:tc>
          <w:tcPr>
            <w:tcW w:w="2013" w:type="pct"/>
            <w:gridSpan w:val="9"/>
            <w:tcBorders>
              <w:top w:val="double" w:sz="6"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 xml:space="preserve">Panel C: Size vs. </w:t>
            </w:r>
            <w:r w:rsidRPr="00740526">
              <w:rPr>
                <w:rFonts w:ascii="Times New Roman" w:hAnsi="Times New Roman" w:cs="Times New Roman"/>
                <w:b/>
                <w:bCs/>
                <w:i/>
                <w:iCs/>
                <w:color w:val="000000"/>
                <w:sz w:val="20"/>
                <w:szCs w:val="20"/>
              </w:rPr>
              <w:t>AdjDITH</w:t>
            </w:r>
          </w:p>
        </w:tc>
        <w:tc>
          <w:tcPr>
            <w:tcW w:w="86" w:type="pct"/>
            <w:tcBorders>
              <w:top w:val="double" w:sz="6"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b/>
                <w:bCs/>
                <w:color w:val="000000"/>
                <w:sz w:val="20"/>
                <w:szCs w:val="20"/>
              </w:rPr>
            </w:pPr>
            <w:r w:rsidRPr="00740526">
              <w:rPr>
                <w:rFonts w:ascii="Times New Roman" w:hAnsi="Times New Roman" w:cs="Times New Roman" w:hint="eastAsia"/>
                <w:b/>
                <w:bCs/>
                <w:color w:val="000000"/>
                <w:sz w:val="20"/>
                <w:szCs w:val="20"/>
              </w:rPr>
              <w:t xml:space="preserve">　</w:t>
            </w:r>
          </w:p>
        </w:tc>
        <w:tc>
          <w:tcPr>
            <w:tcW w:w="1978" w:type="pct"/>
            <w:gridSpan w:val="9"/>
            <w:tcBorders>
              <w:top w:val="double" w:sz="6"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 xml:space="preserve">Panel D: Size vs. </w:t>
            </w:r>
            <w:r w:rsidRPr="00740526">
              <w:rPr>
                <w:rFonts w:ascii="Times New Roman" w:hAnsi="Times New Roman" w:cs="Times New Roman"/>
                <w:b/>
                <w:bCs/>
                <w:i/>
                <w:iCs/>
                <w:color w:val="000000"/>
                <w:sz w:val="20"/>
                <w:szCs w:val="20"/>
              </w:rPr>
              <w:t>AdjDIND</w:t>
            </w:r>
          </w:p>
        </w:tc>
      </w:tr>
      <w:tr w:rsidR="00523FB7" w:rsidRPr="00740526" w:rsidTr="00747FB4">
        <w:trPr>
          <w:trHeight w:val="300"/>
        </w:trPr>
        <w:tc>
          <w:tcPr>
            <w:tcW w:w="923" w:type="pct"/>
            <w:tcBorders>
              <w:top w:val="nil"/>
              <w:left w:val="nil"/>
              <w:bottom w:val="single" w:sz="8"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b/>
                <w:bCs/>
                <w:color w:val="000000"/>
                <w:sz w:val="20"/>
                <w:szCs w:val="20"/>
              </w:rPr>
            </w:pPr>
            <w:r w:rsidRPr="00740526">
              <w:rPr>
                <w:rFonts w:ascii="Times New Roman" w:hAnsi="Times New Roman" w:cs="Times New Roman" w:hint="eastAsia"/>
                <w:b/>
                <w:bCs/>
                <w:color w:val="000000"/>
                <w:sz w:val="20"/>
                <w:szCs w:val="20"/>
              </w:rPr>
              <w:t xml:space="preserve">　</w:t>
            </w:r>
          </w:p>
        </w:tc>
        <w:tc>
          <w:tcPr>
            <w:tcW w:w="999" w:type="pct"/>
            <w:gridSpan w:val="4"/>
            <w:tcBorders>
              <w:top w:val="single" w:sz="8" w:space="0" w:color="auto"/>
              <w:left w:val="nil"/>
              <w:bottom w:val="single" w:sz="8" w:space="0" w:color="auto"/>
              <w:right w:val="nil"/>
            </w:tcBorders>
            <w:noWrap/>
            <w:tcMar>
              <w:top w:w="14" w:type="dxa"/>
              <w:left w:w="14" w:type="dxa"/>
              <w:bottom w:w="0" w:type="dxa"/>
              <w:right w:w="14" w:type="dxa"/>
            </w:tcMar>
            <w:vAlign w:val="center"/>
          </w:tcPr>
          <w:p w:rsidR="00523FB7" w:rsidRPr="00AC07D8"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Raw returns</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center"/>
              <w:rPr>
                <w:rFonts w:ascii="Times New Roman" w:hAnsi="Times New Roman" w:cs="Times New Roman"/>
                <w:b/>
                <w:bCs/>
                <w:color w:val="000000"/>
                <w:sz w:val="20"/>
                <w:szCs w:val="20"/>
              </w:rPr>
            </w:pPr>
          </w:p>
        </w:tc>
        <w:tc>
          <w:tcPr>
            <w:tcW w:w="999" w:type="pct"/>
            <w:gridSpan w:val="4"/>
            <w:tcBorders>
              <w:top w:val="single" w:sz="8" w:space="0" w:color="auto"/>
              <w:left w:val="nil"/>
              <w:bottom w:val="single" w:sz="8" w:space="0" w:color="auto"/>
              <w:right w:val="nil"/>
            </w:tcBorders>
            <w:noWrap/>
            <w:tcMar>
              <w:top w:w="14" w:type="dxa"/>
              <w:left w:w="14" w:type="dxa"/>
              <w:bottom w:w="0" w:type="dxa"/>
              <w:right w:w="14" w:type="dxa"/>
            </w:tcMar>
            <w:vAlign w:val="center"/>
          </w:tcPr>
          <w:p w:rsidR="00523FB7" w:rsidRPr="00AC07D8"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Carhart’s alphas</w:t>
            </w:r>
          </w:p>
        </w:tc>
        <w:tc>
          <w:tcPr>
            <w:tcW w:w="8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b/>
                <w:bCs/>
                <w:color w:val="000000"/>
                <w:sz w:val="20"/>
                <w:szCs w:val="20"/>
              </w:rPr>
            </w:pPr>
          </w:p>
        </w:tc>
        <w:tc>
          <w:tcPr>
            <w:tcW w:w="983" w:type="pct"/>
            <w:gridSpan w:val="4"/>
            <w:tcBorders>
              <w:top w:val="single" w:sz="8" w:space="0" w:color="auto"/>
              <w:left w:val="nil"/>
              <w:bottom w:val="single" w:sz="8" w:space="0" w:color="auto"/>
              <w:right w:val="nil"/>
            </w:tcBorders>
            <w:noWrap/>
            <w:tcMar>
              <w:top w:w="14" w:type="dxa"/>
              <w:left w:w="14" w:type="dxa"/>
              <w:bottom w:w="0" w:type="dxa"/>
              <w:right w:w="14" w:type="dxa"/>
            </w:tcMar>
            <w:vAlign w:val="center"/>
          </w:tcPr>
          <w:p w:rsidR="00523FB7" w:rsidRPr="00AC07D8"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Raw returns</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982" w:type="pct"/>
            <w:gridSpan w:val="4"/>
            <w:tcBorders>
              <w:top w:val="single" w:sz="8" w:space="0" w:color="auto"/>
              <w:left w:val="nil"/>
              <w:bottom w:val="single" w:sz="8" w:space="0" w:color="auto"/>
              <w:right w:val="nil"/>
            </w:tcBorders>
            <w:noWrap/>
            <w:tcMar>
              <w:top w:w="14" w:type="dxa"/>
              <w:left w:w="14" w:type="dxa"/>
              <w:bottom w:w="0" w:type="dxa"/>
              <w:right w:w="14" w:type="dxa"/>
            </w:tcMar>
            <w:vAlign w:val="center"/>
          </w:tcPr>
          <w:p w:rsidR="00523FB7" w:rsidRPr="00AC07D8" w:rsidRDefault="00523FB7" w:rsidP="00747FB4">
            <w:pPr>
              <w:snapToGrid w:val="0"/>
              <w:jc w:val="center"/>
              <w:rPr>
                <w:rFonts w:ascii="Times New Roman" w:hAnsi="Times New Roman" w:cs="Times New Roman"/>
                <w:b/>
                <w:bCs/>
                <w:color w:val="000000"/>
                <w:sz w:val="20"/>
                <w:szCs w:val="20"/>
              </w:rPr>
            </w:pPr>
            <w:r w:rsidRPr="00740526">
              <w:rPr>
                <w:rFonts w:ascii="Times New Roman" w:hAnsi="Times New Roman" w:cs="Times New Roman"/>
                <w:b/>
                <w:bCs/>
                <w:color w:val="000000"/>
                <w:sz w:val="20"/>
                <w:szCs w:val="20"/>
              </w:rPr>
              <w:t>Carhart’s alphas</w:t>
            </w:r>
          </w:p>
        </w:tc>
      </w:tr>
      <w:tr w:rsidR="00523FB7" w:rsidRPr="00740526" w:rsidTr="00747FB4">
        <w:trPr>
          <w:trHeight w:val="300"/>
        </w:trPr>
        <w:tc>
          <w:tcPr>
            <w:tcW w:w="923" w:type="pct"/>
            <w:tcBorders>
              <w:top w:val="nil"/>
              <w:left w:val="nil"/>
              <w:bottom w:val="single" w:sz="8"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Investing strategy</w:t>
            </w:r>
          </w:p>
        </w:tc>
        <w:tc>
          <w:tcPr>
            <w:tcW w:w="256"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EW</w:t>
            </w:r>
          </w:p>
        </w:tc>
        <w:tc>
          <w:tcPr>
            <w:tcW w:w="244"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256"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VW</w:t>
            </w:r>
          </w:p>
        </w:tc>
        <w:tc>
          <w:tcPr>
            <w:tcW w:w="244"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14" w:type="pct"/>
            <w:tcBorders>
              <w:top w:val="nil"/>
              <w:left w:val="nil"/>
              <w:bottom w:val="nil"/>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p>
        </w:tc>
        <w:tc>
          <w:tcPr>
            <w:tcW w:w="256"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EW</w:t>
            </w:r>
          </w:p>
        </w:tc>
        <w:tc>
          <w:tcPr>
            <w:tcW w:w="244"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256"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VW</w:t>
            </w:r>
          </w:p>
        </w:tc>
        <w:tc>
          <w:tcPr>
            <w:tcW w:w="244"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86" w:type="pct"/>
            <w:tcBorders>
              <w:top w:val="nil"/>
              <w:left w:val="nil"/>
              <w:bottom w:val="nil"/>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p>
        </w:tc>
        <w:tc>
          <w:tcPr>
            <w:tcW w:w="252"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EW</w:t>
            </w:r>
          </w:p>
        </w:tc>
        <w:tc>
          <w:tcPr>
            <w:tcW w:w="240"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251"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VW</w:t>
            </w:r>
          </w:p>
        </w:tc>
        <w:tc>
          <w:tcPr>
            <w:tcW w:w="240"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14" w:type="pct"/>
            <w:tcBorders>
              <w:top w:val="nil"/>
              <w:left w:val="nil"/>
              <w:bottom w:val="nil"/>
              <w:right w:val="nil"/>
            </w:tcBorders>
            <w:noWrap/>
            <w:tcMar>
              <w:top w:w="14" w:type="dxa"/>
              <w:left w:w="14" w:type="dxa"/>
              <w:bottom w:w="0" w:type="dxa"/>
              <w:right w:w="14" w:type="dxa"/>
            </w:tcMar>
            <w:vAlign w:val="center"/>
          </w:tcPr>
          <w:p w:rsidR="00523FB7" w:rsidRPr="00976571" w:rsidRDefault="00523FB7" w:rsidP="00747FB4">
            <w:pPr>
              <w:snapToGrid w:val="0"/>
              <w:rPr>
                <w:rFonts w:ascii="Times New Roman" w:hAnsi="Times New Roman" w:cs="Times New Roman"/>
                <w:color w:val="000000"/>
                <w:sz w:val="20"/>
                <w:szCs w:val="20"/>
              </w:rPr>
            </w:pPr>
          </w:p>
        </w:tc>
        <w:tc>
          <w:tcPr>
            <w:tcW w:w="251"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EW</w:t>
            </w:r>
          </w:p>
        </w:tc>
        <w:tc>
          <w:tcPr>
            <w:tcW w:w="240"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c>
          <w:tcPr>
            <w:tcW w:w="251"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VW</w:t>
            </w:r>
          </w:p>
        </w:tc>
        <w:tc>
          <w:tcPr>
            <w:tcW w:w="240" w:type="pct"/>
            <w:tcBorders>
              <w:top w:val="nil"/>
              <w:left w:val="nil"/>
              <w:bottom w:val="single" w:sz="8" w:space="0" w:color="auto"/>
              <w:right w:val="nil"/>
            </w:tcBorders>
            <w:noWrap/>
            <w:tcMar>
              <w:top w:w="14" w:type="dxa"/>
              <w:left w:w="14" w:type="dxa"/>
              <w:bottom w:w="0" w:type="dxa"/>
              <w:right w:w="14" w:type="dxa"/>
            </w:tcMar>
            <w:vAlign w:val="center"/>
          </w:tcPr>
          <w:p w:rsidR="00523FB7" w:rsidRPr="00976571" w:rsidRDefault="00523FB7" w:rsidP="00747FB4">
            <w:pPr>
              <w:snapToGrid w:val="0"/>
              <w:jc w:val="right"/>
              <w:rPr>
                <w:rFonts w:ascii="Times New Roman" w:hAnsi="Times New Roman" w:cs="Times New Roman"/>
                <w:iCs/>
                <w:color w:val="000000"/>
                <w:sz w:val="20"/>
                <w:szCs w:val="20"/>
              </w:rPr>
            </w:pPr>
            <w:r w:rsidRPr="00740526">
              <w:rPr>
                <w:rFonts w:ascii="Times New Roman" w:hAnsi="Times New Roman" w:cs="Times New Roman"/>
                <w:iCs/>
                <w:color w:val="000000"/>
                <w:sz w:val="20"/>
                <w:szCs w:val="20"/>
              </w:rPr>
              <w:t>t</w:t>
            </w:r>
            <w:r w:rsidRPr="00740526">
              <w:rPr>
                <w:rFonts w:ascii="Times New Roman" w:hAnsi="Times New Roman" w:cs="Times New Roman"/>
                <w:color w:val="000000"/>
                <w:sz w:val="20"/>
                <w:szCs w:val="20"/>
              </w:rPr>
              <w:t>-value</w:t>
            </w:r>
          </w:p>
        </w:tc>
      </w:tr>
      <w:tr w:rsidR="00523FB7" w:rsidRPr="00740526" w:rsidTr="00747FB4">
        <w:trPr>
          <w:trHeight w:val="285"/>
        </w:trPr>
        <w:tc>
          <w:tcPr>
            <w:tcW w:w="923"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(1) (Small, Sell) – (Large, Sell)</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0.72</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(2.15)</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0.74</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(2.09)</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0.36</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(1.80)</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0.29</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(1.47)</w:t>
            </w:r>
          </w:p>
        </w:tc>
        <w:tc>
          <w:tcPr>
            <w:tcW w:w="8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0.67</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(2.21)</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0.61</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(1.88)</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0.32</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(1.69)</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0.23</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(1.22)</w:t>
            </w:r>
          </w:p>
        </w:tc>
      </w:tr>
      <w:tr w:rsidR="00523FB7" w:rsidRPr="00740526" w:rsidTr="00747FB4">
        <w:trPr>
          <w:trHeight w:val="285"/>
        </w:trPr>
        <w:tc>
          <w:tcPr>
            <w:tcW w:w="923"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rPr>
                <w:rFonts w:ascii="Times New Roman" w:hAnsi="Times New Roman" w:cs="Times New Roman"/>
                <w:bCs/>
                <w:color w:val="000000"/>
                <w:sz w:val="20"/>
                <w:szCs w:val="20"/>
              </w:rPr>
            </w:pPr>
            <w:r w:rsidRPr="00740526">
              <w:rPr>
                <w:rFonts w:ascii="Times New Roman" w:hAnsi="Times New Roman" w:cs="Times New Roman"/>
                <w:bCs/>
                <w:color w:val="000000"/>
                <w:sz w:val="20"/>
                <w:szCs w:val="20"/>
              </w:rPr>
              <w:t>(2) (Small, Buy) – (Large, Sell)</w:t>
            </w:r>
          </w:p>
        </w:tc>
        <w:tc>
          <w:tcPr>
            <w:tcW w:w="256"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0.59</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(2.01)</w:t>
            </w:r>
          </w:p>
        </w:tc>
        <w:tc>
          <w:tcPr>
            <w:tcW w:w="256"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0.53</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(1.73)</w:t>
            </w:r>
          </w:p>
        </w:tc>
        <w:tc>
          <w:tcPr>
            <w:tcW w:w="14"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0.32</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(1.70)</w:t>
            </w:r>
          </w:p>
        </w:tc>
        <w:tc>
          <w:tcPr>
            <w:tcW w:w="256"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p>
        </w:tc>
        <w:tc>
          <w:tcPr>
            <w:tcW w:w="244"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(0.91)</w:t>
            </w:r>
          </w:p>
        </w:tc>
        <w:tc>
          <w:tcPr>
            <w:tcW w:w="86"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rPr>
                <w:rFonts w:ascii="Times New Roman" w:hAnsi="Times New Roman" w:cs="Times New Roman"/>
                <w:color w:val="000000"/>
                <w:sz w:val="20"/>
                <w:szCs w:val="20"/>
              </w:rPr>
            </w:pPr>
          </w:p>
        </w:tc>
        <w:tc>
          <w:tcPr>
            <w:tcW w:w="252"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0.67</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(2.07)</w:t>
            </w:r>
          </w:p>
        </w:tc>
        <w:tc>
          <w:tcPr>
            <w:tcW w:w="251"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0.56</w:t>
            </w:r>
          </w:p>
        </w:tc>
        <w:tc>
          <w:tcPr>
            <w:tcW w:w="240"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(1.61)</w:t>
            </w:r>
          </w:p>
        </w:tc>
        <w:tc>
          <w:tcPr>
            <w:tcW w:w="14"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rPr>
                <w:rFonts w:ascii="Times New Roman" w:hAnsi="Times New Roman" w:cs="Times New Roman"/>
                <w:color w:val="000000"/>
                <w:sz w:val="20"/>
                <w:szCs w:val="20"/>
              </w:rPr>
            </w:pPr>
          </w:p>
        </w:tc>
        <w:tc>
          <w:tcPr>
            <w:tcW w:w="251"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0.22</w:t>
            </w:r>
          </w:p>
        </w:tc>
        <w:tc>
          <w:tcPr>
            <w:tcW w:w="240"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(1.25)</w:t>
            </w:r>
          </w:p>
        </w:tc>
        <w:tc>
          <w:tcPr>
            <w:tcW w:w="251"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0.09</w:t>
            </w:r>
          </w:p>
        </w:tc>
        <w:tc>
          <w:tcPr>
            <w:tcW w:w="240" w:type="pct"/>
            <w:tcBorders>
              <w:top w:val="nil"/>
              <w:left w:val="nil"/>
              <w:bottom w:val="nil"/>
              <w:right w:val="nil"/>
            </w:tcBorders>
            <w:noWrap/>
            <w:tcMar>
              <w:top w:w="14" w:type="dxa"/>
              <w:left w:w="14" w:type="dxa"/>
              <w:bottom w:w="0" w:type="dxa"/>
              <w:right w:w="14" w:type="dxa"/>
            </w:tcMar>
            <w:vAlign w:val="center"/>
          </w:tcPr>
          <w:p w:rsidR="00523FB7" w:rsidRPr="007D32A1"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(0.52)</w:t>
            </w:r>
          </w:p>
        </w:tc>
      </w:tr>
      <w:tr w:rsidR="00523FB7" w:rsidRPr="00740526" w:rsidTr="00747FB4">
        <w:trPr>
          <w:trHeight w:val="285"/>
        </w:trPr>
        <w:tc>
          <w:tcPr>
            <w:tcW w:w="923"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rPr>
                <w:rFonts w:ascii="Times New Roman" w:hAnsi="Times New Roman" w:cs="Times New Roman"/>
                <w:bCs/>
                <w:color w:val="000000"/>
                <w:sz w:val="20"/>
                <w:szCs w:val="20"/>
              </w:rPr>
            </w:pPr>
            <w:r w:rsidRPr="00740526">
              <w:rPr>
                <w:rFonts w:ascii="Times New Roman" w:hAnsi="Times New Roman" w:cs="Times New Roman"/>
                <w:bCs/>
                <w:color w:val="000000"/>
                <w:sz w:val="20"/>
                <w:szCs w:val="20"/>
              </w:rPr>
              <w:t>(3) (Small, Sell) – (Large, Buy)</w:t>
            </w:r>
          </w:p>
        </w:tc>
        <w:tc>
          <w:tcPr>
            <w:tcW w:w="256"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0.84</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(2.53)</w:t>
            </w:r>
          </w:p>
        </w:tc>
        <w:tc>
          <w:tcPr>
            <w:tcW w:w="256"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0.86</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(2.41)</w:t>
            </w:r>
          </w:p>
        </w:tc>
        <w:tc>
          <w:tcPr>
            <w:tcW w:w="14"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0.42</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(2.17)</w:t>
            </w:r>
          </w:p>
        </w:tc>
        <w:tc>
          <w:tcPr>
            <w:tcW w:w="256"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0.40</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(2.08)</w:t>
            </w:r>
          </w:p>
        </w:tc>
        <w:tc>
          <w:tcPr>
            <w:tcW w:w="86"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rPr>
                <w:rFonts w:ascii="Times New Roman" w:hAnsi="Times New Roman" w:cs="Times New Roman"/>
                <w:color w:val="000000"/>
                <w:sz w:val="20"/>
                <w:szCs w:val="20"/>
              </w:rPr>
            </w:pPr>
          </w:p>
        </w:tc>
        <w:tc>
          <w:tcPr>
            <w:tcW w:w="252"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0.59</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(2.01)</w:t>
            </w:r>
          </w:p>
        </w:tc>
        <w:tc>
          <w:tcPr>
            <w:tcW w:w="251"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0.60</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(1.92)</w:t>
            </w:r>
          </w:p>
        </w:tc>
        <w:tc>
          <w:tcPr>
            <w:tcW w:w="14"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rPr>
                <w:rFonts w:ascii="Times New Roman" w:hAnsi="Times New Roman" w:cs="Times New Roman"/>
                <w:color w:val="000000"/>
                <w:sz w:val="20"/>
                <w:szCs w:val="20"/>
              </w:rPr>
            </w:pPr>
          </w:p>
        </w:tc>
        <w:tc>
          <w:tcPr>
            <w:tcW w:w="251"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0.38</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(1.75)</w:t>
            </w:r>
          </w:p>
        </w:tc>
        <w:tc>
          <w:tcPr>
            <w:tcW w:w="251"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0.35</w:t>
            </w:r>
          </w:p>
        </w:tc>
        <w:tc>
          <w:tcPr>
            <w:tcW w:w="240" w:type="pct"/>
            <w:tcBorders>
              <w:top w:val="nil"/>
              <w:left w:val="nil"/>
              <w:bottom w:val="nil"/>
              <w:right w:val="nil"/>
            </w:tcBorders>
            <w:noWrap/>
            <w:tcMar>
              <w:top w:w="14" w:type="dxa"/>
              <w:left w:w="14" w:type="dxa"/>
              <w:bottom w:w="0" w:type="dxa"/>
              <w:right w:w="14" w:type="dxa"/>
            </w:tcMar>
            <w:vAlign w:val="center"/>
          </w:tcPr>
          <w:p w:rsidR="00523FB7" w:rsidRPr="00E77700"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(1.60)</w:t>
            </w:r>
          </w:p>
        </w:tc>
      </w:tr>
      <w:tr w:rsidR="00523FB7" w:rsidRPr="00740526" w:rsidTr="00747FB4">
        <w:trPr>
          <w:trHeight w:val="285"/>
        </w:trPr>
        <w:tc>
          <w:tcPr>
            <w:tcW w:w="923"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(4) (Small, Buy) – (Large, Buy)</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(2.44)</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0.65</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(2.10)</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0.39</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(2.05)</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(1.52)</w:t>
            </w:r>
          </w:p>
        </w:tc>
        <w:tc>
          <w:tcPr>
            <w:tcW w:w="8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0.58</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(1.98)</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0.54</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(1.72)</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0.28</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(1.45)</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(1.09)</w:t>
            </w:r>
          </w:p>
        </w:tc>
      </w:tr>
      <w:tr w:rsidR="00523FB7" w:rsidRPr="00740526" w:rsidTr="00747FB4">
        <w:trPr>
          <w:trHeight w:val="285"/>
        </w:trPr>
        <w:tc>
          <w:tcPr>
            <w:tcW w:w="923"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(5) (Large, Sell) – (Large, Buy)</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(1.13)</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(0.86)</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(0.57)</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0.11</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(0.79)</w:t>
            </w:r>
          </w:p>
        </w:tc>
        <w:tc>
          <w:tcPr>
            <w:tcW w:w="8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(-0.50)</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(0.34)</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(0.60)</w:t>
            </w:r>
          </w:p>
        </w:tc>
      </w:tr>
      <w:tr w:rsidR="00523FB7" w:rsidRPr="00740526" w:rsidTr="00747FB4">
        <w:trPr>
          <w:trHeight w:val="285"/>
        </w:trPr>
        <w:tc>
          <w:tcPr>
            <w:tcW w:w="923"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(6) (Small, Sell) – (Small, Buy)</w:t>
            </w:r>
          </w:p>
        </w:tc>
        <w:tc>
          <w:tcPr>
            <w:tcW w:w="256"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244"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(0.63)</w:t>
            </w:r>
          </w:p>
        </w:tc>
        <w:tc>
          <w:tcPr>
            <w:tcW w:w="256"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244"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(0.95)</w:t>
            </w:r>
          </w:p>
        </w:tc>
        <w:tc>
          <w:tcPr>
            <w:tcW w:w="14"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44"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(0.17)</w:t>
            </w:r>
          </w:p>
        </w:tc>
        <w:tc>
          <w:tcPr>
            <w:tcW w:w="256"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244"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(0.62)</w:t>
            </w:r>
          </w:p>
        </w:tc>
        <w:tc>
          <w:tcPr>
            <w:tcW w:w="86"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0.01</w:t>
            </w:r>
          </w:p>
        </w:tc>
        <w:tc>
          <w:tcPr>
            <w:tcW w:w="240"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(0.04)</w:t>
            </w:r>
          </w:p>
        </w:tc>
        <w:tc>
          <w:tcPr>
            <w:tcW w:w="251"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240"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(0.28)</w:t>
            </w:r>
          </w:p>
        </w:tc>
        <w:tc>
          <w:tcPr>
            <w:tcW w:w="14"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0.10</w:t>
            </w:r>
          </w:p>
        </w:tc>
        <w:tc>
          <w:tcPr>
            <w:tcW w:w="240"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(0.55)</w:t>
            </w:r>
          </w:p>
        </w:tc>
        <w:tc>
          <w:tcPr>
            <w:tcW w:w="251"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240" w:type="pct"/>
            <w:tcBorders>
              <w:top w:val="nil"/>
              <w:left w:val="nil"/>
              <w:bottom w:val="dashSmallGap"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(0.72)</w:t>
            </w:r>
          </w:p>
        </w:tc>
      </w:tr>
      <w:tr w:rsidR="00523FB7" w:rsidRPr="00740526" w:rsidTr="00747FB4">
        <w:trPr>
          <w:trHeight w:val="285"/>
        </w:trPr>
        <w:tc>
          <w:tcPr>
            <w:tcW w:w="923"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(3) – (1)</w:t>
            </w:r>
          </w:p>
        </w:tc>
        <w:tc>
          <w:tcPr>
            <w:tcW w:w="256"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244"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(1.13)</w:t>
            </w:r>
          </w:p>
        </w:tc>
        <w:tc>
          <w:tcPr>
            <w:tcW w:w="256"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244"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(0.86)</w:t>
            </w:r>
          </w:p>
        </w:tc>
        <w:tc>
          <w:tcPr>
            <w:tcW w:w="14"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244"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(0.57)</w:t>
            </w:r>
          </w:p>
        </w:tc>
        <w:tc>
          <w:tcPr>
            <w:tcW w:w="256"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0.11</w:t>
            </w:r>
          </w:p>
        </w:tc>
        <w:tc>
          <w:tcPr>
            <w:tcW w:w="244"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(0.79)</w:t>
            </w:r>
          </w:p>
        </w:tc>
        <w:tc>
          <w:tcPr>
            <w:tcW w:w="86"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240"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(-0.50)</w:t>
            </w:r>
          </w:p>
        </w:tc>
        <w:tc>
          <w:tcPr>
            <w:tcW w:w="251"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240"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14"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40"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(0.34)</w:t>
            </w:r>
          </w:p>
        </w:tc>
        <w:tc>
          <w:tcPr>
            <w:tcW w:w="251"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240" w:type="pct"/>
            <w:tcBorders>
              <w:top w:val="dashSmallGap"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(0.60)</w:t>
            </w:r>
          </w:p>
        </w:tc>
      </w:tr>
      <w:tr w:rsidR="00523FB7" w:rsidRPr="00740526" w:rsidTr="00747FB4">
        <w:trPr>
          <w:trHeight w:val="285"/>
        </w:trPr>
        <w:tc>
          <w:tcPr>
            <w:tcW w:w="923"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(3) – (2)</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0.25</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(1.08)</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0.33</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(1.27)</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0.10</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(0.43)</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0.24</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(0.97)</w:t>
            </w:r>
          </w:p>
        </w:tc>
        <w:tc>
          <w:tcPr>
            <w:tcW w:w="8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-0.07</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(-0.28)</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0.04</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0.15</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(0.61)</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0.26</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(0.91)</w:t>
            </w:r>
          </w:p>
        </w:tc>
      </w:tr>
      <w:tr w:rsidR="00523FB7" w:rsidRPr="00740526" w:rsidTr="00747FB4">
        <w:trPr>
          <w:trHeight w:val="285"/>
        </w:trPr>
        <w:tc>
          <w:tcPr>
            <w:tcW w:w="923"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bookmarkStart w:id="3" w:name="RANGE!B14"/>
            <w:bookmarkEnd w:id="3"/>
            <w:r w:rsidRPr="00740526">
              <w:rPr>
                <w:rFonts w:ascii="Times New Roman" w:hAnsi="Times New Roman" w:cs="Times New Roman"/>
                <w:color w:val="000000"/>
                <w:sz w:val="20"/>
                <w:szCs w:val="20"/>
              </w:rPr>
              <w:t>(3) – (4)</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(0.63)</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(0.95)</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(0.17)</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(0.62)</w:t>
            </w:r>
          </w:p>
        </w:tc>
        <w:tc>
          <w:tcPr>
            <w:tcW w:w="8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0.01</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(0.04)</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(0.28)</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0.10</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(0.55)</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(0.72)</w:t>
            </w:r>
          </w:p>
        </w:tc>
      </w:tr>
      <w:tr w:rsidR="00523FB7" w:rsidRPr="00740526" w:rsidTr="00747FB4">
        <w:trPr>
          <w:trHeight w:val="285"/>
        </w:trPr>
        <w:tc>
          <w:tcPr>
            <w:tcW w:w="923"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(3) – (5)</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0.72</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(2.15)</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0.74</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(2.09)</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0.36</w:t>
            </w:r>
            <w:r w:rsidRPr="00740526">
              <w:rPr>
                <w:rFonts w:ascii="Times New Roman" w:hAnsi="Times New Roman" w:cs="Times New Roman"/>
                <w:color w:val="000000"/>
                <w:sz w:val="20"/>
                <w:szCs w:val="20"/>
                <w:vertAlign w:val="superscript"/>
              </w:rPr>
              <w:t>*</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(1.80)</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0.29</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(1.47)</w:t>
            </w:r>
          </w:p>
        </w:tc>
        <w:tc>
          <w:tcPr>
            <w:tcW w:w="8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0.67</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(2.21)</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0.61</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(1.88)</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0.32</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(1.69)</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0.23</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(1.22)</w:t>
            </w:r>
          </w:p>
        </w:tc>
      </w:tr>
      <w:tr w:rsidR="00523FB7" w:rsidRPr="00740526" w:rsidTr="00747FB4">
        <w:trPr>
          <w:trHeight w:val="285"/>
        </w:trPr>
        <w:tc>
          <w:tcPr>
            <w:tcW w:w="923"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(3) – (6)</w:t>
            </w:r>
          </w:p>
        </w:tc>
        <w:tc>
          <w:tcPr>
            <w:tcW w:w="256"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0.71</w:t>
            </w:r>
            <w:r w:rsidRPr="00740526">
              <w:rPr>
                <w:rFonts w:ascii="Times New Roman" w:hAnsi="Times New Roman" w:cs="Times New Roman"/>
                <w:color w:val="000000"/>
                <w:sz w:val="20"/>
                <w:szCs w:val="20"/>
                <w:vertAlign w:val="superscript"/>
              </w:rPr>
              <w:t>**</w:t>
            </w:r>
          </w:p>
        </w:tc>
        <w:tc>
          <w:tcPr>
            <w:tcW w:w="244"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(2.44)</w:t>
            </w:r>
          </w:p>
        </w:tc>
        <w:tc>
          <w:tcPr>
            <w:tcW w:w="256"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0.65</w:t>
            </w:r>
            <w:r w:rsidRPr="00740526">
              <w:rPr>
                <w:rFonts w:ascii="Times New Roman" w:hAnsi="Times New Roman" w:cs="Times New Roman"/>
                <w:color w:val="000000"/>
                <w:sz w:val="20"/>
                <w:szCs w:val="20"/>
                <w:vertAlign w:val="superscript"/>
              </w:rPr>
              <w:t>**</w:t>
            </w:r>
          </w:p>
        </w:tc>
        <w:tc>
          <w:tcPr>
            <w:tcW w:w="244"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(2.10)</w:t>
            </w:r>
          </w:p>
        </w:tc>
        <w:tc>
          <w:tcPr>
            <w:tcW w:w="14"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0.39</w:t>
            </w:r>
            <w:r w:rsidRPr="00740526">
              <w:rPr>
                <w:rFonts w:ascii="Times New Roman" w:hAnsi="Times New Roman" w:cs="Times New Roman"/>
                <w:color w:val="000000"/>
                <w:sz w:val="20"/>
                <w:szCs w:val="20"/>
                <w:vertAlign w:val="superscript"/>
              </w:rPr>
              <w:t>**</w:t>
            </w:r>
          </w:p>
        </w:tc>
        <w:tc>
          <w:tcPr>
            <w:tcW w:w="244"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(2.05)</w:t>
            </w:r>
          </w:p>
        </w:tc>
        <w:tc>
          <w:tcPr>
            <w:tcW w:w="256"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0.27</w:t>
            </w:r>
          </w:p>
        </w:tc>
        <w:tc>
          <w:tcPr>
            <w:tcW w:w="244"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(1.52)</w:t>
            </w:r>
          </w:p>
        </w:tc>
        <w:tc>
          <w:tcPr>
            <w:tcW w:w="86"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0.58</w:t>
            </w:r>
            <w:r w:rsidRPr="00740526">
              <w:rPr>
                <w:rFonts w:ascii="Times New Roman" w:hAnsi="Times New Roman" w:cs="Times New Roman"/>
                <w:color w:val="000000"/>
                <w:sz w:val="20"/>
                <w:szCs w:val="20"/>
                <w:vertAlign w:val="superscript"/>
              </w:rPr>
              <w:t>**</w:t>
            </w:r>
          </w:p>
        </w:tc>
        <w:tc>
          <w:tcPr>
            <w:tcW w:w="240"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(1.98)</w:t>
            </w:r>
          </w:p>
        </w:tc>
        <w:tc>
          <w:tcPr>
            <w:tcW w:w="251"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0.54</w:t>
            </w:r>
            <w:r w:rsidRPr="00740526">
              <w:rPr>
                <w:rFonts w:ascii="Times New Roman" w:hAnsi="Times New Roman" w:cs="Times New Roman"/>
                <w:color w:val="000000"/>
                <w:sz w:val="20"/>
                <w:szCs w:val="20"/>
                <w:vertAlign w:val="superscript"/>
              </w:rPr>
              <w:t>*</w:t>
            </w:r>
          </w:p>
        </w:tc>
        <w:tc>
          <w:tcPr>
            <w:tcW w:w="240"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(1.72)</w:t>
            </w:r>
          </w:p>
        </w:tc>
        <w:tc>
          <w:tcPr>
            <w:tcW w:w="14"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0.28</w:t>
            </w:r>
          </w:p>
        </w:tc>
        <w:tc>
          <w:tcPr>
            <w:tcW w:w="240"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(1.45)</w:t>
            </w:r>
          </w:p>
        </w:tc>
        <w:tc>
          <w:tcPr>
            <w:tcW w:w="251"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240" w:type="pct"/>
            <w:tcBorders>
              <w:top w:val="nil"/>
              <w:left w:val="nil"/>
              <w:bottom w:val="dashed" w:sz="4" w:space="0" w:color="auto"/>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(1.09)</w:t>
            </w:r>
          </w:p>
        </w:tc>
      </w:tr>
      <w:tr w:rsidR="00523FB7" w:rsidRPr="00740526" w:rsidTr="00747FB4">
        <w:trPr>
          <w:trHeight w:val="285"/>
        </w:trPr>
        <w:tc>
          <w:tcPr>
            <w:tcW w:w="923"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(2) – (1)</w:t>
            </w:r>
          </w:p>
        </w:tc>
        <w:tc>
          <w:tcPr>
            <w:tcW w:w="256"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244"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(-0.63)</w:t>
            </w:r>
          </w:p>
        </w:tc>
        <w:tc>
          <w:tcPr>
            <w:tcW w:w="256"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-0.21</w:t>
            </w:r>
          </w:p>
        </w:tc>
        <w:tc>
          <w:tcPr>
            <w:tcW w:w="244"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(-0.95)</w:t>
            </w:r>
          </w:p>
        </w:tc>
        <w:tc>
          <w:tcPr>
            <w:tcW w:w="14"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44"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(-0.17)</w:t>
            </w:r>
          </w:p>
        </w:tc>
        <w:tc>
          <w:tcPr>
            <w:tcW w:w="256"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-0.13</w:t>
            </w:r>
          </w:p>
        </w:tc>
        <w:tc>
          <w:tcPr>
            <w:tcW w:w="244"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(-0.62)</w:t>
            </w:r>
          </w:p>
        </w:tc>
        <w:tc>
          <w:tcPr>
            <w:tcW w:w="86"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-0.01</w:t>
            </w:r>
          </w:p>
        </w:tc>
        <w:tc>
          <w:tcPr>
            <w:tcW w:w="240"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(-0.04)</w:t>
            </w:r>
          </w:p>
        </w:tc>
        <w:tc>
          <w:tcPr>
            <w:tcW w:w="251"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240"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(-0.28)</w:t>
            </w:r>
          </w:p>
        </w:tc>
        <w:tc>
          <w:tcPr>
            <w:tcW w:w="14"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-0.10</w:t>
            </w:r>
          </w:p>
        </w:tc>
        <w:tc>
          <w:tcPr>
            <w:tcW w:w="240"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(-0.55)</w:t>
            </w:r>
          </w:p>
        </w:tc>
        <w:tc>
          <w:tcPr>
            <w:tcW w:w="251"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-0.14</w:t>
            </w:r>
          </w:p>
        </w:tc>
        <w:tc>
          <w:tcPr>
            <w:tcW w:w="240" w:type="pct"/>
            <w:tcBorders>
              <w:top w:val="dashed" w:sz="4" w:space="0" w:color="auto"/>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(-0.72)</w:t>
            </w:r>
          </w:p>
        </w:tc>
      </w:tr>
      <w:tr w:rsidR="00523FB7" w:rsidRPr="00740526" w:rsidTr="00747FB4">
        <w:trPr>
          <w:trHeight w:val="285"/>
        </w:trPr>
        <w:tc>
          <w:tcPr>
            <w:tcW w:w="923"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(2) – (4)</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(-1.13)</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(-0.86)</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-0.06</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(-0.57)</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-0.11</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(-0.79)</w:t>
            </w:r>
          </w:p>
        </w:tc>
        <w:tc>
          <w:tcPr>
            <w:tcW w:w="8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(0.50)</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0.02</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(0.08)</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(-0.34)</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(-0.60)</w:t>
            </w:r>
          </w:p>
        </w:tc>
      </w:tr>
      <w:tr w:rsidR="00523FB7" w:rsidRPr="00740526" w:rsidTr="00747FB4">
        <w:trPr>
          <w:trHeight w:val="285"/>
        </w:trPr>
        <w:tc>
          <w:tcPr>
            <w:tcW w:w="923"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(2) – (5)</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0.47</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(1.40)</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0.42</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(1.16)</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0.26</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(1.05)</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(0.20)</w:t>
            </w:r>
          </w:p>
        </w:tc>
        <w:tc>
          <w:tcPr>
            <w:tcW w:w="8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0.75</w:t>
            </w:r>
            <w:r w:rsidRPr="00740526">
              <w:rPr>
                <w:rFonts w:ascii="Times New Roman" w:hAnsi="Times New Roman" w:cs="Times New Roman"/>
                <w:color w:val="000000"/>
                <w:sz w:val="20"/>
                <w:szCs w:val="20"/>
                <w:vertAlign w:val="superscript"/>
              </w:rPr>
              <w:t>*</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(1.79)</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0.57</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(1.22)</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0.17</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(0.60)</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(-0.09)</w:t>
            </w:r>
          </w:p>
        </w:tc>
      </w:tr>
      <w:tr w:rsidR="00523FB7" w:rsidRPr="00740526" w:rsidTr="00747FB4">
        <w:trPr>
          <w:trHeight w:val="285"/>
        </w:trPr>
        <w:tc>
          <w:tcPr>
            <w:tcW w:w="923"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color w:val="000000"/>
                <w:sz w:val="20"/>
                <w:szCs w:val="20"/>
              </w:rPr>
              <w:t>(2) – (6)</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0.46</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(1.18)</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0.32</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(0.81)</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0.29</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(0.87)</w:t>
            </w:r>
          </w:p>
        </w:tc>
        <w:tc>
          <w:tcPr>
            <w:tcW w:w="25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0.03</w:t>
            </w:r>
          </w:p>
        </w:tc>
        <w:tc>
          <w:tcPr>
            <w:tcW w:w="24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(0.10)</w:t>
            </w:r>
          </w:p>
        </w:tc>
        <w:tc>
          <w:tcPr>
            <w:tcW w:w="86"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2"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0.66</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(1.54)</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0.50</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(1.09)</w:t>
            </w:r>
          </w:p>
        </w:tc>
        <w:tc>
          <w:tcPr>
            <w:tcW w:w="14"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0.12</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(0.39)</w:t>
            </w:r>
          </w:p>
        </w:tc>
        <w:tc>
          <w:tcPr>
            <w:tcW w:w="251"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-0.05</w:t>
            </w:r>
          </w:p>
        </w:tc>
        <w:tc>
          <w:tcPr>
            <w:tcW w:w="240" w:type="pct"/>
            <w:tcBorders>
              <w:top w:val="nil"/>
              <w:left w:val="nil"/>
              <w:bottom w:val="nil"/>
              <w:right w:val="nil"/>
            </w:tcBorders>
            <w:noWrap/>
            <w:tcMar>
              <w:top w:w="14" w:type="dxa"/>
              <w:left w:w="14" w:type="dxa"/>
              <w:bottom w:w="0" w:type="dxa"/>
              <w:right w:w="14" w:type="dxa"/>
            </w:tcMar>
            <w:vAlign w:val="center"/>
          </w:tcPr>
          <w:p w:rsidR="00523FB7" w:rsidRPr="00AC07D8" w:rsidRDefault="00523FB7" w:rsidP="00747FB4">
            <w:pPr>
              <w:snapToGrid w:val="0"/>
              <w:jc w:val="right"/>
              <w:rPr>
                <w:rFonts w:ascii="Times New Roman" w:hAnsi="Times New Roman" w:cs="Times New Roman"/>
                <w:color w:val="000000"/>
                <w:sz w:val="20"/>
                <w:szCs w:val="20"/>
              </w:rPr>
            </w:pPr>
            <w:r w:rsidRPr="00740526">
              <w:rPr>
                <w:rFonts w:ascii="Times New Roman" w:hAnsi="Times New Roman" w:cs="Times New Roman"/>
                <w:color w:val="000000"/>
                <w:sz w:val="20"/>
                <w:szCs w:val="20"/>
              </w:rPr>
              <w:t>(-0.16)</w:t>
            </w:r>
          </w:p>
        </w:tc>
      </w:tr>
      <w:tr w:rsidR="00523FB7" w:rsidRPr="00740526" w:rsidTr="00747FB4">
        <w:trPr>
          <w:trHeight w:val="300"/>
        </w:trPr>
        <w:tc>
          <w:tcPr>
            <w:tcW w:w="923"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56"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44"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56"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44"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14"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56"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44"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56"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44"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86"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52"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40"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51"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40"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14"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51"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40"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51"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c>
          <w:tcPr>
            <w:tcW w:w="240" w:type="pct"/>
            <w:tcBorders>
              <w:top w:val="nil"/>
              <w:left w:val="nil"/>
              <w:bottom w:val="double" w:sz="6" w:space="0" w:color="auto"/>
              <w:right w:val="nil"/>
            </w:tcBorders>
            <w:noWrap/>
            <w:tcMar>
              <w:top w:w="14" w:type="dxa"/>
              <w:left w:w="14" w:type="dxa"/>
              <w:bottom w:w="0" w:type="dxa"/>
              <w:right w:w="14" w:type="dxa"/>
            </w:tcMar>
            <w:vAlign w:val="center"/>
          </w:tcPr>
          <w:p w:rsidR="00523FB7" w:rsidRPr="00AC07D8" w:rsidRDefault="00523FB7" w:rsidP="00747FB4">
            <w:pPr>
              <w:snapToGrid w:val="0"/>
              <w:rPr>
                <w:rFonts w:ascii="Times New Roman" w:hAnsi="Times New Roman" w:cs="Times New Roman"/>
                <w:color w:val="000000"/>
                <w:sz w:val="20"/>
                <w:szCs w:val="20"/>
              </w:rPr>
            </w:pPr>
            <w:r w:rsidRPr="00740526">
              <w:rPr>
                <w:rFonts w:ascii="Times New Roman" w:hAnsi="Times New Roman" w:cs="Times New Roman" w:hint="eastAsia"/>
                <w:color w:val="000000"/>
                <w:sz w:val="20"/>
                <w:szCs w:val="20"/>
              </w:rPr>
              <w:t xml:space="preserve">　</w:t>
            </w:r>
          </w:p>
        </w:tc>
      </w:tr>
    </w:tbl>
    <w:p w:rsidR="00523FB7" w:rsidRDefault="00523FB7" w:rsidP="00074774">
      <w:pPr>
        <w:widowControl/>
        <w:snapToGrid w:val="0"/>
        <w:rPr>
          <w:rFonts w:ascii="Times New Roman" w:hAnsi="Times New Roman" w:cs="Times New Roman"/>
          <w:sz w:val="22"/>
          <w:szCs w:val="22"/>
        </w:rPr>
      </w:pPr>
    </w:p>
    <w:p w:rsidR="00523FB7" w:rsidRDefault="00523FB7" w:rsidP="00074774">
      <w:pPr>
        <w:widowControl/>
        <w:snapToGrid w:val="0"/>
        <w:rPr>
          <w:rFonts w:ascii="Times New Roman" w:hAnsi="Times New Roman" w:cs="Times New Roman"/>
          <w:sz w:val="22"/>
          <w:szCs w:val="22"/>
        </w:rPr>
      </w:pPr>
    </w:p>
    <w:p w:rsidR="00523FB7" w:rsidRDefault="00523FB7" w:rsidP="00074774">
      <w:pPr>
        <w:widowControl/>
        <w:rPr>
          <w:rFonts w:ascii="Times New Roman" w:hAnsi="Times New Roman" w:cs="Times New Roman"/>
          <w:sz w:val="22"/>
          <w:szCs w:val="22"/>
        </w:rPr>
      </w:pPr>
    </w:p>
    <w:p w:rsidR="00523FB7" w:rsidRDefault="00523FB7" w:rsidP="00074774">
      <w:pPr>
        <w:widowControl/>
        <w:rPr>
          <w:rFonts w:ascii="Times New Roman" w:hAnsi="Times New Roman" w:cs="Times New Roman"/>
          <w:sz w:val="22"/>
          <w:szCs w:val="22"/>
        </w:rPr>
      </w:pPr>
    </w:p>
    <w:p w:rsidR="00523FB7" w:rsidRDefault="00523FB7" w:rsidP="00074774">
      <w:pPr>
        <w:widowControl/>
        <w:rPr>
          <w:rFonts w:ascii="Times New Roman" w:hAnsi="Times New Roman" w:cs="Times New Roman"/>
          <w:sz w:val="22"/>
          <w:szCs w:val="22"/>
        </w:rPr>
      </w:pPr>
    </w:p>
    <w:p w:rsidR="00523FB7" w:rsidRDefault="00523FB7" w:rsidP="00074774">
      <w:pPr>
        <w:widowControl/>
        <w:rPr>
          <w:rFonts w:ascii="Times New Roman" w:hAnsi="Times New Roman" w:cs="Times New Roman"/>
          <w:sz w:val="22"/>
          <w:szCs w:val="22"/>
        </w:rPr>
      </w:pPr>
    </w:p>
    <w:p w:rsidR="00523FB7" w:rsidRPr="009E5A11" w:rsidRDefault="00523FB7" w:rsidP="00074774">
      <w:pPr>
        <w:widowControl/>
        <w:rPr>
          <w:rFonts w:ascii="Times New Roman" w:hAnsi="Times New Roman" w:cs="Times New Roman"/>
          <w:b/>
          <w:bCs/>
          <w:kern w:val="0"/>
        </w:rPr>
      </w:pPr>
      <w:r w:rsidRPr="009E5A11">
        <w:rPr>
          <w:rFonts w:ascii="Times New Roman" w:hAnsi="Times New Roman" w:cs="Times New Roman"/>
          <w:b/>
          <w:bCs/>
          <w:kern w:val="0"/>
        </w:rPr>
        <w:t>Table 1</w:t>
      </w:r>
      <w:r>
        <w:rPr>
          <w:rFonts w:ascii="Times New Roman" w:hAnsi="Times New Roman" w:cs="Times New Roman"/>
          <w:b/>
          <w:bCs/>
          <w:kern w:val="0"/>
        </w:rPr>
        <w:t>4</w:t>
      </w:r>
      <w:r w:rsidRPr="009E5A11">
        <w:rPr>
          <w:rFonts w:ascii="Times New Roman" w:hAnsi="Times New Roman" w:cs="Times New Roman"/>
          <w:b/>
          <w:bCs/>
          <w:kern w:val="0"/>
        </w:rPr>
        <w:t xml:space="preserve">. </w:t>
      </w:r>
      <w:r w:rsidRPr="009E5A11">
        <w:rPr>
          <w:rFonts w:ascii="Times New Roman" w:eastAsia="AdvGulliv-R" w:hAnsi="Times New Roman" w:cs="Times New Roman"/>
          <w:b/>
          <w:kern w:val="0"/>
          <w:lang w:eastAsia="en-US"/>
        </w:rPr>
        <w:t xml:space="preserve">Sharpe ratios and </w:t>
      </w:r>
      <w:r>
        <w:rPr>
          <w:rFonts w:ascii="Times New Roman" w:eastAsia="AdvGulliv-R" w:hAnsi="Times New Roman" w:cs="Times New Roman"/>
          <w:b/>
          <w:kern w:val="0"/>
        </w:rPr>
        <w:t xml:space="preserve">percentage </w:t>
      </w:r>
      <w:r w:rsidRPr="009E5A11">
        <w:rPr>
          <w:rFonts w:ascii="Times New Roman" w:eastAsia="AdvGulliv-R" w:hAnsi="Times New Roman" w:cs="Times New Roman"/>
          <w:b/>
          <w:kern w:val="0"/>
          <w:lang w:eastAsia="en-US"/>
        </w:rPr>
        <w:t>changes in the Sharpe ratios</w:t>
      </w:r>
    </w:p>
    <w:p w:rsidR="00523FB7" w:rsidRDefault="00523FB7" w:rsidP="00074774">
      <w:pPr>
        <w:widowControl/>
        <w:snapToGrid w:val="0"/>
        <w:jc w:val="both"/>
        <w:rPr>
          <w:rFonts w:ascii="Times New Roman" w:hAnsi="Times New Roman" w:cs="Times New Roman"/>
          <w:kern w:val="0"/>
          <w:sz w:val="20"/>
          <w:szCs w:val="20"/>
        </w:rPr>
      </w:pPr>
      <w:r w:rsidRPr="005255EB">
        <w:rPr>
          <w:rFonts w:ascii="Times New Roman" w:hAnsi="Times New Roman" w:cs="Times New Roman"/>
          <w:sz w:val="20"/>
          <w:szCs w:val="20"/>
        </w:rPr>
        <w:t xml:space="preserve">This table reports the Sharpe ratio on different investing strategies. First, five portfolios are formed based on </w:t>
      </w:r>
      <w:r w:rsidRPr="005255EB">
        <w:rPr>
          <w:rFonts w:ascii="Times New Roman" w:hAnsi="Times New Roman" w:cs="Times New Roman"/>
          <w:i/>
          <w:sz w:val="20"/>
          <w:szCs w:val="20"/>
        </w:rPr>
        <w:t>BE/ME</w:t>
      </w:r>
      <w:r w:rsidRPr="005255EB">
        <w:rPr>
          <w:rFonts w:ascii="Times New Roman" w:hAnsi="Times New Roman" w:cs="Times New Roman"/>
          <w:sz w:val="20"/>
          <w:szCs w:val="20"/>
        </w:rPr>
        <w:t xml:space="preserve"> or size, and five portfolios are formed based on </w:t>
      </w:r>
      <w:r w:rsidRPr="005255EB">
        <w:rPr>
          <w:rFonts w:ascii="Times New Roman" w:hAnsi="Times New Roman" w:cs="Times New Roman"/>
          <w:i/>
          <w:sz w:val="20"/>
          <w:szCs w:val="20"/>
        </w:rPr>
        <w:t>AdjDITH</w:t>
      </w:r>
      <w:r w:rsidRPr="005255EB">
        <w:rPr>
          <w:rFonts w:ascii="Times New Roman" w:hAnsi="Times New Roman" w:cs="Times New Roman"/>
          <w:sz w:val="20"/>
          <w:szCs w:val="20"/>
        </w:rPr>
        <w:t xml:space="preserve"> or </w:t>
      </w:r>
      <w:r w:rsidRPr="005255EB">
        <w:rPr>
          <w:rFonts w:ascii="Times New Roman" w:hAnsi="Times New Roman" w:cs="Times New Roman"/>
          <w:i/>
          <w:sz w:val="20"/>
          <w:szCs w:val="20"/>
        </w:rPr>
        <w:t>AdjDIND</w:t>
      </w:r>
      <w:r w:rsidRPr="005255EB">
        <w:rPr>
          <w:rFonts w:ascii="Times New Roman" w:hAnsi="Times New Roman" w:cs="Times New Roman"/>
          <w:sz w:val="20"/>
          <w:szCs w:val="20"/>
        </w:rPr>
        <w:t xml:space="preserve">. Second, 25 portfolios result from the four types of intersections. The intersection between size and </w:t>
      </w:r>
      <w:r w:rsidRPr="005255EB">
        <w:rPr>
          <w:rFonts w:ascii="Times New Roman" w:hAnsi="Times New Roman" w:cs="Times New Roman"/>
          <w:i/>
          <w:sz w:val="20"/>
          <w:szCs w:val="20"/>
        </w:rPr>
        <w:t>AdjDITH</w:t>
      </w:r>
      <w:r w:rsidRPr="005255EB">
        <w:rPr>
          <w:rFonts w:ascii="Times New Roman" w:hAnsi="Times New Roman" w:cs="Times New Roman"/>
          <w:sz w:val="20"/>
          <w:szCs w:val="20"/>
        </w:rPr>
        <w:t xml:space="preserve">, size and </w:t>
      </w:r>
      <w:r w:rsidRPr="005255EB">
        <w:rPr>
          <w:rFonts w:ascii="Times New Roman" w:hAnsi="Times New Roman" w:cs="Times New Roman"/>
          <w:i/>
          <w:sz w:val="20"/>
          <w:szCs w:val="20"/>
        </w:rPr>
        <w:t>AdjDIND</w:t>
      </w:r>
      <w:r w:rsidRPr="005255EB">
        <w:rPr>
          <w:rFonts w:ascii="Times New Roman" w:hAnsi="Times New Roman" w:cs="Times New Roman"/>
          <w:sz w:val="20"/>
          <w:szCs w:val="20"/>
        </w:rPr>
        <w:t xml:space="preserve">, </w:t>
      </w:r>
      <w:r w:rsidRPr="005255EB">
        <w:rPr>
          <w:rFonts w:ascii="Times New Roman" w:hAnsi="Times New Roman" w:cs="Times New Roman"/>
          <w:i/>
          <w:sz w:val="20"/>
          <w:szCs w:val="20"/>
        </w:rPr>
        <w:t>BE/ME</w:t>
      </w:r>
      <w:r w:rsidRPr="005255EB">
        <w:rPr>
          <w:rFonts w:ascii="Times New Roman" w:hAnsi="Times New Roman" w:cs="Times New Roman"/>
          <w:sz w:val="20"/>
          <w:szCs w:val="20"/>
        </w:rPr>
        <w:t xml:space="preserve"> and </w:t>
      </w:r>
      <w:r w:rsidRPr="005255EB">
        <w:rPr>
          <w:rFonts w:ascii="Times New Roman" w:hAnsi="Times New Roman" w:cs="Times New Roman"/>
          <w:i/>
          <w:sz w:val="20"/>
          <w:szCs w:val="20"/>
        </w:rPr>
        <w:t>AdjDITH</w:t>
      </w:r>
      <w:r w:rsidRPr="005255EB">
        <w:rPr>
          <w:rFonts w:ascii="Times New Roman" w:hAnsi="Times New Roman" w:cs="Times New Roman"/>
          <w:sz w:val="20"/>
          <w:szCs w:val="20"/>
        </w:rPr>
        <w:t xml:space="preserve">, and </w:t>
      </w:r>
      <w:r w:rsidRPr="005255EB">
        <w:rPr>
          <w:rFonts w:ascii="Times New Roman" w:hAnsi="Times New Roman" w:cs="Times New Roman"/>
          <w:i/>
          <w:sz w:val="20"/>
          <w:szCs w:val="20"/>
        </w:rPr>
        <w:t>BE/ME</w:t>
      </w:r>
      <w:r w:rsidRPr="005255EB">
        <w:rPr>
          <w:rFonts w:ascii="Times New Roman" w:hAnsi="Times New Roman" w:cs="Times New Roman"/>
          <w:sz w:val="20"/>
          <w:szCs w:val="20"/>
        </w:rPr>
        <w:t xml:space="preserve"> and </w:t>
      </w:r>
      <w:r w:rsidRPr="005255EB">
        <w:rPr>
          <w:rFonts w:ascii="Times New Roman" w:hAnsi="Times New Roman" w:cs="Times New Roman"/>
          <w:i/>
          <w:sz w:val="20"/>
          <w:szCs w:val="20"/>
        </w:rPr>
        <w:t>AdjDIND</w:t>
      </w:r>
      <w:r w:rsidRPr="005255EB">
        <w:rPr>
          <w:rFonts w:ascii="Times New Roman" w:hAnsi="Times New Roman" w:cs="Times New Roman"/>
          <w:sz w:val="20"/>
          <w:szCs w:val="20"/>
        </w:rPr>
        <w:t xml:space="preserve"> is shown in Panels A to D, respectively. The investing strategy “(Small, Sell)</w:t>
      </w:r>
      <w:r w:rsidRPr="005255EB">
        <w:rPr>
          <w:rFonts w:ascii="Times New Roman" w:hAnsi="Times New Roman" w:cs="Times New Roman"/>
          <w:color w:val="000000"/>
          <w:sz w:val="20"/>
          <w:szCs w:val="20"/>
        </w:rPr>
        <w:t xml:space="preserve"> – (Large, Sell)</w:t>
      </w:r>
      <w:r w:rsidRPr="005255EB">
        <w:rPr>
          <w:rFonts w:ascii="Times New Roman" w:hAnsi="Times New Roman" w:cs="Times New Roman"/>
          <w:sz w:val="20"/>
          <w:szCs w:val="20"/>
        </w:rPr>
        <w:t xml:space="preserve">” denotes a zero-cost portfolio that buys small stocks with institutional (or individual) net-selling and sells short large stocks with institutional (or individual) net-buying. The rest of the strategies are defined similarly. </w:t>
      </w:r>
      <w:r w:rsidRPr="005255EB">
        <w:rPr>
          <w:rFonts w:ascii="Times New Roman" w:hAnsi="Times New Roman" w:cs="Times New Roman"/>
          <w:kern w:val="0"/>
          <w:sz w:val="20"/>
          <w:szCs w:val="20"/>
        </w:rPr>
        <w:t>The Sharpe ratio for each zero investment factor fund is calculated as the ratio of excess return to standard deviation.</w:t>
      </w:r>
    </w:p>
    <w:tbl>
      <w:tblPr>
        <w:tblW w:w="14459" w:type="dxa"/>
        <w:tblInd w:w="-114" w:type="dxa"/>
        <w:tblLayout w:type="fixed"/>
        <w:tblCellMar>
          <w:left w:w="28" w:type="dxa"/>
          <w:right w:w="28" w:type="dxa"/>
        </w:tblCellMar>
        <w:tblLook w:val="00A0"/>
      </w:tblPr>
      <w:tblGrid>
        <w:gridCol w:w="2986"/>
        <w:gridCol w:w="1199"/>
        <w:gridCol w:w="1200"/>
        <w:gridCol w:w="143"/>
        <w:gridCol w:w="1012"/>
        <w:gridCol w:w="1012"/>
        <w:gridCol w:w="193"/>
        <w:gridCol w:w="2744"/>
        <w:gridCol w:w="858"/>
        <w:gridCol w:w="58"/>
        <w:gridCol w:w="917"/>
        <w:gridCol w:w="168"/>
        <w:gridCol w:w="984"/>
        <w:gridCol w:w="985"/>
      </w:tblGrid>
      <w:tr w:rsidR="00523FB7" w:rsidRPr="00740526" w:rsidTr="00747FB4">
        <w:trPr>
          <w:trHeight w:val="540"/>
        </w:trPr>
        <w:tc>
          <w:tcPr>
            <w:tcW w:w="2986" w:type="dxa"/>
            <w:tcBorders>
              <w:top w:val="double" w:sz="6" w:space="0" w:color="auto"/>
              <w:left w:val="nil"/>
              <w:bottom w:val="single" w:sz="8" w:space="0" w:color="auto"/>
              <w:right w:val="nil"/>
            </w:tcBorders>
            <w:noWrap/>
            <w:vAlign w:val="center"/>
          </w:tcPr>
          <w:p w:rsidR="00523FB7" w:rsidRPr="006069F1" w:rsidRDefault="00523FB7" w:rsidP="00747FB4">
            <w:pPr>
              <w:widowControl/>
              <w:snapToGrid w:val="0"/>
              <w:jc w:val="right"/>
              <w:rPr>
                <w:color w:val="000000"/>
                <w:kern w:val="0"/>
              </w:rPr>
            </w:pPr>
          </w:p>
        </w:tc>
        <w:tc>
          <w:tcPr>
            <w:tcW w:w="2399" w:type="dxa"/>
            <w:gridSpan w:val="2"/>
            <w:tcBorders>
              <w:top w:val="double" w:sz="6" w:space="0" w:color="auto"/>
              <w:left w:val="nil"/>
              <w:bottom w:val="single"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b/>
                <w:bCs/>
                <w:color w:val="000000"/>
                <w:kern w:val="0"/>
                <w:sz w:val="20"/>
                <w:szCs w:val="20"/>
              </w:rPr>
            </w:pPr>
            <w:r w:rsidRPr="006069F1">
              <w:rPr>
                <w:rFonts w:ascii="Times New Roman" w:hAnsi="Times New Roman" w:cs="Times New Roman"/>
                <w:b/>
                <w:bCs/>
                <w:color w:val="000000"/>
                <w:kern w:val="0"/>
                <w:sz w:val="20"/>
                <w:szCs w:val="20"/>
              </w:rPr>
              <w:t xml:space="preserve">Panel A: </w:t>
            </w:r>
            <w:r w:rsidRPr="00497734">
              <w:rPr>
                <w:rFonts w:ascii="Times New Roman" w:hAnsi="Times New Roman" w:cs="Times New Roman"/>
                <w:b/>
                <w:bCs/>
                <w:i/>
                <w:color w:val="000000"/>
                <w:kern w:val="0"/>
                <w:sz w:val="20"/>
                <w:szCs w:val="20"/>
              </w:rPr>
              <w:t>BE/ME</w:t>
            </w:r>
            <w:r w:rsidRPr="006069F1">
              <w:rPr>
                <w:rFonts w:ascii="Times New Roman" w:hAnsi="Times New Roman" w:cs="Times New Roman"/>
                <w:b/>
                <w:bCs/>
                <w:color w:val="000000"/>
                <w:kern w:val="0"/>
                <w:sz w:val="20"/>
                <w:szCs w:val="20"/>
              </w:rPr>
              <w:t xml:space="preserve"> vs. </w:t>
            </w:r>
            <w:r w:rsidRPr="006069F1">
              <w:rPr>
                <w:rFonts w:ascii="Times New Roman" w:hAnsi="Times New Roman" w:cs="Times New Roman"/>
                <w:b/>
                <w:bCs/>
                <w:i/>
                <w:iCs/>
                <w:color w:val="000000"/>
                <w:kern w:val="0"/>
                <w:sz w:val="20"/>
                <w:szCs w:val="20"/>
              </w:rPr>
              <w:t>AdjDITH</w:t>
            </w:r>
          </w:p>
        </w:tc>
        <w:tc>
          <w:tcPr>
            <w:tcW w:w="143" w:type="dxa"/>
            <w:tcBorders>
              <w:top w:val="double" w:sz="6" w:space="0" w:color="auto"/>
              <w:left w:val="nil"/>
              <w:bottom w:val="nil"/>
              <w:right w:val="nil"/>
            </w:tcBorders>
            <w:noWrap/>
            <w:vAlign w:val="center"/>
          </w:tcPr>
          <w:p w:rsidR="00523FB7" w:rsidRPr="006069F1" w:rsidRDefault="00523FB7" w:rsidP="00747FB4">
            <w:pPr>
              <w:widowControl/>
              <w:snapToGrid w:val="0"/>
              <w:jc w:val="right"/>
              <w:rPr>
                <w:color w:val="000000"/>
                <w:kern w:val="0"/>
              </w:rPr>
            </w:pPr>
          </w:p>
        </w:tc>
        <w:tc>
          <w:tcPr>
            <w:tcW w:w="2024" w:type="dxa"/>
            <w:gridSpan w:val="2"/>
            <w:tcBorders>
              <w:top w:val="double" w:sz="6" w:space="0" w:color="auto"/>
              <w:left w:val="nil"/>
              <w:bottom w:val="single" w:sz="8" w:space="0" w:color="auto"/>
              <w:right w:val="nil"/>
            </w:tcBorders>
            <w:vAlign w:val="center"/>
          </w:tcPr>
          <w:p w:rsidR="00523FB7" w:rsidRPr="006069F1" w:rsidRDefault="00523FB7" w:rsidP="00747FB4">
            <w:pPr>
              <w:widowControl/>
              <w:snapToGrid w:val="0"/>
              <w:jc w:val="right"/>
              <w:rPr>
                <w:rFonts w:ascii="Times New Roman" w:hAnsi="Times New Roman" w:cs="Times New Roman"/>
                <w:b/>
                <w:bCs/>
                <w:color w:val="000000"/>
                <w:kern w:val="0"/>
                <w:sz w:val="20"/>
                <w:szCs w:val="20"/>
              </w:rPr>
            </w:pPr>
            <w:r w:rsidRPr="006069F1">
              <w:rPr>
                <w:rFonts w:ascii="Times New Roman" w:hAnsi="Times New Roman" w:cs="Times New Roman"/>
                <w:b/>
                <w:bCs/>
                <w:color w:val="000000"/>
                <w:kern w:val="0"/>
                <w:sz w:val="20"/>
                <w:szCs w:val="20"/>
              </w:rPr>
              <w:t xml:space="preserve">Panel B: </w:t>
            </w:r>
            <w:r w:rsidRPr="00497734">
              <w:rPr>
                <w:rFonts w:ascii="Times New Roman" w:hAnsi="Times New Roman" w:cs="Times New Roman"/>
                <w:b/>
                <w:bCs/>
                <w:i/>
                <w:color w:val="000000"/>
                <w:kern w:val="0"/>
                <w:sz w:val="20"/>
                <w:szCs w:val="20"/>
              </w:rPr>
              <w:t>BE/ME</w:t>
            </w:r>
            <w:r w:rsidRPr="006069F1">
              <w:rPr>
                <w:rFonts w:ascii="Times New Roman" w:hAnsi="Times New Roman" w:cs="Times New Roman"/>
                <w:b/>
                <w:bCs/>
                <w:color w:val="000000"/>
                <w:kern w:val="0"/>
                <w:sz w:val="20"/>
                <w:szCs w:val="20"/>
              </w:rPr>
              <w:t xml:space="preserve"> vs. </w:t>
            </w:r>
            <w:r w:rsidRPr="006069F1">
              <w:rPr>
                <w:rFonts w:ascii="Times New Roman" w:hAnsi="Times New Roman" w:cs="Times New Roman"/>
                <w:b/>
                <w:bCs/>
                <w:i/>
                <w:iCs/>
                <w:color w:val="000000"/>
                <w:kern w:val="0"/>
                <w:sz w:val="20"/>
                <w:szCs w:val="20"/>
              </w:rPr>
              <w:t>AdjDIND</w:t>
            </w:r>
          </w:p>
        </w:tc>
        <w:tc>
          <w:tcPr>
            <w:tcW w:w="193" w:type="dxa"/>
            <w:tcBorders>
              <w:top w:val="double" w:sz="6" w:space="0" w:color="auto"/>
              <w:left w:val="nil"/>
            </w:tcBorders>
            <w:noWrap/>
            <w:vAlign w:val="center"/>
          </w:tcPr>
          <w:p w:rsidR="00523FB7" w:rsidRPr="006069F1" w:rsidRDefault="00523FB7" w:rsidP="00747FB4">
            <w:pPr>
              <w:widowControl/>
              <w:snapToGrid w:val="0"/>
              <w:jc w:val="right"/>
              <w:rPr>
                <w:color w:val="000000"/>
                <w:kern w:val="0"/>
              </w:rPr>
            </w:pPr>
          </w:p>
        </w:tc>
        <w:tc>
          <w:tcPr>
            <w:tcW w:w="2744" w:type="dxa"/>
            <w:tcBorders>
              <w:top w:val="double" w:sz="6" w:space="0" w:color="auto"/>
              <w:bottom w:val="single" w:sz="4" w:space="0" w:color="auto"/>
              <w:right w:val="nil"/>
            </w:tcBorders>
            <w:vAlign w:val="center"/>
          </w:tcPr>
          <w:p w:rsidR="00523FB7" w:rsidRPr="006069F1" w:rsidRDefault="00523FB7" w:rsidP="00747FB4">
            <w:pPr>
              <w:widowControl/>
              <w:snapToGrid w:val="0"/>
              <w:jc w:val="right"/>
              <w:rPr>
                <w:color w:val="000000"/>
                <w:kern w:val="0"/>
              </w:rPr>
            </w:pPr>
          </w:p>
        </w:tc>
        <w:tc>
          <w:tcPr>
            <w:tcW w:w="1833" w:type="dxa"/>
            <w:gridSpan w:val="3"/>
            <w:tcBorders>
              <w:top w:val="double" w:sz="6" w:space="0" w:color="auto"/>
              <w:left w:val="nil"/>
              <w:bottom w:val="single" w:sz="8" w:space="0" w:color="auto"/>
              <w:right w:val="nil"/>
            </w:tcBorders>
            <w:vAlign w:val="center"/>
          </w:tcPr>
          <w:p w:rsidR="00523FB7" w:rsidRPr="006069F1" w:rsidRDefault="00523FB7" w:rsidP="00747FB4">
            <w:pPr>
              <w:widowControl/>
              <w:snapToGrid w:val="0"/>
              <w:jc w:val="right"/>
              <w:rPr>
                <w:rFonts w:ascii="Times New Roman" w:hAnsi="Times New Roman" w:cs="Times New Roman"/>
                <w:b/>
                <w:bCs/>
                <w:color w:val="000000"/>
                <w:kern w:val="0"/>
                <w:sz w:val="20"/>
                <w:szCs w:val="20"/>
              </w:rPr>
            </w:pPr>
            <w:r w:rsidRPr="006069F1">
              <w:rPr>
                <w:rFonts w:ascii="Times New Roman" w:hAnsi="Times New Roman" w:cs="Times New Roman"/>
                <w:b/>
                <w:bCs/>
                <w:color w:val="000000"/>
                <w:kern w:val="0"/>
                <w:sz w:val="20"/>
                <w:szCs w:val="20"/>
              </w:rPr>
              <w:t xml:space="preserve">Panel C: Size vs. </w:t>
            </w:r>
            <w:r w:rsidRPr="006069F1">
              <w:rPr>
                <w:rFonts w:ascii="Times New Roman" w:hAnsi="Times New Roman" w:cs="Times New Roman"/>
                <w:b/>
                <w:bCs/>
                <w:i/>
                <w:iCs/>
                <w:color w:val="000000"/>
                <w:kern w:val="0"/>
                <w:sz w:val="20"/>
                <w:szCs w:val="20"/>
              </w:rPr>
              <w:t>AdjDITH</w:t>
            </w:r>
          </w:p>
        </w:tc>
        <w:tc>
          <w:tcPr>
            <w:tcW w:w="168" w:type="dxa"/>
            <w:tcBorders>
              <w:top w:val="double" w:sz="6" w:space="0" w:color="auto"/>
              <w:left w:val="nil"/>
              <w:bottom w:val="nil"/>
              <w:right w:val="nil"/>
            </w:tcBorders>
            <w:noWrap/>
            <w:vAlign w:val="center"/>
          </w:tcPr>
          <w:p w:rsidR="00523FB7" w:rsidRPr="006069F1" w:rsidRDefault="00523FB7" w:rsidP="00747FB4">
            <w:pPr>
              <w:widowControl/>
              <w:snapToGrid w:val="0"/>
              <w:jc w:val="right"/>
              <w:rPr>
                <w:color w:val="000000"/>
                <w:kern w:val="0"/>
              </w:rPr>
            </w:pPr>
          </w:p>
        </w:tc>
        <w:tc>
          <w:tcPr>
            <w:tcW w:w="1969" w:type="dxa"/>
            <w:gridSpan w:val="2"/>
            <w:tcBorders>
              <w:top w:val="double" w:sz="6" w:space="0" w:color="auto"/>
              <w:left w:val="nil"/>
              <w:bottom w:val="single" w:sz="8" w:space="0" w:color="auto"/>
              <w:right w:val="nil"/>
            </w:tcBorders>
            <w:vAlign w:val="center"/>
          </w:tcPr>
          <w:p w:rsidR="00523FB7" w:rsidRPr="006069F1" w:rsidRDefault="00523FB7" w:rsidP="00747FB4">
            <w:pPr>
              <w:widowControl/>
              <w:snapToGrid w:val="0"/>
              <w:jc w:val="right"/>
              <w:rPr>
                <w:rFonts w:ascii="Times New Roman" w:hAnsi="Times New Roman" w:cs="Times New Roman"/>
                <w:b/>
                <w:bCs/>
                <w:color w:val="000000"/>
                <w:kern w:val="0"/>
                <w:sz w:val="20"/>
                <w:szCs w:val="20"/>
              </w:rPr>
            </w:pPr>
            <w:r w:rsidRPr="006069F1">
              <w:rPr>
                <w:rFonts w:ascii="Times New Roman" w:hAnsi="Times New Roman" w:cs="Times New Roman"/>
                <w:b/>
                <w:bCs/>
                <w:color w:val="000000"/>
                <w:kern w:val="0"/>
                <w:sz w:val="20"/>
                <w:szCs w:val="20"/>
              </w:rPr>
              <w:t xml:space="preserve">Panel D: Size vs. </w:t>
            </w:r>
            <w:r w:rsidRPr="006069F1">
              <w:rPr>
                <w:rFonts w:ascii="Times New Roman" w:hAnsi="Times New Roman" w:cs="Times New Roman"/>
                <w:b/>
                <w:bCs/>
                <w:i/>
                <w:iCs/>
                <w:color w:val="000000"/>
                <w:kern w:val="0"/>
                <w:sz w:val="20"/>
                <w:szCs w:val="20"/>
              </w:rPr>
              <w:t>AdjDIND</w:t>
            </w:r>
          </w:p>
        </w:tc>
      </w:tr>
      <w:tr w:rsidR="00523FB7" w:rsidRPr="00740526" w:rsidTr="00747FB4">
        <w:trPr>
          <w:trHeight w:val="336"/>
        </w:trPr>
        <w:tc>
          <w:tcPr>
            <w:tcW w:w="2986" w:type="dxa"/>
            <w:tcBorders>
              <w:top w:val="nil"/>
              <w:left w:val="nil"/>
              <w:bottom w:val="single" w:sz="8" w:space="0" w:color="auto"/>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Investing strategy</w:t>
            </w:r>
          </w:p>
        </w:tc>
        <w:tc>
          <w:tcPr>
            <w:tcW w:w="1199" w:type="dxa"/>
            <w:tcBorders>
              <w:top w:val="nil"/>
              <w:left w:val="nil"/>
              <w:bottom w:val="single"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EW</w:t>
            </w:r>
          </w:p>
        </w:tc>
        <w:tc>
          <w:tcPr>
            <w:tcW w:w="1200" w:type="dxa"/>
            <w:tcBorders>
              <w:top w:val="nil"/>
              <w:left w:val="nil"/>
              <w:bottom w:val="single"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VW</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single" w:sz="8"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EW</w:t>
            </w:r>
          </w:p>
        </w:tc>
        <w:tc>
          <w:tcPr>
            <w:tcW w:w="1012" w:type="dxa"/>
            <w:tcBorders>
              <w:top w:val="nil"/>
              <w:left w:val="nil"/>
              <w:bottom w:val="single"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VW</w:t>
            </w:r>
          </w:p>
        </w:tc>
        <w:tc>
          <w:tcPr>
            <w:tcW w:w="193" w:type="dxa"/>
            <w:tcBorders>
              <w:top w:val="nil"/>
              <w:lef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single" w:sz="4" w:space="0" w:color="auto"/>
              <w:bottom w:val="single" w:sz="8" w:space="0" w:color="auto"/>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Investing strategy</w:t>
            </w:r>
          </w:p>
        </w:tc>
        <w:tc>
          <w:tcPr>
            <w:tcW w:w="858" w:type="dxa"/>
            <w:tcBorders>
              <w:top w:val="nil"/>
              <w:left w:val="nil"/>
              <w:bottom w:val="single" w:sz="8"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EW</w:t>
            </w:r>
          </w:p>
        </w:tc>
        <w:tc>
          <w:tcPr>
            <w:tcW w:w="975" w:type="dxa"/>
            <w:gridSpan w:val="2"/>
            <w:tcBorders>
              <w:top w:val="nil"/>
              <w:left w:val="nil"/>
              <w:bottom w:val="single"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VW</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single" w:sz="8"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EW</w:t>
            </w:r>
          </w:p>
        </w:tc>
        <w:tc>
          <w:tcPr>
            <w:tcW w:w="985" w:type="dxa"/>
            <w:tcBorders>
              <w:top w:val="nil"/>
              <w:left w:val="nil"/>
              <w:bottom w:val="single"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VW</w:t>
            </w: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 (</w:t>
            </w:r>
            <w:r>
              <w:rPr>
                <w:rFonts w:ascii="Times New Roman" w:hAnsi="Times New Roman" w:cs="Times New Roman"/>
                <w:color w:val="000000"/>
                <w:kern w:val="0"/>
                <w:sz w:val="20"/>
                <w:szCs w:val="20"/>
              </w:rPr>
              <w:t>Value</w:t>
            </w:r>
            <w:r w:rsidRPr="006069F1">
              <w:rPr>
                <w:rFonts w:ascii="Times New Roman" w:hAnsi="Times New Roman" w:cs="Times New Roman"/>
                <w:color w:val="000000"/>
                <w:kern w:val="0"/>
                <w:sz w:val="20"/>
                <w:szCs w:val="20"/>
              </w:rPr>
              <w:t>, Sell) – (</w:t>
            </w:r>
            <w:r>
              <w:rPr>
                <w:rFonts w:ascii="Times New Roman" w:hAnsi="Times New Roman" w:cs="Times New Roman"/>
                <w:color w:val="000000"/>
                <w:kern w:val="0"/>
                <w:sz w:val="20"/>
                <w:szCs w:val="20"/>
              </w:rPr>
              <w:t>Growth</w:t>
            </w:r>
            <w:r w:rsidRPr="006069F1">
              <w:rPr>
                <w:rFonts w:ascii="Times New Roman" w:hAnsi="Times New Roman" w:cs="Times New Roman"/>
                <w:color w:val="000000"/>
                <w:kern w:val="0"/>
                <w:sz w:val="20"/>
                <w:szCs w:val="20"/>
              </w:rPr>
              <w:t>, Sell)</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0.13</w:t>
            </w:r>
          </w:p>
        </w:tc>
        <w:tc>
          <w:tcPr>
            <w:tcW w:w="1200" w:type="dxa"/>
            <w:tcBorders>
              <w:top w:val="single" w:sz="8" w:space="0" w:color="auto"/>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0.13</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w:t>
            </w:r>
            <w:r>
              <w:rPr>
                <w:rFonts w:ascii="Times New Roman" w:hAnsi="Times New Roman" w:cs="Times New Roman"/>
                <w:color w:val="000000"/>
                <w:kern w:val="0"/>
                <w:sz w:val="20"/>
                <w:szCs w:val="20"/>
              </w:rPr>
              <w:t>0</w:t>
            </w:r>
          </w:p>
        </w:tc>
        <w:tc>
          <w:tcPr>
            <w:tcW w:w="1012" w:type="dxa"/>
            <w:tcBorders>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0.08</w:t>
            </w:r>
          </w:p>
        </w:tc>
        <w:tc>
          <w:tcPr>
            <w:tcW w:w="193" w:type="dxa"/>
            <w:tcBorders>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 (Small, Sell) – (Large, Sell)</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0.11</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0.11</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0.12</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w:t>
            </w:r>
            <w:r>
              <w:rPr>
                <w:rFonts w:ascii="Times New Roman" w:hAnsi="Times New Roman" w:cs="Times New Roman"/>
                <w:color w:val="000000"/>
                <w:kern w:val="0"/>
                <w:sz w:val="20"/>
                <w:szCs w:val="20"/>
              </w:rPr>
              <w:t>0</w:t>
            </w: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 (</w:t>
            </w:r>
            <w:r>
              <w:rPr>
                <w:rFonts w:ascii="Times New Roman" w:hAnsi="Times New Roman" w:cs="Times New Roman"/>
                <w:color w:val="000000"/>
                <w:kern w:val="0"/>
                <w:sz w:val="20"/>
                <w:szCs w:val="20"/>
              </w:rPr>
              <w:t>Value</w:t>
            </w:r>
            <w:r w:rsidRPr="006069F1">
              <w:rPr>
                <w:rFonts w:ascii="Times New Roman" w:hAnsi="Times New Roman" w:cs="Times New Roman"/>
                <w:color w:val="000000"/>
                <w:kern w:val="0"/>
                <w:sz w:val="20"/>
                <w:szCs w:val="20"/>
              </w:rPr>
              <w:t>, Buy) – (</w:t>
            </w:r>
            <w:r>
              <w:rPr>
                <w:rFonts w:ascii="Times New Roman" w:hAnsi="Times New Roman" w:cs="Times New Roman"/>
                <w:color w:val="000000"/>
                <w:kern w:val="0"/>
                <w:sz w:val="20"/>
                <w:szCs w:val="20"/>
              </w:rPr>
              <w:t>Growth</w:t>
            </w:r>
            <w:r w:rsidRPr="006069F1">
              <w:rPr>
                <w:rFonts w:ascii="Times New Roman" w:hAnsi="Times New Roman" w:cs="Times New Roman"/>
                <w:color w:val="000000"/>
                <w:kern w:val="0"/>
                <w:sz w:val="20"/>
                <w:szCs w:val="20"/>
              </w:rPr>
              <w:t>, Sell)</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0.01</w:t>
            </w:r>
          </w:p>
        </w:tc>
        <w:tc>
          <w:tcPr>
            <w:tcW w:w="1200"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0.03</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0.14</w:t>
            </w:r>
          </w:p>
        </w:tc>
        <w:tc>
          <w:tcPr>
            <w:tcW w:w="1012"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0.08</w:t>
            </w:r>
          </w:p>
        </w:tc>
        <w:tc>
          <w:tcPr>
            <w:tcW w:w="193" w:type="dxa"/>
            <w:tcBorders>
              <w:top w:val="nil"/>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 (Small, Buy) – (Large, Sell)</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w:t>
            </w:r>
            <w:r>
              <w:rPr>
                <w:rFonts w:ascii="Times New Roman" w:hAnsi="Times New Roman" w:cs="Times New Roman"/>
                <w:color w:val="000000"/>
                <w:kern w:val="0"/>
                <w:sz w:val="20"/>
                <w:szCs w:val="20"/>
              </w:rPr>
              <w:t>0</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0.09</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0.11</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0.08</w:t>
            </w: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w:t>
            </w:r>
            <w:r>
              <w:rPr>
                <w:rFonts w:ascii="Times New Roman" w:hAnsi="Times New Roman" w:cs="Times New Roman"/>
                <w:color w:val="000000"/>
                <w:kern w:val="0"/>
                <w:sz w:val="20"/>
                <w:szCs w:val="20"/>
              </w:rPr>
              <w:t>Value</w:t>
            </w:r>
            <w:r w:rsidRPr="006069F1">
              <w:rPr>
                <w:rFonts w:ascii="Times New Roman" w:hAnsi="Times New Roman" w:cs="Times New Roman"/>
                <w:color w:val="000000"/>
                <w:kern w:val="0"/>
                <w:sz w:val="20"/>
                <w:szCs w:val="20"/>
              </w:rPr>
              <w:t>, Sell) – (</w:t>
            </w:r>
            <w:r>
              <w:rPr>
                <w:rFonts w:ascii="Times New Roman" w:hAnsi="Times New Roman" w:cs="Times New Roman"/>
                <w:color w:val="000000"/>
                <w:kern w:val="0"/>
                <w:sz w:val="20"/>
                <w:szCs w:val="20"/>
              </w:rPr>
              <w:t>Growth</w:t>
            </w:r>
            <w:r w:rsidRPr="006069F1">
              <w:rPr>
                <w:rFonts w:ascii="Times New Roman" w:hAnsi="Times New Roman" w:cs="Times New Roman"/>
                <w:color w:val="000000"/>
                <w:kern w:val="0"/>
                <w:sz w:val="20"/>
                <w:szCs w:val="20"/>
              </w:rPr>
              <w:t>, Buy)</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0.19</w:t>
            </w:r>
          </w:p>
        </w:tc>
        <w:tc>
          <w:tcPr>
            <w:tcW w:w="1200"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0.16</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0.04</w:t>
            </w:r>
          </w:p>
        </w:tc>
        <w:tc>
          <w:tcPr>
            <w:tcW w:w="1012"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0.09</w:t>
            </w:r>
          </w:p>
        </w:tc>
        <w:tc>
          <w:tcPr>
            <w:tcW w:w="193" w:type="dxa"/>
            <w:tcBorders>
              <w:top w:val="nil"/>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(Small, Sell) – (Large, Buy)</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0.13</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0.13</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w:t>
            </w:r>
            <w:r>
              <w:rPr>
                <w:rFonts w:ascii="Times New Roman" w:hAnsi="Times New Roman" w:cs="Times New Roman"/>
                <w:color w:val="000000"/>
                <w:kern w:val="0"/>
                <w:sz w:val="20"/>
                <w:szCs w:val="20"/>
              </w:rPr>
              <w:t>0</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w:t>
            </w:r>
            <w:r>
              <w:rPr>
                <w:rFonts w:ascii="Times New Roman" w:hAnsi="Times New Roman" w:cs="Times New Roman"/>
                <w:color w:val="000000"/>
                <w:kern w:val="0"/>
                <w:sz w:val="20"/>
                <w:szCs w:val="20"/>
              </w:rPr>
              <w:t>0</w:t>
            </w: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(4) (</w:t>
            </w:r>
            <w:r>
              <w:rPr>
                <w:rFonts w:ascii="Times New Roman" w:hAnsi="Times New Roman" w:cs="Times New Roman"/>
                <w:color w:val="000000"/>
                <w:kern w:val="0"/>
                <w:sz w:val="20"/>
                <w:szCs w:val="20"/>
              </w:rPr>
              <w:t>Value</w:t>
            </w:r>
            <w:r w:rsidRPr="006069F1">
              <w:rPr>
                <w:rFonts w:ascii="Times New Roman" w:hAnsi="Times New Roman" w:cs="Times New Roman"/>
                <w:color w:val="000000"/>
                <w:kern w:val="0"/>
                <w:sz w:val="20"/>
                <w:szCs w:val="20"/>
              </w:rPr>
              <w:t>, Buy) – (</w:t>
            </w:r>
            <w:r>
              <w:rPr>
                <w:rFonts w:ascii="Times New Roman" w:hAnsi="Times New Roman" w:cs="Times New Roman"/>
                <w:color w:val="000000"/>
                <w:kern w:val="0"/>
                <w:sz w:val="20"/>
                <w:szCs w:val="20"/>
              </w:rPr>
              <w:t>Growth</w:t>
            </w:r>
            <w:r w:rsidRPr="006069F1">
              <w:rPr>
                <w:rFonts w:ascii="Times New Roman" w:hAnsi="Times New Roman" w:cs="Times New Roman"/>
                <w:color w:val="000000"/>
                <w:kern w:val="0"/>
                <w:sz w:val="20"/>
                <w:szCs w:val="20"/>
              </w:rPr>
              <w:t>, Buy)</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w:t>
            </w:r>
            <w:r>
              <w:rPr>
                <w:rFonts w:ascii="Times New Roman" w:hAnsi="Times New Roman" w:cs="Times New Roman"/>
                <w:color w:val="000000"/>
                <w:kern w:val="0"/>
                <w:sz w:val="20"/>
                <w:szCs w:val="20"/>
              </w:rPr>
              <w:t>0</w:t>
            </w:r>
          </w:p>
        </w:tc>
        <w:tc>
          <w:tcPr>
            <w:tcW w:w="1200"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0.07</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0.01</w:t>
            </w:r>
          </w:p>
        </w:tc>
        <w:tc>
          <w:tcPr>
            <w:tcW w:w="1012"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0.02</w:t>
            </w:r>
          </w:p>
        </w:tc>
        <w:tc>
          <w:tcPr>
            <w:tcW w:w="193" w:type="dxa"/>
            <w:tcBorders>
              <w:top w:val="nil"/>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(4) (Small, Buy) – (Large, Buy)</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0.13</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0.11</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w:t>
            </w:r>
            <w:r>
              <w:rPr>
                <w:rFonts w:ascii="Times New Roman" w:hAnsi="Times New Roman" w:cs="Times New Roman"/>
                <w:color w:val="000000"/>
                <w:kern w:val="0"/>
                <w:sz w:val="20"/>
                <w:szCs w:val="20"/>
              </w:rPr>
              <w:t>0</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0.09</w:t>
            </w: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(5) (</w:t>
            </w:r>
            <w:r>
              <w:rPr>
                <w:rFonts w:ascii="Times New Roman" w:hAnsi="Times New Roman" w:cs="Times New Roman"/>
                <w:color w:val="000000"/>
                <w:kern w:val="0"/>
                <w:sz w:val="20"/>
                <w:szCs w:val="20"/>
              </w:rPr>
              <w:t>Growth</w:t>
            </w:r>
            <w:r w:rsidRPr="006069F1">
              <w:rPr>
                <w:rFonts w:ascii="Times New Roman" w:hAnsi="Times New Roman" w:cs="Times New Roman"/>
                <w:color w:val="000000"/>
                <w:kern w:val="0"/>
                <w:sz w:val="20"/>
                <w:szCs w:val="20"/>
              </w:rPr>
              <w:t>, Sell) – (</w:t>
            </w:r>
            <w:r>
              <w:rPr>
                <w:rFonts w:ascii="Times New Roman" w:hAnsi="Times New Roman" w:cs="Times New Roman"/>
                <w:color w:val="000000"/>
                <w:kern w:val="0"/>
                <w:sz w:val="20"/>
                <w:szCs w:val="20"/>
              </w:rPr>
              <w:t>Growth</w:t>
            </w:r>
            <w:r w:rsidRPr="006069F1">
              <w:rPr>
                <w:rFonts w:ascii="Times New Roman" w:hAnsi="Times New Roman" w:cs="Times New Roman"/>
                <w:color w:val="000000"/>
                <w:kern w:val="0"/>
                <w:sz w:val="20"/>
                <w:szCs w:val="20"/>
              </w:rPr>
              <w:t>, Buy)</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w:t>
            </w:r>
            <w:r>
              <w:rPr>
                <w:rFonts w:ascii="Times New Roman" w:hAnsi="Times New Roman" w:cs="Times New Roman"/>
                <w:color w:val="000000"/>
                <w:kern w:val="0"/>
                <w:sz w:val="20"/>
                <w:szCs w:val="20"/>
              </w:rPr>
              <w:t>0</w:t>
            </w:r>
          </w:p>
        </w:tc>
        <w:tc>
          <w:tcPr>
            <w:tcW w:w="1200"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0.08</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w:t>
            </w:r>
            <w:r>
              <w:rPr>
                <w:rFonts w:ascii="Times New Roman" w:hAnsi="Times New Roman" w:cs="Times New Roman"/>
                <w:color w:val="000000"/>
                <w:kern w:val="0"/>
                <w:sz w:val="20"/>
                <w:szCs w:val="20"/>
              </w:rPr>
              <w:t>0</w:t>
            </w:r>
          </w:p>
        </w:tc>
        <w:tc>
          <w:tcPr>
            <w:tcW w:w="1012"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-0.06</w:t>
            </w:r>
          </w:p>
        </w:tc>
        <w:tc>
          <w:tcPr>
            <w:tcW w:w="193" w:type="dxa"/>
            <w:tcBorders>
              <w:top w:val="nil"/>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(5) (Large, Sell) – (Large, Buy)</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0.06</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0.05</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-0.03</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w:t>
            </w:r>
            <w:r>
              <w:rPr>
                <w:rFonts w:ascii="Times New Roman" w:hAnsi="Times New Roman" w:cs="Times New Roman"/>
                <w:color w:val="000000"/>
                <w:kern w:val="0"/>
                <w:sz w:val="20"/>
                <w:szCs w:val="20"/>
              </w:rPr>
              <w:t>.00</w:t>
            </w:r>
          </w:p>
        </w:tc>
      </w:tr>
      <w:tr w:rsidR="00523FB7" w:rsidRPr="00740526" w:rsidTr="00747FB4">
        <w:trPr>
          <w:trHeight w:val="336"/>
        </w:trPr>
        <w:tc>
          <w:tcPr>
            <w:tcW w:w="2986" w:type="dxa"/>
            <w:tcBorders>
              <w:top w:val="nil"/>
              <w:left w:val="nil"/>
              <w:bottom w:val="dashed" w:sz="8" w:space="0" w:color="auto"/>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(6) (</w:t>
            </w:r>
            <w:r>
              <w:rPr>
                <w:rFonts w:ascii="Times New Roman" w:hAnsi="Times New Roman" w:cs="Times New Roman"/>
                <w:color w:val="000000"/>
                <w:kern w:val="0"/>
                <w:sz w:val="20"/>
                <w:szCs w:val="20"/>
              </w:rPr>
              <w:t>Value</w:t>
            </w:r>
            <w:r w:rsidRPr="006069F1">
              <w:rPr>
                <w:rFonts w:ascii="Times New Roman" w:hAnsi="Times New Roman" w:cs="Times New Roman"/>
                <w:color w:val="000000"/>
                <w:kern w:val="0"/>
                <w:sz w:val="20"/>
                <w:szCs w:val="20"/>
              </w:rPr>
              <w:t>, Sell) – (</w:t>
            </w:r>
            <w:r>
              <w:rPr>
                <w:rFonts w:ascii="Times New Roman" w:hAnsi="Times New Roman" w:cs="Times New Roman"/>
                <w:color w:val="000000"/>
                <w:kern w:val="0"/>
                <w:sz w:val="20"/>
                <w:szCs w:val="20"/>
              </w:rPr>
              <w:t>Value</w:t>
            </w:r>
            <w:r w:rsidRPr="006069F1">
              <w:rPr>
                <w:rFonts w:ascii="Times New Roman" w:hAnsi="Times New Roman" w:cs="Times New Roman"/>
                <w:color w:val="000000"/>
                <w:kern w:val="0"/>
                <w:sz w:val="20"/>
                <w:szCs w:val="20"/>
              </w:rPr>
              <w:t>, Buy)</w:t>
            </w:r>
          </w:p>
        </w:tc>
        <w:tc>
          <w:tcPr>
            <w:tcW w:w="1199" w:type="dxa"/>
            <w:tcBorders>
              <w:top w:val="nil"/>
              <w:left w:val="nil"/>
              <w:bottom w:val="dashed"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0.16</w:t>
            </w:r>
          </w:p>
        </w:tc>
        <w:tc>
          <w:tcPr>
            <w:tcW w:w="1200" w:type="dxa"/>
            <w:tcBorders>
              <w:top w:val="nil"/>
              <w:left w:val="nil"/>
              <w:bottom w:val="dashed"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0.13</w:t>
            </w:r>
          </w:p>
        </w:tc>
        <w:tc>
          <w:tcPr>
            <w:tcW w:w="143" w:type="dxa"/>
            <w:tcBorders>
              <w:top w:val="nil"/>
              <w:left w:val="nil"/>
              <w:bottom w:val="dashed" w:sz="8" w:space="0" w:color="auto"/>
              <w:right w:val="nil"/>
            </w:tcBorders>
            <w:noWrap/>
            <w:vAlign w:val="center"/>
          </w:tcPr>
          <w:p w:rsidR="00523FB7" w:rsidRPr="006069F1" w:rsidRDefault="00523FB7" w:rsidP="00747FB4">
            <w:pPr>
              <w:widowControl/>
              <w:snapToGrid w:val="0"/>
              <w:rPr>
                <w:color w:val="000000"/>
                <w:kern w:val="0"/>
              </w:rPr>
            </w:pPr>
            <w:r w:rsidRPr="006069F1">
              <w:rPr>
                <w:rFonts w:hint="eastAsia"/>
                <w:color w:val="000000"/>
                <w:kern w:val="0"/>
              </w:rPr>
              <w:t xml:space="preserve">　</w:t>
            </w:r>
          </w:p>
        </w:tc>
        <w:tc>
          <w:tcPr>
            <w:tcW w:w="1012" w:type="dxa"/>
            <w:tcBorders>
              <w:top w:val="nil"/>
              <w:left w:val="nil"/>
              <w:bottom w:val="dashed" w:sz="8"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-0.06</w:t>
            </w:r>
          </w:p>
        </w:tc>
        <w:tc>
          <w:tcPr>
            <w:tcW w:w="1012" w:type="dxa"/>
            <w:tcBorders>
              <w:top w:val="nil"/>
              <w:left w:val="nil"/>
              <w:bottom w:val="dashed"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-0.01</w:t>
            </w:r>
          </w:p>
        </w:tc>
        <w:tc>
          <w:tcPr>
            <w:tcW w:w="193" w:type="dxa"/>
            <w:tcBorders>
              <w:top w:val="nil"/>
              <w:left w:val="nil"/>
              <w:bottom w:val="dashed" w:sz="8" w:space="0" w:color="auto"/>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dashed" w:sz="8" w:space="0" w:color="auto"/>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(6) (Small, Sell) – (Small, Buy)</w:t>
            </w:r>
          </w:p>
        </w:tc>
        <w:tc>
          <w:tcPr>
            <w:tcW w:w="916" w:type="dxa"/>
            <w:gridSpan w:val="2"/>
            <w:tcBorders>
              <w:top w:val="nil"/>
              <w:left w:val="nil"/>
              <w:bottom w:val="dashed" w:sz="8"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0.03</w:t>
            </w:r>
          </w:p>
        </w:tc>
        <w:tc>
          <w:tcPr>
            <w:tcW w:w="917" w:type="dxa"/>
            <w:tcBorders>
              <w:top w:val="nil"/>
              <w:left w:val="nil"/>
              <w:bottom w:val="dashed"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0.05</w:t>
            </w:r>
          </w:p>
        </w:tc>
        <w:tc>
          <w:tcPr>
            <w:tcW w:w="168" w:type="dxa"/>
            <w:tcBorders>
              <w:top w:val="nil"/>
              <w:left w:val="nil"/>
              <w:bottom w:val="dashed" w:sz="8" w:space="0" w:color="auto"/>
              <w:right w:val="nil"/>
            </w:tcBorders>
            <w:noWrap/>
            <w:vAlign w:val="center"/>
          </w:tcPr>
          <w:p w:rsidR="00523FB7" w:rsidRPr="006069F1" w:rsidRDefault="00523FB7" w:rsidP="00747FB4">
            <w:pPr>
              <w:widowControl/>
              <w:snapToGrid w:val="0"/>
              <w:rPr>
                <w:color w:val="000000"/>
                <w:kern w:val="0"/>
              </w:rPr>
            </w:pPr>
            <w:r w:rsidRPr="006069F1">
              <w:rPr>
                <w:rFonts w:hint="eastAsia"/>
                <w:color w:val="000000"/>
                <w:kern w:val="0"/>
              </w:rPr>
              <w:t xml:space="preserve">　</w:t>
            </w:r>
          </w:p>
        </w:tc>
        <w:tc>
          <w:tcPr>
            <w:tcW w:w="984" w:type="dxa"/>
            <w:tcBorders>
              <w:top w:val="nil"/>
              <w:left w:val="nil"/>
              <w:bottom w:val="dashed" w:sz="8"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w:t>
            </w:r>
            <w:r>
              <w:rPr>
                <w:rFonts w:ascii="Times New Roman" w:hAnsi="Times New Roman" w:cs="Times New Roman"/>
                <w:color w:val="000000"/>
                <w:kern w:val="0"/>
                <w:sz w:val="20"/>
                <w:szCs w:val="20"/>
              </w:rPr>
              <w:t>.00</w:t>
            </w:r>
          </w:p>
        </w:tc>
        <w:tc>
          <w:tcPr>
            <w:tcW w:w="985" w:type="dxa"/>
            <w:tcBorders>
              <w:top w:val="nil"/>
              <w:left w:val="nil"/>
              <w:bottom w:val="dashed"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0.01</w:t>
            </w:r>
          </w:p>
        </w:tc>
      </w:tr>
      <w:tr w:rsidR="00523FB7" w:rsidRPr="00740526" w:rsidTr="00747FB4">
        <w:trPr>
          <w:trHeight w:val="324"/>
        </w:trPr>
        <w:tc>
          <w:tcPr>
            <w:tcW w:w="7745" w:type="dxa"/>
            <w:gridSpan w:val="7"/>
            <w:tcBorders>
              <w:top w:val="dashed" w:sz="8" w:space="0" w:color="auto"/>
              <w:left w:val="nil"/>
              <w:bottom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Percentage changes in Sharpe ratio (%)</w:t>
            </w:r>
          </w:p>
        </w:tc>
        <w:tc>
          <w:tcPr>
            <w:tcW w:w="6714" w:type="dxa"/>
            <w:gridSpan w:val="7"/>
            <w:tcBorders>
              <w:top w:val="dashed" w:sz="8" w:space="0" w:color="auto"/>
              <w:bottom w:val="nil"/>
              <w:right w:val="nil"/>
            </w:tcBorders>
            <w:vAlign w:val="center"/>
          </w:tcPr>
          <w:p w:rsidR="00523FB7" w:rsidRPr="006069F1" w:rsidRDefault="00523FB7" w:rsidP="00747FB4">
            <w:pPr>
              <w:widowControl/>
              <w:snapToGrid w:val="0"/>
              <w:rPr>
                <w:rFonts w:ascii="Times New Roman" w:hAnsi="Times New Roman" w:cs="Times New Roman"/>
                <w:color w:val="000000"/>
                <w:kern w:val="0"/>
                <w:sz w:val="20"/>
                <w:szCs w:val="20"/>
              </w:rPr>
            </w:pP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 (1)</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46</w:t>
            </w:r>
          </w:p>
        </w:tc>
        <w:tc>
          <w:tcPr>
            <w:tcW w:w="1200"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23</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-60</w:t>
            </w:r>
          </w:p>
        </w:tc>
        <w:tc>
          <w:tcPr>
            <w:tcW w:w="1012"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12</w:t>
            </w:r>
          </w:p>
        </w:tc>
        <w:tc>
          <w:tcPr>
            <w:tcW w:w="193" w:type="dxa"/>
            <w:tcBorders>
              <w:top w:val="nil"/>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 (1)</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18</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18</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-16</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w:t>
            </w: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 (2)</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1800</w:t>
            </w:r>
          </w:p>
        </w:tc>
        <w:tc>
          <w:tcPr>
            <w:tcW w:w="1200"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433</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-71</w:t>
            </w:r>
          </w:p>
        </w:tc>
        <w:tc>
          <w:tcPr>
            <w:tcW w:w="1012"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12</w:t>
            </w:r>
          </w:p>
        </w:tc>
        <w:tc>
          <w:tcPr>
            <w:tcW w:w="193" w:type="dxa"/>
            <w:tcBorders>
              <w:top w:val="nil"/>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 (2)</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30</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44</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25</w:t>
            </w: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 (4)</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90</w:t>
            </w:r>
          </w:p>
        </w:tc>
        <w:tc>
          <w:tcPr>
            <w:tcW w:w="1200"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128</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300</w:t>
            </w:r>
          </w:p>
        </w:tc>
        <w:tc>
          <w:tcPr>
            <w:tcW w:w="1012"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350</w:t>
            </w:r>
          </w:p>
        </w:tc>
        <w:tc>
          <w:tcPr>
            <w:tcW w:w="193" w:type="dxa"/>
            <w:tcBorders>
              <w:top w:val="nil"/>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 (4)</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18</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11</w:t>
            </w: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 (5)</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90</w:t>
            </w:r>
          </w:p>
        </w:tc>
        <w:tc>
          <w:tcPr>
            <w:tcW w:w="1200"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100</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-140</w:t>
            </w:r>
          </w:p>
        </w:tc>
        <w:tc>
          <w:tcPr>
            <w:tcW w:w="1012"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-250</w:t>
            </w:r>
          </w:p>
        </w:tc>
        <w:tc>
          <w:tcPr>
            <w:tcW w:w="193" w:type="dxa"/>
            <w:tcBorders>
              <w:top w:val="nil"/>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 (5)</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116</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160</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-433</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900</w:t>
            </w:r>
          </w:p>
        </w:tc>
      </w:tr>
      <w:tr w:rsidR="00523FB7" w:rsidRPr="00740526" w:rsidTr="00747FB4">
        <w:trPr>
          <w:trHeight w:val="336"/>
        </w:trPr>
        <w:tc>
          <w:tcPr>
            <w:tcW w:w="2986" w:type="dxa"/>
            <w:tcBorders>
              <w:top w:val="nil"/>
              <w:left w:val="nil"/>
              <w:bottom w:val="dashed" w:sz="8" w:space="0" w:color="auto"/>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 (6)</w:t>
            </w:r>
          </w:p>
        </w:tc>
        <w:tc>
          <w:tcPr>
            <w:tcW w:w="1199" w:type="dxa"/>
            <w:tcBorders>
              <w:top w:val="nil"/>
              <w:left w:val="nil"/>
              <w:bottom w:val="dashed"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w:t>
            </w:r>
            <w:r>
              <w:rPr>
                <w:rFonts w:ascii="Times New Roman" w:hAnsi="Times New Roman" w:cs="Times New Roman"/>
                <w:color w:val="000000"/>
                <w:kern w:val="0"/>
                <w:sz w:val="20"/>
                <w:szCs w:val="20"/>
              </w:rPr>
              <w:t>9</w:t>
            </w:r>
          </w:p>
        </w:tc>
        <w:tc>
          <w:tcPr>
            <w:tcW w:w="1200" w:type="dxa"/>
            <w:tcBorders>
              <w:top w:val="nil"/>
              <w:left w:val="nil"/>
              <w:bottom w:val="dashed"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23</w:t>
            </w:r>
          </w:p>
        </w:tc>
        <w:tc>
          <w:tcPr>
            <w:tcW w:w="143" w:type="dxa"/>
            <w:tcBorders>
              <w:top w:val="nil"/>
              <w:left w:val="nil"/>
              <w:bottom w:val="dashed" w:sz="8" w:space="0" w:color="auto"/>
              <w:right w:val="nil"/>
            </w:tcBorders>
            <w:noWrap/>
            <w:vAlign w:val="center"/>
          </w:tcPr>
          <w:p w:rsidR="00523FB7" w:rsidRPr="006069F1" w:rsidRDefault="00523FB7" w:rsidP="00747FB4">
            <w:pPr>
              <w:widowControl/>
              <w:snapToGrid w:val="0"/>
              <w:rPr>
                <w:color w:val="000000"/>
                <w:kern w:val="0"/>
              </w:rPr>
            </w:pPr>
            <w:r w:rsidRPr="006069F1">
              <w:rPr>
                <w:rFonts w:hint="eastAsia"/>
                <w:color w:val="000000"/>
                <w:kern w:val="0"/>
              </w:rPr>
              <w:t xml:space="preserve">　</w:t>
            </w:r>
          </w:p>
        </w:tc>
        <w:tc>
          <w:tcPr>
            <w:tcW w:w="1012" w:type="dxa"/>
            <w:tcBorders>
              <w:top w:val="nil"/>
              <w:left w:val="nil"/>
              <w:bottom w:val="dashed" w:sz="8"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-166</w:t>
            </w:r>
          </w:p>
        </w:tc>
        <w:tc>
          <w:tcPr>
            <w:tcW w:w="1012" w:type="dxa"/>
            <w:tcBorders>
              <w:top w:val="nil"/>
              <w:left w:val="nil"/>
              <w:bottom w:val="dashed"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-1000</w:t>
            </w:r>
          </w:p>
        </w:tc>
        <w:tc>
          <w:tcPr>
            <w:tcW w:w="193" w:type="dxa"/>
            <w:tcBorders>
              <w:top w:val="nil"/>
              <w:left w:val="nil"/>
              <w:bottom w:val="dashed" w:sz="8" w:space="0" w:color="auto"/>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dashed" w:sz="8" w:space="0" w:color="auto"/>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 – (6)</w:t>
            </w:r>
          </w:p>
        </w:tc>
        <w:tc>
          <w:tcPr>
            <w:tcW w:w="916" w:type="dxa"/>
            <w:gridSpan w:val="2"/>
            <w:tcBorders>
              <w:top w:val="nil"/>
              <w:left w:val="nil"/>
              <w:bottom w:val="dashed" w:sz="8"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333</w:t>
            </w:r>
          </w:p>
        </w:tc>
        <w:tc>
          <w:tcPr>
            <w:tcW w:w="917" w:type="dxa"/>
            <w:tcBorders>
              <w:top w:val="nil"/>
              <w:left w:val="nil"/>
              <w:bottom w:val="dashed"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160</w:t>
            </w:r>
          </w:p>
        </w:tc>
        <w:tc>
          <w:tcPr>
            <w:tcW w:w="168" w:type="dxa"/>
            <w:tcBorders>
              <w:top w:val="nil"/>
              <w:left w:val="nil"/>
              <w:bottom w:val="dashed" w:sz="8" w:space="0" w:color="auto"/>
              <w:right w:val="nil"/>
            </w:tcBorders>
            <w:noWrap/>
            <w:vAlign w:val="center"/>
          </w:tcPr>
          <w:p w:rsidR="00523FB7" w:rsidRPr="006069F1" w:rsidRDefault="00523FB7" w:rsidP="00747FB4">
            <w:pPr>
              <w:widowControl/>
              <w:snapToGrid w:val="0"/>
              <w:rPr>
                <w:color w:val="000000"/>
                <w:kern w:val="0"/>
              </w:rPr>
            </w:pPr>
            <w:r w:rsidRPr="006069F1">
              <w:rPr>
                <w:rFonts w:hint="eastAsia"/>
                <w:color w:val="000000"/>
                <w:kern w:val="0"/>
              </w:rPr>
              <w:t xml:space="preserve">　</w:t>
            </w:r>
          </w:p>
        </w:tc>
        <w:tc>
          <w:tcPr>
            <w:tcW w:w="984" w:type="dxa"/>
            <w:tcBorders>
              <w:top w:val="nil"/>
              <w:left w:val="nil"/>
              <w:bottom w:val="dashed" w:sz="8"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900</w:t>
            </w:r>
          </w:p>
        </w:tc>
        <w:tc>
          <w:tcPr>
            <w:tcW w:w="985" w:type="dxa"/>
            <w:tcBorders>
              <w:top w:val="nil"/>
              <w:left w:val="nil"/>
              <w:bottom w:val="dashed" w:sz="8"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900</w:t>
            </w: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 – (1)</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-92</w:t>
            </w:r>
          </w:p>
        </w:tc>
        <w:tc>
          <w:tcPr>
            <w:tcW w:w="1200" w:type="dxa"/>
            <w:tcBorders>
              <w:top w:val="dashed" w:sz="8" w:space="0" w:color="auto"/>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-7</w:t>
            </w:r>
            <w:r>
              <w:rPr>
                <w:rFonts w:ascii="Times New Roman" w:hAnsi="Times New Roman" w:cs="Times New Roman"/>
                <w:color w:val="000000"/>
                <w:kern w:val="0"/>
                <w:sz w:val="20"/>
                <w:szCs w:val="20"/>
              </w:rPr>
              <w:t>7</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40</w:t>
            </w:r>
          </w:p>
        </w:tc>
        <w:tc>
          <w:tcPr>
            <w:tcW w:w="1012"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0</w:t>
            </w:r>
          </w:p>
        </w:tc>
        <w:tc>
          <w:tcPr>
            <w:tcW w:w="193" w:type="dxa"/>
            <w:tcBorders>
              <w:top w:val="nil"/>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 – (1)</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-18</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-8</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-20</w:t>
            </w: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 – (4)</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-90</w:t>
            </w:r>
          </w:p>
        </w:tc>
        <w:tc>
          <w:tcPr>
            <w:tcW w:w="1200"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-57</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1300</w:t>
            </w:r>
          </w:p>
        </w:tc>
        <w:tc>
          <w:tcPr>
            <w:tcW w:w="1012"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300</w:t>
            </w:r>
          </w:p>
        </w:tc>
        <w:tc>
          <w:tcPr>
            <w:tcW w:w="193" w:type="dxa"/>
            <w:tcBorders>
              <w:top w:val="nil"/>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 – (4)</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-23</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-18</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10</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-11</w:t>
            </w:r>
          </w:p>
        </w:tc>
      </w:tr>
      <w:tr w:rsidR="00523FB7" w:rsidRPr="00740526" w:rsidTr="00747FB4">
        <w:trPr>
          <w:trHeight w:val="324"/>
        </w:trPr>
        <w:tc>
          <w:tcPr>
            <w:tcW w:w="2986" w:type="dxa"/>
            <w:tcBorders>
              <w:top w:val="nil"/>
              <w:left w:val="nil"/>
              <w:bottom w:val="nil"/>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 – (5)</w:t>
            </w:r>
          </w:p>
        </w:tc>
        <w:tc>
          <w:tcPr>
            <w:tcW w:w="1199"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-90</w:t>
            </w:r>
          </w:p>
        </w:tc>
        <w:tc>
          <w:tcPr>
            <w:tcW w:w="1200"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-6</w:t>
            </w:r>
            <w:r>
              <w:rPr>
                <w:rFonts w:ascii="Times New Roman" w:hAnsi="Times New Roman" w:cs="Times New Roman"/>
                <w:color w:val="000000"/>
                <w:kern w:val="0"/>
                <w:sz w:val="20"/>
                <w:szCs w:val="20"/>
              </w:rPr>
              <w:t>3</w:t>
            </w:r>
          </w:p>
        </w:tc>
        <w:tc>
          <w:tcPr>
            <w:tcW w:w="143"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1012"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-240</w:t>
            </w:r>
          </w:p>
        </w:tc>
        <w:tc>
          <w:tcPr>
            <w:tcW w:w="1012"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-233</w:t>
            </w:r>
          </w:p>
        </w:tc>
        <w:tc>
          <w:tcPr>
            <w:tcW w:w="193" w:type="dxa"/>
            <w:tcBorders>
              <w:top w:val="nil"/>
              <w:left w:val="nil"/>
              <w:bottom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nil"/>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 – (5)</w:t>
            </w:r>
          </w:p>
        </w:tc>
        <w:tc>
          <w:tcPr>
            <w:tcW w:w="916" w:type="dxa"/>
            <w:gridSpan w:val="2"/>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66</w:t>
            </w:r>
          </w:p>
        </w:tc>
        <w:tc>
          <w:tcPr>
            <w:tcW w:w="917"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80</w:t>
            </w:r>
          </w:p>
        </w:tc>
        <w:tc>
          <w:tcPr>
            <w:tcW w:w="168" w:type="dxa"/>
            <w:tcBorders>
              <w:top w:val="nil"/>
              <w:left w:val="nil"/>
              <w:bottom w:val="nil"/>
              <w:right w:val="nil"/>
            </w:tcBorders>
            <w:noWrap/>
            <w:vAlign w:val="center"/>
          </w:tcPr>
          <w:p w:rsidR="00523FB7" w:rsidRPr="006069F1" w:rsidRDefault="00523FB7" w:rsidP="00747FB4">
            <w:pPr>
              <w:widowControl/>
              <w:snapToGrid w:val="0"/>
              <w:rPr>
                <w:color w:val="000000"/>
                <w:kern w:val="0"/>
              </w:rPr>
            </w:pPr>
          </w:p>
        </w:tc>
        <w:tc>
          <w:tcPr>
            <w:tcW w:w="984" w:type="dxa"/>
            <w:tcBorders>
              <w:top w:val="nil"/>
              <w:left w:val="nil"/>
              <w:bottom w:val="nil"/>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-466</w:t>
            </w:r>
          </w:p>
        </w:tc>
        <w:tc>
          <w:tcPr>
            <w:tcW w:w="985" w:type="dxa"/>
            <w:tcBorders>
              <w:top w:val="nil"/>
              <w:left w:val="nil"/>
              <w:bottom w:val="nil"/>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700</w:t>
            </w:r>
          </w:p>
        </w:tc>
      </w:tr>
      <w:tr w:rsidR="00523FB7" w:rsidRPr="00740526" w:rsidTr="00747FB4">
        <w:trPr>
          <w:trHeight w:val="336"/>
        </w:trPr>
        <w:tc>
          <w:tcPr>
            <w:tcW w:w="2986" w:type="dxa"/>
            <w:tcBorders>
              <w:top w:val="nil"/>
              <w:left w:val="nil"/>
              <w:bottom w:val="double" w:sz="6" w:space="0" w:color="auto"/>
              <w:right w:val="nil"/>
            </w:tcBorders>
            <w:noWrap/>
            <w:vAlign w:val="center"/>
          </w:tcPr>
          <w:p w:rsidR="00523FB7" w:rsidRPr="006069F1" w:rsidRDefault="00523FB7" w:rsidP="00747FB4">
            <w:pPr>
              <w:widowControl/>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 – (6)</w:t>
            </w:r>
          </w:p>
        </w:tc>
        <w:tc>
          <w:tcPr>
            <w:tcW w:w="1199" w:type="dxa"/>
            <w:tcBorders>
              <w:top w:val="nil"/>
              <w:left w:val="nil"/>
              <w:bottom w:val="double" w:sz="6"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w:t>
            </w:r>
            <w:r>
              <w:rPr>
                <w:rFonts w:ascii="Times New Roman" w:hAnsi="Times New Roman" w:cs="Times New Roman"/>
                <w:color w:val="000000"/>
                <w:kern w:val="0"/>
                <w:sz w:val="20"/>
                <w:szCs w:val="20"/>
              </w:rPr>
              <w:t>4</w:t>
            </w:r>
          </w:p>
        </w:tc>
        <w:tc>
          <w:tcPr>
            <w:tcW w:w="1200" w:type="dxa"/>
            <w:tcBorders>
              <w:top w:val="nil"/>
              <w:left w:val="nil"/>
              <w:bottom w:val="double" w:sz="6"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-7</w:t>
            </w:r>
            <w:r>
              <w:rPr>
                <w:rFonts w:ascii="Times New Roman" w:hAnsi="Times New Roman" w:cs="Times New Roman"/>
                <w:color w:val="000000"/>
                <w:kern w:val="0"/>
                <w:sz w:val="20"/>
                <w:szCs w:val="20"/>
              </w:rPr>
              <w:t>7</w:t>
            </w:r>
          </w:p>
        </w:tc>
        <w:tc>
          <w:tcPr>
            <w:tcW w:w="143" w:type="dxa"/>
            <w:tcBorders>
              <w:top w:val="nil"/>
              <w:left w:val="nil"/>
              <w:bottom w:val="double" w:sz="6" w:space="0" w:color="auto"/>
              <w:right w:val="nil"/>
            </w:tcBorders>
            <w:noWrap/>
            <w:vAlign w:val="center"/>
          </w:tcPr>
          <w:p w:rsidR="00523FB7" w:rsidRPr="006069F1" w:rsidRDefault="00523FB7" w:rsidP="00747FB4">
            <w:pPr>
              <w:widowControl/>
              <w:snapToGrid w:val="0"/>
              <w:rPr>
                <w:color w:val="000000"/>
                <w:kern w:val="0"/>
              </w:rPr>
            </w:pPr>
            <w:r w:rsidRPr="006069F1">
              <w:rPr>
                <w:rFonts w:hint="eastAsia"/>
                <w:color w:val="000000"/>
                <w:kern w:val="0"/>
              </w:rPr>
              <w:t xml:space="preserve">　</w:t>
            </w:r>
          </w:p>
        </w:tc>
        <w:tc>
          <w:tcPr>
            <w:tcW w:w="1012" w:type="dxa"/>
            <w:tcBorders>
              <w:top w:val="nil"/>
              <w:left w:val="nil"/>
              <w:bottom w:val="double" w:sz="6"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-333</w:t>
            </w:r>
          </w:p>
        </w:tc>
        <w:tc>
          <w:tcPr>
            <w:tcW w:w="1012" w:type="dxa"/>
            <w:tcBorders>
              <w:top w:val="nil"/>
              <w:left w:val="nil"/>
              <w:bottom w:val="double" w:sz="6"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-900</w:t>
            </w:r>
          </w:p>
        </w:tc>
        <w:tc>
          <w:tcPr>
            <w:tcW w:w="193" w:type="dxa"/>
            <w:tcBorders>
              <w:top w:val="nil"/>
              <w:left w:val="nil"/>
              <w:bottom w:val="double" w:sz="6" w:space="0" w:color="auto"/>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p>
        </w:tc>
        <w:tc>
          <w:tcPr>
            <w:tcW w:w="2744" w:type="dxa"/>
            <w:tcBorders>
              <w:top w:val="nil"/>
              <w:bottom w:val="double" w:sz="6" w:space="0" w:color="auto"/>
              <w:right w:val="nil"/>
            </w:tcBorders>
            <w:vAlign w:val="center"/>
          </w:tcPr>
          <w:p w:rsidR="00523FB7" w:rsidRPr="006069F1" w:rsidRDefault="00523FB7" w:rsidP="00747FB4">
            <w:pPr>
              <w:snapToGrid w:val="0"/>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 – (6)</w:t>
            </w:r>
          </w:p>
        </w:tc>
        <w:tc>
          <w:tcPr>
            <w:tcW w:w="916" w:type="dxa"/>
            <w:gridSpan w:val="2"/>
            <w:tcBorders>
              <w:top w:val="nil"/>
              <w:left w:val="nil"/>
              <w:bottom w:val="double" w:sz="6"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233</w:t>
            </w:r>
          </w:p>
        </w:tc>
        <w:tc>
          <w:tcPr>
            <w:tcW w:w="917" w:type="dxa"/>
            <w:tcBorders>
              <w:top w:val="nil"/>
              <w:left w:val="nil"/>
              <w:bottom w:val="double" w:sz="6"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80</w:t>
            </w:r>
          </w:p>
        </w:tc>
        <w:tc>
          <w:tcPr>
            <w:tcW w:w="168" w:type="dxa"/>
            <w:tcBorders>
              <w:top w:val="nil"/>
              <w:left w:val="nil"/>
              <w:bottom w:val="double" w:sz="6" w:space="0" w:color="auto"/>
              <w:right w:val="nil"/>
            </w:tcBorders>
            <w:noWrap/>
            <w:vAlign w:val="center"/>
          </w:tcPr>
          <w:p w:rsidR="00523FB7" w:rsidRPr="006069F1" w:rsidRDefault="00523FB7" w:rsidP="00747FB4">
            <w:pPr>
              <w:widowControl/>
              <w:snapToGrid w:val="0"/>
              <w:rPr>
                <w:color w:val="000000"/>
                <w:kern w:val="0"/>
              </w:rPr>
            </w:pPr>
            <w:r w:rsidRPr="006069F1">
              <w:rPr>
                <w:rFonts w:hint="eastAsia"/>
                <w:color w:val="000000"/>
                <w:kern w:val="0"/>
              </w:rPr>
              <w:t xml:space="preserve">　</w:t>
            </w:r>
          </w:p>
        </w:tc>
        <w:tc>
          <w:tcPr>
            <w:tcW w:w="984" w:type="dxa"/>
            <w:tcBorders>
              <w:top w:val="nil"/>
              <w:left w:val="nil"/>
              <w:bottom w:val="double" w:sz="6" w:space="0" w:color="auto"/>
              <w:right w:val="nil"/>
            </w:tcBorders>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1000</w:t>
            </w:r>
          </w:p>
        </w:tc>
        <w:tc>
          <w:tcPr>
            <w:tcW w:w="985" w:type="dxa"/>
            <w:tcBorders>
              <w:top w:val="nil"/>
              <w:left w:val="nil"/>
              <w:bottom w:val="double" w:sz="6" w:space="0" w:color="auto"/>
              <w:right w:val="nil"/>
            </w:tcBorders>
            <w:noWrap/>
            <w:vAlign w:val="center"/>
          </w:tcPr>
          <w:p w:rsidR="00523FB7" w:rsidRPr="006069F1" w:rsidRDefault="00523FB7" w:rsidP="00747FB4">
            <w:pPr>
              <w:widowControl/>
              <w:snapToGrid w:val="0"/>
              <w:jc w:val="right"/>
              <w:rPr>
                <w:rFonts w:ascii="Times New Roman" w:hAnsi="Times New Roman" w:cs="Times New Roman"/>
                <w:color w:val="000000"/>
                <w:kern w:val="0"/>
                <w:sz w:val="20"/>
                <w:szCs w:val="20"/>
              </w:rPr>
            </w:pPr>
            <w:r w:rsidRPr="006069F1">
              <w:rPr>
                <w:rFonts w:ascii="Times New Roman" w:hAnsi="Times New Roman" w:cs="Times New Roman"/>
                <w:color w:val="000000"/>
                <w:kern w:val="0"/>
                <w:sz w:val="20"/>
                <w:szCs w:val="20"/>
              </w:rPr>
              <w:t>700</w:t>
            </w:r>
          </w:p>
        </w:tc>
      </w:tr>
    </w:tbl>
    <w:p w:rsidR="00523FB7" w:rsidRDefault="00523FB7">
      <w:pPr>
        <w:widowControl/>
        <w:rPr>
          <w:rFonts w:ascii="Times New Roman" w:hAnsi="Times New Roman" w:cs="Times New Roman"/>
          <w:sz w:val="22"/>
          <w:szCs w:val="22"/>
        </w:rPr>
      </w:pPr>
    </w:p>
    <w:sectPr w:rsidR="00523FB7" w:rsidSect="00F86FF5">
      <w:type w:val="continuous"/>
      <w:pgSz w:w="16838" w:h="11906" w:orient="landscape" w:code="9"/>
      <w:pgMar w:top="1797" w:right="1440" w:bottom="1797" w:left="144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FB7" w:rsidRDefault="00523FB7" w:rsidP="00F86FF5">
      <w:pPr>
        <w:rPr>
          <w:rFonts w:cs="Times New Roman"/>
        </w:rPr>
      </w:pPr>
      <w:r>
        <w:rPr>
          <w:rFonts w:cs="Times New Roman"/>
        </w:rPr>
        <w:separator/>
      </w:r>
    </w:p>
  </w:endnote>
  <w:endnote w:type="continuationSeparator" w:id="0">
    <w:p w:rsidR="00523FB7" w:rsidRDefault="00523FB7" w:rsidP="00F86FF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dvTimes">
    <w:altName w:val="細明體"/>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dvTT9c26d28d+fb">
    <w:altName w:val="細明體"/>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細明體"/>
    <w:panose1 w:val="00000000000000000000"/>
    <w:charset w:val="88"/>
    <w:family w:val="auto"/>
    <w:notTrueType/>
    <w:pitch w:val="default"/>
    <w:sig w:usb0="00000001" w:usb1="08080000" w:usb2="00000010" w:usb3="00000000" w:csb0="00100000" w:csb1="00000000"/>
  </w:font>
  <w:font w:name="AdvGulliv-R">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B7" w:rsidRPr="00606E35" w:rsidRDefault="00523FB7">
    <w:pPr>
      <w:pStyle w:val="Footer"/>
      <w:jc w:val="center"/>
      <w:rPr>
        <w:rFonts w:ascii="Times New Roman" w:hAnsi="Times New Roman"/>
      </w:rPr>
    </w:pPr>
    <w:r w:rsidRPr="00606E35">
      <w:rPr>
        <w:rFonts w:ascii="Times New Roman" w:hAnsi="Times New Roman"/>
      </w:rPr>
      <w:fldChar w:fldCharType="begin"/>
    </w:r>
    <w:r w:rsidRPr="00606E35">
      <w:rPr>
        <w:rFonts w:ascii="Times New Roman" w:hAnsi="Times New Roman"/>
      </w:rPr>
      <w:instrText xml:space="preserve"> PAGE   \* MERGEFORMAT </w:instrText>
    </w:r>
    <w:r w:rsidRPr="00606E35">
      <w:rPr>
        <w:rFonts w:ascii="Times New Roman" w:hAnsi="Times New Roman"/>
      </w:rPr>
      <w:fldChar w:fldCharType="separate"/>
    </w:r>
    <w:r w:rsidRPr="003132FD">
      <w:rPr>
        <w:rFonts w:ascii="Times New Roman" w:hAnsi="Times New Roman"/>
        <w:noProof/>
        <w:lang w:val="zh-TW"/>
      </w:rPr>
      <w:t>48</w:t>
    </w:r>
    <w:r w:rsidRPr="00606E35">
      <w:rPr>
        <w:rFonts w:ascii="Times New Roman" w:hAnsi="Times New Roman"/>
      </w:rPr>
      <w:fldChar w:fldCharType="end"/>
    </w:r>
  </w:p>
  <w:p w:rsidR="00523FB7" w:rsidRPr="00606E35" w:rsidRDefault="00523FB7">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FB7" w:rsidRDefault="00523FB7" w:rsidP="00F86FF5">
      <w:pPr>
        <w:rPr>
          <w:rFonts w:cs="Times New Roman"/>
        </w:rPr>
      </w:pPr>
      <w:r>
        <w:rPr>
          <w:rFonts w:cs="Times New Roman"/>
        </w:rPr>
        <w:separator/>
      </w:r>
    </w:p>
  </w:footnote>
  <w:footnote w:type="continuationSeparator" w:id="0">
    <w:p w:rsidR="00523FB7" w:rsidRDefault="00523FB7" w:rsidP="00F86FF5">
      <w:pPr>
        <w:rPr>
          <w:rFonts w:cs="Times New Roman"/>
        </w:rPr>
      </w:pPr>
      <w:r>
        <w:rPr>
          <w:rFonts w:cs="Times New Roman"/>
        </w:rPr>
        <w:continuationSeparator/>
      </w:r>
    </w:p>
  </w:footnote>
  <w:footnote w:id="1">
    <w:p w:rsidR="00523FB7" w:rsidRDefault="00523FB7" w:rsidP="003132FD">
      <w:pPr>
        <w:snapToGrid w:val="0"/>
        <w:spacing w:line="480" w:lineRule="auto"/>
        <w:ind w:left="100" w:hangingChars="50" w:hanging="100"/>
        <w:jc w:val="both"/>
      </w:pPr>
      <w:r w:rsidRPr="00546FAB">
        <w:rPr>
          <w:rStyle w:val="FootnoteReference"/>
          <w:rFonts w:ascii="Times New Roman" w:hAnsi="Times New Roman"/>
          <w:sz w:val="20"/>
          <w:szCs w:val="20"/>
        </w:rPr>
        <w:t>*</w:t>
      </w:r>
      <w:r w:rsidRPr="00546FAB">
        <w:rPr>
          <w:rFonts w:ascii="Times New Roman" w:hAnsi="Times New Roman" w:cs="Times New Roman"/>
          <w:sz w:val="20"/>
          <w:szCs w:val="20"/>
        </w:rPr>
        <w:t xml:space="preserve">Corresponding author, E-mail address: </w:t>
      </w:r>
      <w:hyperlink r:id="rId1" w:history="1">
        <w:r w:rsidRPr="00546FAB">
          <w:rPr>
            <w:rStyle w:val="Hyperlink"/>
            <w:rFonts w:ascii="Times New Roman" w:hAnsi="Times New Roman"/>
            <w:sz w:val="20"/>
            <w:szCs w:val="20"/>
          </w:rPr>
          <w:t>wfhung@fcu.edu.tw</w:t>
        </w:r>
      </w:hyperlink>
      <w:r w:rsidRPr="00546FAB">
        <w:rPr>
          <w:rFonts w:ascii="Times New Roman" w:hAnsi="Times New Roman" w:cs="Times New Roman"/>
          <w:sz w:val="20"/>
          <w:szCs w:val="20"/>
        </w:rPr>
        <w:t>. Phone</w:t>
      </w:r>
      <w:r w:rsidRPr="00546FAB">
        <w:rPr>
          <w:rFonts w:ascii="Times New Roman" w:hAnsi="Times New Roman" w:cs="Times New Roman"/>
          <w:b/>
          <w:sz w:val="20"/>
          <w:szCs w:val="20"/>
        </w:rPr>
        <w:t xml:space="preserve">: </w:t>
      </w:r>
      <w:r w:rsidRPr="00546FAB">
        <w:rPr>
          <w:rStyle w:val="Strong"/>
          <w:rFonts w:ascii="Times New Roman" w:hAnsi="Times New Roman"/>
          <w:b w:val="0"/>
          <w:sz w:val="20"/>
          <w:szCs w:val="20"/>
        </w:rPr>
        <w:t>886-4-24517250, Ext. 4173.</w:t>
      </w:r>
      <w:r w:rsidRPr="00546FAB">
        <w:rPr>
          <w:rFonts w:ascii="Times New Roman" w:hAnsi="Times New Roman" w:cs="Times New Roman"/>
          <w:sz w:val="20"/>
          <w:szCs w:val="20"/>
        </w:rPr>
        <w:t>No. 100 Wenhwa Rd., Seatwen, Taichung, Taiwan 40724, R.O.C.</w:t>
      </w:r>
      <w:r w:rsidRPr="00546FAB">
        <w:rPr>
          <w:rStyle w:val="Strong"/>
          <w:rFonts w:ascii="Times New Roman" w:hAnsi="Times New Roman"/>
          <w:b w:val="0"/>
          <w:sz w:val="20"/>
          <w:szCs w:val="20"/>
        </w:rPr>
        <w:t>This research is financially supported by the Taiwan National Science Council (</w:t>
      </w:r>
      <w:r w:rsidRPr="00546FAB">
        <w:rPr>
          <w:rFonts w:ascii="Times New Roman" w:eastAsia="標楷體" w:hAnsi="Times New Roman" w:cs="Times New Roman"/>
          <w:sz w:val="20"/>
          <w:szCs w:val="20"/>
        </w:rPr>
        <w:t>NSC 100-2410-H-035-025-MY2</w:t>
      </w:r>
      <w:r w:rsidRPr="00546FAB">
        <w:rPr>
          <w:rStyle w:val="Strong"/>
          <w:rFonts w:ascii="Times New Roman" w:hAnsi="Times New Roman"/>
          <w:b w:val="0"/>
          <w:sz w:val="20"/>
          <w:szCs w:val="20"/>
        </w:rPr>
        <w:t xml:space="preserve">). </w:t>
      </w:r>
    </w:p>
  </w:footnote>
  <w:footnote w:id="2">
    <w:p w:rsidR="00523FB7" w:rsidRDefault="00523FB7" w:rsidP="00E06796">
      <w:pPr>
        <w:autoSpaceDE w:val="0"/>
        <w:autoSpaceDN w:val="0"/>
        <w:adjustRightInd w:val="0"/>
        <w:snapToGrid w:val="0"/>
        <w:jc w:val="both"/>
      </w:pPr>
      <w:r w:rsidRPr="00546FAB">
        <w:rPr>
          <w:rStyle w:val="FootnoteReference"/>
          <w:rFonts w:ascii="Times New Roman" w:hAnsi="Times New Roman"/>
          <w:sz w:val="20"/>
          <w:szCs w:val="20"/>
        </w:rPr>
        <w:footnoteRef/>
      </w:r>
      <w:r w:rsidRPr="00546FAB">
        <w:rPr>
          <w:rFonts w:ascii="Times New Roman" w:hAnsi="Times New Roman" w:cs="Times New Roman"/>
          <w:sz w:val="20"/>
          <w:szCs w:val="20"/>
        </w:rPr>
        <w:t xml:space="preserve"> There are three prominent explanations about the existence of </w:t>
      </w:r>
      <w:r w:rsidRPr="00546FAB">
        <w:rPr>
          <w:rFonts w:ascii="Times New Roman" w:hAnsi="Times New Roman" w:cs="Times New Roman"/>
          <w:i/>
          <w:iCs/>
          <w:sz w:val="20"/>
          <w:szCs w:val="20"/>
        </w:rPr>
        <w:t>BE/ME</w:t>
      </w:r>
      <w:r w:rsidRPr="00546FAB">
        <w:rPr>
          <w:rFonts w:ascii="Times New Roman" w:hAnsi="Times New Roman" w:cs="Times New Roman"/>
          <w:sz w:val="20"/>
          <w:szCs w:val="20"/>
        </w:rPr>
        <w:t xml:space="preserve"> and size premiums. The first one supports the efficient market hypothesis in which investors are rational. It argues that, as firms with high </w:t>
      </w:r>
      <w:r w:rsidRPr="00546FAB">
        <w:rPr>
          <w:rFonts w:ascii="Times New Roman" w:hAnsi="Times New Roman" w:cs="Times New Roman"/>
          <w:i/>
          <w:iCs/>
          <w:sz w:val="20"/>
          <w:szCs w:val="20"/>
        </w:rPr>
        <w:t>BE/ME</w:t>
      </w:r>
      <w:r w:rsidRPr="00546FAB">
        <w:rPr>
          <w:rFonts w:ascii="Times New Roman" w:hAnsi="Times New Roman" w:cs="Times New Roman"/>
          <w:sz w:val="20"/>
          <w:szCs w:val="20"/>
        </w:rPr>
        <w:t xml:space="preserve"> (small market capitalization) usually experience poor past performance and have high distress risk, investors require these firms to have high expected returns (e.g., </w:t>
      </w:r>
      <w:r w:rsidRPr="00546FAB">
        <w:rPr>
          <w:rFonts w:ascii="Times New Roman" w:eastAsia="AdvTimes" w:hAnsi="Times New Roman" w:cs="Times New Roman"/>
          <w:color w:val="000000"/>
          <w:kern w:val="0"/>
          <w:sz w:val="20"/>
          <w:szCs w:val="20"/>
        </w:rPr>
        <w:t>Fama and French,</w:t>
      </w:r>
      <w:r w:rsidRPr="00546FAB">
        <w:rPr>
          <w:rFonts w:ascii="Times New Roman" w:hAnsi="Times New Roman" w:cs="Times New Roman"/>
          <w:sz w:val="20"/>
          <w:szCs w:val="20"/>
        </w:rPr>
        <w:t xml:space="preserve"> 1993, 1995; Lewellen, 1999; Chen and Zhang, 1998). Second, some economists argue that investors tend to overreact to good or bad news about firms’ fundamentals and exhibit e</w:t>
      </w:r>
      <w:r w:rsidRPr="00546FAB">
        <w:rPr>
          <w:rFonts w:ascii="Times New Roman" w:eastAsia="標楷體" w:hAnsi="Times New Roman" w:cs="Times New Roman"/>
          <w:color w:val="000000"/>
          <w:sz w:val="20"/>
          <w:szCs w:val="20"/>
        </w:rPr>
        <w:t xml:space="preserve">xcess </w:t>
      </w:r>
      <w:r w:rsidRPr="00546FAB">
        <w:rPr>
          <w:rFonts w:ascii="Times New Roman" w:hAnsi="Times New Roman" w:cs="Times New Roman"/>
          <w:color w:val="000000"/>
          <w:sz w:val="20"/>
          <w:szCs w:val="20"/>
        </w:rPr>
        <w:t>extrapolation</w:t>
      </w:r>
      <w:r w:rsidRPr="00546FAB">
        <w:rPr>
          <w:rFonts w:ascii="Times New Roman" w:eastAsia="標楷體" w:hAnsi="Times New Roman" w:cs="Times New Roman"/>
          <w:color w:val="000000"/>
          <w:sz w:val="20"/>
          <w:szCs w:val="20"/>
        </w:rPr>
        <w:t xml:space="preserve"> on firms’ future performance </w:t>
      </w:r>
      <w:r w:rsidRPr="00546FAB">
        <w:rPr>
          <w:rFonts w:ascii="Times New Roman" w:hAnsi="Times New Roman" w:cs="Times New Roman"/>
          <w:sz w:val="20"/>
          <w:szCs w:val="20"/>
        </w:rPr>
        <w:t>(DeBondt and Thaler, 1987; Lakonishok et al. (1994). For instance, Lakonishok et al. (1994) find that naive investors</w:t>
      </w:r>
      <w:r w:rsidRPr="00546FAB">
        <w:rPr>
          <w:rFonts w:ascii="Times New Roman" w:hAnsi="Times New Roman" w:cs="Times New Roman"/>
          <w:kern w:val="0"/>
          <w:sz w:val="20"/>
          <w:szCs w:val="20"/>
        </w:rPr>
        <w:t xml:space="preserve"> are inclined to undervalue (overvalue) value (growth) stocks and v</w:t>
      </w:r>
      <w:r w:rsidRPr="00546FAB">
        <w:rPr>
          <w:rFonts w:ascii="Times New Roman" w:hAnsi="Times New Roman" w:cs="Times New Roman"/>
          <w:sz w:val="20"/>
          <w:szCs w:val="20"/>
        </w:rPr>
        <w:t xml:space="preserve">alue (growth) strategies composed of high (low) </w:t>
      </w:r>
      <w:r w:rsidRPr="00546FAB">
        <w:rPr>
          <w:rFonts w:ascii="Times New Roman" w:hAnsi="Times New Roman" w:cs="Times New Roman"/>
          <w:i/>
          <w:iCs/>
          <w:sz w:val="20"/>
          <w:szCs w:val="20"/>
        </w:rPr>
        <w:t>BE/ME</w:t>
      </w:r>
      <w:r w:rsidRPr="00546FAB">
        <w:rPr>
          <w:rFonts w:ascii="Times New Roman" w:hAnsi="Times New Roman" w:cs="Times New Roman"/>
          <w:sz w:val="20"/>
          <w:szCs w:val="20"/>
        </w:rPr>
        <w:t xml:space="preserve"> stocks, and they bet against those investors who extrapolate past performance too far into the future. </w:t>
      </w:r>
      <w:r w:rsidRPr="00546FAB">
        <w:rPr>
          <w:rFonts w:ascii="Times New Roman" w:hAnsi="Times New Roman" w:cs="Times New Roman"/>
          <w:kern w:val="0"/>
          <w:sz w:val="20"/>
          <w:szCs w:val="20"/>
        </w:rPr>
        <w:t xml:space="preserve">When mispricing is subsequently corrected, value (growth) stocks yield higher (lower) returns, </w:t>
      </w:r>
      <w:r w:rsidRPr="00546FAB">
        <w:rPr>
          <w:rFonts w:ascii="Times New Roman" w:hAnsi="Times New Roman" w:cs="Times New Roman"/>
          <w:sz w:val="20"/>
          <w:szCs w:val="20"/>
        </w:rPr>
        <w:t xml:space="preserve">implying that overreaction by investors leads to the </w:t>
      </w:r>
      <w:r w:rsidRPr="00546FAB">
        <w:rPr>
          <w:rFonts w:ascii="Times New Roman" w:hAnsi="Times New Roman" w:cs="Times New Roman"/>
          <w:i/>
          <w:iCs/>
          <w:sz w:val="20"/>
          <w:szCs w:val="20"/>
        </w:rPr>
        <w:t>BE/ME</w:t>
      </w:r>
      <w:r w:rsidRPr="00546FAB">
        <w:rPr>
          <w:rFonts w:ascii="Times New Roman" w:hAnsi="Times New Roman" w:cs="Times New Roman"/>
          <w:sz w:val="20"/>
          <w:szCs w:val="20"/>
        </w:rPr>
        <w:t xml:space="preserve"> effect. The third possible explanation is about data snooping/</w:t>
      </w:r>
      <w:r w:rsidRPr="00546FAB">
        <w:rPr>
          <w:rFonts w:ascii="Times New Roman" w:hAnsi="Times New Roman" w:cs="Times New Roman"/>
          <w:color w:val="000000"/>
          <w:kern w:val="0"/>
          <w:sz w:val="20"/>
          <w:szCs w:val="20"/>
        </w:rPr>
        <w:t>data problems (i.e., survivorship and look-ahead bia</w:t>
      </w:r>
      <w:r w:rsidRPr="00546FAB">
        <w:rPr>
          <w:rFonts w:ascii="Times New Roman" w:hAnsi="Times New Roman" w:cs="Times New Roman"/>
          <w:kern w:val="0"/>
          <w:sz w:val="20"/>
          <w:szCs w:val="20"/>
        </w:rPr>
        <w:t>ses),</w:t>
      </w:r>
      <w:r w:rsidRPr="00546FAB">
        <w:rPr>
          <w:rFonts w:ascii="Times New Roman" w:hAnsi="Times New Roman" w:cs="Times New Roman"/>
          <w:sz w:val="20"/>
          <w:szCs w:val="20"/>
        </w:rPr>
        <w:t xml:space="preserve"> which suggest that the </w:t>
      </w:r>
      <w:r w:rsidRPr="00546FAB">
        <w:rPr>
          <w:rFonts w:ascii="Times New Roman" w:hAnsi="Times New Roman" w:cs="Times New Roman"/>
          <w:i/>
          <w:iCs/>
          <w:sz w:val="20"/>
          <w:szCs w:val="20"/>
        </w:rPr>
        <w:t>BE/ME</w:t>
      </w:r>
      <w:r w:rsidRPr="00546FAB">
        <w:rPr>
          <w:rFonts w:ascii="Times New Roman" w:hAnsi="Times New Roman" w:cs="Times New Roman"/>
          <w:sz w:val="20"/>
          <w:szCs w:val="20"/>
        </w:rPr>
        <w:t xml:space="preserve"> or size effect is simply due to chance (</w:t>
      </w:r>
      <w:r w:rsidRPr="00546FAB">
        <w:rPr>
          <w:rFonts w:ascii="Times New Roman" w:hAnsi="Times New Roman" w:cs="Times New Roman"/>
          <w:kern w:val="0"/>
          <w:sz w:val="20"/>
          <w:szCs w:val="20"/>
        </w:rPr>
        <w:t>Lo and MacKinlay, 1990; Black, 1993; MacKinlay, 1995</w:t>
      </w:r>
      <w:r w:rsidRPr="00546FAB">
        <w:rPr>
          <w:rFonts w:ascii="Times New Roman" w:hAnsi="Times New Roman" w:cs="Times New Roman"/>
          <w:sz w:val="20"/>
          <w:szCs w:val="20"/>
        </w:rPr>
        <w:t>).</w:t>
      </w:r>
    </w:p>
  </w:footnote>
  <w:footnote w:id="3">
    <w:p w:rsidR="00523FB7" w:rsidRDefault="00523FB7" w:rsidP="00E06796">
      <w:pPr>
        <w:pStyle w:val="FootnoteText"/>
        <w:jc w:val="both"/>
      </w:pPr>
      <w:r w:rsidRPr="00546FAB">
        <w:rPr>
          <w:rStyle w:val="FootnoteReference"/>
        </w:rPr>
        <w:footnoteRef/>
      </w:r>
      <w:r w:rsidRPr="00546FAB">
        <w:t xml:space="preserve"> Moreover, Choe et al. (1999) report short-horizon contrarian patterns of Korean individual investors (i.e., buying after prices go down and selling after prices go up). Grinblatt and Keloharju (2000, 2001) report contrarian tendencies by individual investors (both long- and short-term) using Finnish data. Jackson (2003) demonstrates such short-horizon patterns using Australian data, and Richards (2005) reports similar findings in six Asian markets. In the US, Goetzmann and Massa (2003) examine individuals who invest in an index fund and find that contrarians outnumber momentum traders two to one, and Griffin et al. (2003) document a short-horizon contrarian tendency of traders who submit orders in Nasdaq stocks through a set of retail brokers. </w:t>
      </w:r>
      <w:r w:rsidRPr="00546FAB">
        <w:rPr>
          <w:color w:val="000000"/>
        </w:rPr>
        <w:t xml:space="preserve">By using </w:t>
      </w:r>
      <w:r w:rsidRPr="00546FAB">
        <w:rPr>
          <w:rFonts w:eastAsia="AdvTT9c26d28d+fb"/>
          <w:color w:val="231F20"/>
        </w:rPr>
        <w:t xml:space="preserve">firm-level </w:t>
      </w:r>
      <w:r w:rsidRPr="00546FAB">
        <w:rPr>
          <w:color w:val="000000"/>
        </w:rPr>
        <w:t xml:space="preserve">margin trading data, </w:t>
      </w:r>
      <w:r w:rsidRPr="00546FAB">
        <w:t>Hirose, Kato, and Bremer (2009) show that individual investors in Japan appear to follow negative feedback</w:t>
      </w:r>
      <w:r w:rsidRPr="00546FAB">
        <w:rPr>
          <w:color w:val="231F20"/>
        </w:rPr>
        <w:t xml:space="preserve"> </w:t>
      </w:r>
      <w:r w:rsidRPr="00546FAB">
        <w:t>trading behavior for large stocks and positive feedback</w:t>
      </w:r>
      <w:r w:rsidRPr="00546FAB">
        <w:rPr>
          <w:color w:val="231F20"/>
        </w:rPr>
        <w:t xml:space="preserve"> </w:t>
      </w:r>
      <w:r w:rsidRPr="00546FAB">
        <w:t>trading behavior for small stocks.</w:t>
      </w:r>
    </w:p>
  </w:footnote>
  <w:footnote w:id="4">
    <w:p w:rsidR="00523FB7" w:rsidRDefault="00523FB7" w:rsidP="00E06796">
      <w:pPr>
        <w:pStyle w:val="FootnoteText"/>
        <w:jc w:val="both"/>
      </w:pPr>
      <w:r w:rsidRPr="00546FAB">
        <w:rPr>
          <w:rStyle w:val="FootnoteReference"/>
        </w:rPr>
        <w:footnoteRef/>
      </w:r>
      <w:r w:rsidRPr="00546FAB">
        <w:t xml:space="preserve"> As individual ownership is not directly observable, prior studies refer to shares that are not owned by large institutions as belonging to individual investors (Nofsinger and Sias, 1999; Dennis and Strickland, 2002; </w:t>
      </w:r>
      <w:r w:rsidRPr="00546FAB">
        <w:rPr>
          <w:color w:val="000000"/>
        </w:rPr>
        <w:t>Sharma</w:t>
      </w:r>
      <w:r w:rsidRPr="00546FAB">
        <w:t xml:space="preserve"> et al. </w:t>
      </w:r>
      <w:r w:rsidRPr="00546FAB">
        <w:rPr>
          <w:color w:val="000000"/>
        </w:rPr>
        <w:t>2006</w:t>
      </w:r>
      <w:r w:rsidRPr="00546FAB">
        <w:t xml:space="preserve">). That is, individual ownership is “implied” from the value of institutional ownership. However, in Japan, firms are required to disclose their shareholder profile (i.e., the number of shares owned by different owner-types) in their formal annual report. Thus, the individual ownership used in this paper is a more straightforward and precise measure than that in past studies. </w:t>
      </w:r>
    </w:p>
  </w:footnote>
  <w:footnote w:id="5">
    <w:p w:rsidR="00523FB7" w:rsidRDefault="00523FB7" w:rsidP="00E06796">
      <w:pPr>
        <w:pStyle w:val="FootnoteText"/>
        <w:jc w:val="both"/>
      </w:pPr>
      <w:r w:rsidRPr="00546FAB">
        <w:rPr>
          <w:rStyle w:val="FootnoteReference"/>
        </w:rPr>
        <w:footnoteRef/>
      </w:r>
      <w:r w:rsidRPr="00546FAB">
        <w:t xml:space="preserve"> Existing studies show that there is a negative long-run relationship between individual trading and future stock returns (Odean, 1999; Barber and Odean, 2000; Grinblatt and Keloharju, 2000).</w:t>
      </w:r>
    </w:p>
  </w:footnote>
  <w:footnote w:id="6">
    <w:p w:rsidR="00523FB7" w:rsidRDefault="00523FB7" w:rsidP="00E06796">
      <w:pPr>
        <w:pStyle w:val="FootnoteText"/>
        <w:jc w:val="both"/>
      </w:pPr>
      <w:r w:rsidRPr="00546FAB">
        <w:rPr>
          <w:rStyle w:val="FootnoteReference"/>
        </w:rPr>
        <w:footnoteRef/>
      </w:r>
      <w:r w:rsidRPr="00546FAB">
        <w:t xml:space="preserve"> Fama and French (2006) find that the value premium is 55% larger for small stocks than for large stocks from 1926 to 2004. They report no evidence of a statistically significant value premium (based on </w:t>
      </w:r>
      <w:r w:rsidRPr="00546FAB">
        <w:rPr>
          <w:i/>
        </w:rPr>
        <w:t>BE/ME</w:t>
      </w:r>
      <w:r w:rsidRPr="00546FAB">
        <w:t>) for large stocks in the US over the 1926 to 1963 or the 1963 to 2004 subsample periods.</w:t>
      </w:r>
    </w:p>
  </w:footnote>
  <w:footnote w:id="7">
    <w:p w:rsidR="00523FB7" w:rsidRDefault="00523FB7" w:rsidP="00E06796">
      <w:pPr>
        <w:autoSpaceDE w:val="0"/>
        <w:autoSpaceDN w:val="0"/>
        <w:adjustRightInd w:val="0"/>
        <w:snapToGrid w:val="0"/>
        <w:jc w:val="both"/>
      </w:pPr>
      <w:r w:rsidRPr="00546FAB">
        <w:rPr>
          <w:rStyle w:val="FootnoteReference"/>
          <w:rFonts w:ascii="Times New Roman" w:hAnsi="Times New Roman"/>
          <w:sz w:val="20"/>
          <w:szCs w:val="20"/>
        </w:rPr>
        <w:footnoteRef/>
      </w:r>
      <w:r w:rsidRPr="00546FAB">
        <w:rPr>
          <w:rFonts w:ascii="Times New Roman" w:hAnsi="Times New Roman" w:cs="Times New Roman"/>
          <w:sz w:val="20"/>
          <w:szCs w:val="20"/>
        </w:rPr>
        <w:t xml:space="preserve"> </w:t>
      </w:r>
      <w:r w:rsidRPr="00546FAB">
        <w:rPr>
          <w:rFonts w:ascii="Times New Roman" w:hAnsi="Times New Roman" w:cs="Times New Roman"/>
          <w:kern w:val="0"/>
          <w:sz w:val="20"/>
          <w:szCs w:val="20"/>
        </w:rPr>
        <w:t xml:space="preserve">Following </w:t>
      </w:r>
      <w:r w:rsidRPr="00546FAB">
        <w:rPr>
          <w:rFonts w:ascii="Times New Roman" w:hAnsi="Times New Roman" w:cs="Times New Roman"/>
          <w:sz w:val="20"/>
          <w:szCs w:val="20"/>
        </w:rPr>
        <w:t>Fama and French</w:t>
      </w:r>
      <w:r w:rsidRPr="00546FAB">
        <w:rPr>
          <w:rFonts w:ascii="Times New Roman" w:hAnsi="Times New Roman" w:cs="Times New Roman"/>
          <w:kern w:val="0"/>
          <w:sz w:val="20"/>
          <w:szCs w:val="20"/>
        </w:rPr>
        <w:t xml:space="preserve"> (1993), </w:t>
      </w:r>
      <w:r w:rsidRPr="00546FAB">
        <w:rPr>
          <w:rFonts w:ascii="Times New Roman" w:hAnsi="Times New Roman" w:cs="Times New Roman"/>
          <w:i/>
          <w:kern w:val="0"/>
          <w:sz w:val="20"/>
          <w:szCs w:val="20"/>
        </w:rPr>
        <w:t>HML</w:t>
      </w:r>
      <w:r w:rsidRPr="00546FAB">
        <w:rPr>
          <w:rFonts w:ascii="Times New Roman" w:hAnsi="Times New Roman" w:cs="Times New Roman"/>
          <w:kern w:val="0"/>
          <w:sz w:val="20"/>
          <w:szCs w:val="20"/>
        </w:rPr>
        <w:t xml:space="preserve"> and </w:t>
      </w:r>
      <w:r w:rsidRPr="00546FAB">
        <w:rPr>
          <w:rFonts w:ascii="Times New Roman" w:hAnsi="Times New Roman" w:cs="Times New Roman"/>
          <w:i/>
          <w:kern w:val="0"/>
          <w:sz w:val="20"/>
          <w:szCs w:val="20"/>
        </w:rPr>
        <w:t>SMB</w:t>
      </w:r>
      <w:r w:rsidRPr="00546FAB">
        <w:rPr>
          <w:rFonts w:ascii="Times New Roman" w:hAnsi="Times New Roman" w:cs="Times New Roman"/>
          <w:kern w:val="0"/>
          <w:sz w:val="20"/>
          <w:szCs w:val="20"/>
        </w:rPr>
        <w:t xml:space="preserve"> are constructed as follows. At the beginning of each July of year </w:t>
      </w:r>
      <w:r w:rsidRPr="00546FAB">
        <w:rPr>
          <w:rFonts w:ascii="Times New Roman" w:hAnsi="Times New Roman" w:cs="Times New Roman"/>
          <w:i/>
          <w:iCs/>
          <w:kern w:val="0"/>
          <w:sz w:val="20"/>
          <w:szCs w:val="20"/>
        </w:rPr>
        <w:t>t</w:t>
      </w:r>
      <w:r w:rsidRPr="00546FAB">
        <w:rPr>
          <w:rFonts w:ascii="Times New Roman" w:hAnsi="Times New Roman" w:cs="Times New Roman"/>
          <w:kern w:val="0"/>
          <w:sz w:val="20"/>
          <w:szCs w:val="20"/>
        </w:rPr>
        <w:t xml:space="preserve">, all stocks are allocated to two size groups (i.e., small and big, </w:t>
      </w:r>
      <w:r w:rsidRPr="00546FAB">
        <w:rPr>
          <w:rFonts w:ascii="Times New Roman" w:hAnsi="Times New Roman" w:cs="Times New Roman"/>
          <w:i/>
          <w:kern w:val="0"/>
          <w:sz w:val="20"/>
          <w:szCs w:val="20"/>
        </w:rPr>
        <w:t>S</w:t>
      </w:r>
      <w:r w:rsidRPr="00546FAB">
        <w:rPr>
          <w:rFonts w:ascii="Times New Roman" w:hAnsi="Times New Roman" w:cs="Times New Roman"/>
          <w:kern w:val="0"/>
          <w:sz w:val="20"/>
          <w:szCs w:val="20"/>
        </w:rPr>
        <w:t xml:space="preserve"> and </w:t>
      </w:r>
      <w:r w:rsidRPr="00546FAB">
        <w:rPr>
          <w:rFonts w:ascii="Times New Roman" w:hAnsi="Times New Roman" w:cs="Times New Roman"/>
          <w:i/>
          <w:kern w:val="0"/>
          <w:sz w:val="20"/>
          <w:szCs w:val="20"/>
        </w:rPr>
        <w:t>B</w:t>
      </w:r>
      <w:r w:rsidRPr="00546FAB">
        <w:rPr>
          <w:rFonts w:ascii="Times New Roman" w:hAnsi="Times New Roman" w:cs="Times New Roman"/>
          <w:kern w:val="0"/>
          <w:sz w:val="20"/>
          <w:szCs w:val="20"/>
        </w:rPr>
        <w:t xml:space="preserve">) based on whether their June of year </w:t>
      </w:r>
      <w:r w:rsidRPr="00546FAB">
        <w:rPr>
          <w:rFonts w:ascii="Times New Roman" w:hAnsi="Times New Roman" w:cs="Times New Roman"/>
          <w:i/>
          <w:iCs/>
          <w:kern w:val="0"/>
          <w:sz w:val="20"/>
          <w:szCs w:val="20"/>
        </w:rPr>
        <w:t>t</w:t>
      </w:r>
      <w:r w:rsidRPr="00546FAB">
        <w:rPr>
          <w:rFonts w:ascii="Times New Roman" w:hAnsi="Times New Roman" w:cs="Times New Roman"/>
          <w:kern w:val="0"/>
          <w:sz w:val="20"/>
          <w:szCs w:val="20"/>
        </w:rPr>
        <w:t xml:space="preserve">’s market equity is below or above the median market equity. Then, all stocks are independently allocated to three </w:t>
      </w:r>
      <w:r w:rsidRPr="00546FAB">
        <w:rPr>
          <w:rFonts w:ascii="Times New Roman" w:hAnsi="Times New Roman" w:cs="Times New Roman"/>
          <w:i/>
          <w:kern w:val="0"/>
          <w:sz w:val="20"/>
          <w:szCs w:val="20"/>
        </w:rPr>
        <w:t>BE/ME</w:t>
      </w:r>
      <w:r w:rsidRPr="00546FAB">
        <w:rPr>
          <w:rFonts w:ascii="Times New Roman" w:hAnsi="Times New Roman" w:cs="Times New Roman"/>
          <w:kern w:val="0"/>
          <w:sz w:val="20"/>
          <w:szCs w:val="20"/>
        </w:rPr>
        <w:t xml:space="preserve"> groups (i.e., low (</w:t>
      </w:r>
      <w:r w:rsidRPr="00546FAB">
        <w:rPr>
          <w:rFonts w:ascii="Times New Roman" w:hAnsi="Times New Roman" w:cs="Times New Roman"/>
          <w:i/>
          <w:kern w:val="0"/>
          <w:sz w:val="20"/>
          <w:szCs w:val="20"/>
        </w:rPr>
        <w:t>L</w:t>
      </w:r>
      <w:r w:rsidRPr="00546FAB">
        <w:rPr>
          <w:rFonts w:ascii="Times New Roman" w:hAnsi="Times New Roman" w:cs="Times New Roman"/>
          <w:kern w:val="0"/>
          <w:sz w:val="20"/>
          <w:szCs w:val="20"/>
        </w:rPr>
        <w:t>), medium (</w:t>
      </w:r>
      <w:r w:rsidRPr="00546FAB">
        <w:rPr>
          <w:rFonts w:ascii="Times New Roman" w:hAnsi="Times New Roman" w:cs="Times New Roman"/>
          <w:i/>
          <w:kern w:val="0"/>
          <w:sz w:val="20"/>
          <w:szCs w:val="20"/>
        </w:rPr>
        <w:t>M</w:t>
      </w:r>
      <w:r w:rsidRPr="00546FAB">
        <w:rPr>
          <w:rFonts w:ascii="Times New Roman" w:hAnsi="Times New Roman" w:cs="Times New Roman"/>
          <w:kern w:val="0"/>
          <w:sz w:val="20"/>
          <w:szCs w:val="20"/>
        </w:rPr>
        <w:t>), and high (</w:t>
      </w:r>
      <w:r w:rsidRPr="00546FAB">
        <w:rPr>
          <w:rFonts w:ascii="Times New Roman" w:hAnsi="Times New Roman" w:cs="Times New Roman"/>
          <w:i/>
          <w:kern w:val="0"/>
          <w:sz w:val="20"/>
          <w:szCs w:val="20"/>
        </w:rPr>
        <w:t>H</w:t>
      </w:r>
      <w:r w:rsidRPr="00546FAB">
        <w:rPr>
          <w:rFonts w:ascii="Times New Roman" w:hAnsi="Times New Roman" w:cs="Times New Roman"/>
          <w:kern w:val="0"/>
          <w:sz w:val="20"/>
          <w:szCs w:val="20"/>
        </w:rPr>
        <w:t xml:space="preserve">)) based on the breakpoints for the bottom 30%, middle 40%, and top 30% of the values of March of year </w:t>
      </w:r>
      <w:r w:rsidRPr="00546FAB">
        <w:rPr>
          <w:rFonts w:ascii="Times New Roman" w:hAnsi="Times New Roman" w:cs="Times New Roman"/>
          <w:i/>
          <w:iCs/>
          <w:kern w:val="0"/>
          <w:sz w:val="20"/>
          <w:szCs w:val="20"/>
        </w:rPr>
        <w:t>t</w:t>
      </w:r>
      <w:r w:rsidRPr="00546FAB">
        <w:rPr>
          <w:rFonts w:ascii="Times New Roman" w:hAnsi="Times New Roman" w:cs="Times New Roman"/>
          <w:kern w:val="0"/>
          <w:sz w:val="20"/>
          <w:szCs w:val="20"/>
        </w:rPr>
        <w:t xml:space="preserve">’s </w:t>
      </w:r>
      <w:r w:rsidRPr="00546FAB">
        <w:rPr>
          <w:rFonts w:ascii="Times New Roman" w:hAnsi="Times New Roman" w:cs="Times New Roman"/>
          <w:i/>
          <w:kern w:val="0"/>
          <w:sz w:val="20"/>
          <w:szCs w:val="20"/>
        </w:rPr>
        <w:t>BE/ME</w:t>
      </w:r>
      <w:r w:rsidRPr="00546FAB">
        <w:rPr>
          <w:rFonts w:ascii="Times New Roman" w:hAnsi="Times New Roman" w:cs="Times New Roman"/>
          <w:kern w:val="0"/>
          <w:sz w:val="20"/>
          <w:szCs w:val="20"/>
        </w:rPr>
        <w:t>. Six size/</w:t>
      </w:r>
      <w:r w:rsidRPr="00546FAB">
        <w:rPr>
          <w:rFonts w:ascii="Times New Roman" w:hAnsi="Times New Roman" w:cs="Times New Roman"/>
          <w:i/>
          <w:kern w:val="0"/>
          <w:sz w:val="20"/>
          <w:szCs w:val="20"/>
        </w:rPr>
        <w:t>BE/ME</w:t>
      </w:r>
      <w:r w:rsidRPr="00546FAB">
        <w:rPr>
          <w:rFonts w:ascii="Times New Roman" w:hAnsi="Times New Roman" w:cs="Times New Roman"/>
          <w:kern w:val="0"/>
          <w:sz w:val="20"/>
          <w:szCs w:val="20"/>
        </w:rPr>
        <w:t xml:space="preserve"> portfolios (i.e., </w:t>
      </w:r>
      <w:r w:rsidRPr="00546FAB">
        <w:rPr>
          <w:rFonts w:ascii="Times New Roman" w:hAnsi="Times New Roman" w:cs="Times New Roman"/>
          <w:i/>
          <w:kern w:val="0"/>
          <w:sz w:val="20"/>
          <w:szCs w:val="20"/>
        </w:rPr>
        <w:t>S/L</w:t>
      </w:r>
      <w:r w:rsidRPr="00546FAB">
        <w:rPr>
          <w:rFonts w:ascii="Times New Roman" w:hAnsi="Times New Roman" w:cs="Times New Roman"/>
          <w:kern w:val="0"/>
          <w:sz w:val="20"/>
          <w:szCs w:val="20"/>
        </w:rPr>
        <w:t xml:space="preserve">, </w:t>
      </w:r>
      <w:r w:rsidRPr="00546FAB">
        <w:rPr>
          <w:rFonts w:ascii="Times New Roman" w:hAnsi="Times New Roman" w:cs="Times New Roman"/>
          <w:i/>
          <w:kern w:val="0"/>
          <w:sz w:val="20"/>
          <w:szCs w:val="20"/>
        </w:rPr>
        <w:t>S/M</w:t>
      </w:r>
      <w:r w:rsidRPr="00546FAB">
        <w:rPr>
          <w:rFonts w:ascii="Times New Roman" w:hAnsi="Times New Roman" w:cs="Times New Roman"/>
          <w:kern w:val="0"/>
          <w:sz w:val="20"/>
          <w:szCs w:val="20"/>
        </w:rPr>
        <w:t xml:space="preserve">, </w:t>
      </w:r>
      <w:r w:rsidRPr="00546FAB">
        <w:rPr>
          <w:rFonts w:ascii="Times New Roman" w:hAnsi="Times New Roman" w:cs="Times New Roman"/>
          <w:i/>
          <w:kern w:val="0"/>
          <w:sz w:val="20"/>
          <w:szCs w:val="20"/>
        </w:rPr>
        <w:t>S/H</w:t>
      </w:r>
      <w:r w:rsidRPr="00546FAB">
        <w:rPr>
          <w:rFonts w:ascii="Times New Roman" w:hAnsi="Times New Roman" w:cs="Times New Roman"/>
          <w:kern w:val="0"/>
          <w:sz w:val="20"/>
          <w:szCs w:val="20"/>
        </w:rPr>
        <w:t xml:space="preserve">, </w:t>
      </w:r>
      <w:r w:rsidRPr="00546FAB">
        <w:rPr>
          <w:rFonts w:ascii="Times New Roman" w:hAnsi="Times New Roman" w:cs="Times New Roman"/>
          <w:i/>
          <w:kern w:val="0"/>
          <w:sz w:val="20"/>
          <w:szCs w:val="20"/>
        </w:rPr>
        <w:t>B/L</w:t>
      </w:r>
      <w:r w:rsidRPr="00546FAB">
        <w:rPr>
          <w:rFonts w:ascii="Times New Roman" w:hAnsi="Times New Roman" w:cs="Times New Roman"/>
          <w:kern w:val="0"/>
          <w:sz w:val="20"/>
          <w:szCs w:val="20"/>
        </w:rPr>
        <w:t xml:space="preserve">, </w:t>
      </w:r>
      <w:r w:rsidRPr="00546FAB">
        <w:rPr>
          <w:rFonts w:ascii="Times New Roman" w:hAnsi="Times New Roman" w:cs="Times New Roman"/>
          <w:i/>
          <w:kern w:val="0"/>
          <w:sz w:val="20"/>
          <w:szCs w:val="20"/>
        </w:rPr>
        <w:t>B/M</w:t>
      </w:r>
      <w:r w:rsidRPr="00546FAB">
        <w:rPr>
          <w:rFonts w:ascii="Times New Roman" w:hAnsi="Times New Roman" w:cs="Times New Roman"/>
          <w:kern w:val="0"/>
          <w:sz w:val="20"/>
          <w:szCs w:val="20"/>
        </w:rPr>
        <w:t xml:space="preserve">, and </w:t>
      </w:r>
      <w:r w:rsidRPr="00546FAB">
        <w:rPr>
          <w:rFonts w:ascii="Times New Roman" w:hAnsi="Times New Roman" w:cs="Times New Roman"/>
          <w:i/>
          <w:kern w:val="0"/>
          <w:sz w:val="20"/>
          <w:szCs w:val="20"/>
        </w:rPr>
        <w:t>B/H</w:t>
      </w:r>
      <w:r w:rsidRPr="00546FAB">
        <w:rPr>
          <w:rFonts w:ascii="Times New Roman" w:hAnsi="Times New Roman" w:cs="Times New Roman"/>
          <w:kern w:val="0"/>
          <w:sz w:val="20"/>
          <w:szCs w:val="20"/>
        </w:rPr>
        <w:t xml:space="preserve">) are constructed from the intersections of the two size and the three </w:t>
      </w:r>
      <w:r w:rsidRPr="00546FAB">
        <w:rPr>
          <w:rFonts w:ascii="Times New Roman" w:hAnsi="Times New Roman" w:cs="Times New Roman"/>
          <w:i/>
          <w:kern w:val="0"/>
          <w:sz w:val="20"/>
          <w:szCs w:val="20"/>
        </w:rPr>
        <w:t>BE/ME</w:t>
      </w:r>
      <w:r w:rsidRPr="00546FAB">
        <w:rPr>
          <w:rFonts w:ascii="Times New Roman" w:hAnsi="Times New Roman" w:cs="Times New Roman"/>
          <w:kern w:val="0"/>
          <w:sz w:val="20"/>
          <w:szCs w:val="20"/>
        </w:rPr>
        <w:t xml:space="preserve"> groups. Their value-weighted returns are calculated from </w:t>
      </w:r>
      <w:r w:rsidRPr="00546FAB">
        <w:rPr>
          <w:rFonts w:ascii="Times New Roman" w:hAnsi="Times New Roman" w:cs="Times New Roman"/>
          <w:i/>
          <w:iCs/>
          <w:kern w:val="0"/>
          <w:sz w:val="20"/>
          <w:szCs w:val="20"/>
        </w:rPr>
        <w:t>t</w:t>
      </w:r>
      <w:r w:rsidRPr="00546FAB">
        <w:rPr>
          <w:rFonts w:ascii="Times New Roman" w:hAnsi="Times New Roman" w:cs="Times New Roman"/>
          <w:kern w:val="0"/>
          <w:sz w:val="20"/>
          <w:szCs w:val="20"/>
        </w:rPr>
        <w:t xml:space="preserve">’s July to the </w:t>
      </w:r>
      <w:r w:rsidRPr="00546FAB">
        <w:rPr>
          <w:rFonts w:ascii="Times New Roman" w:hAnsi="Times New Roman" w:cs="Times New Roman"/>
          <w:i/>
          <w:iCs/>
          <w:kern w:val="0"/>
          <w:sz w:val="20"/>
          <w:szCs w:val="20"/>
        </w:rPr>
        <w:t>t</w:t>
      </w:r>
      <w:r w:rsidRPr="00546FAB">
        <w:rPr>
          <w:rFonts w:ascii="Times New Roman" w:hAnsi="Times New Roman" w:cs="Times New Roman"/>
          <w:kern w:val="0"/>
          <w:sz w:val="20"/>
          <w:szCs w:val="20"/>
        </w:rPr>
        <w:t xml:space="preserve">+1’s June, the first 12 months after formation. The portfolio return </w:t>
      </w:r>
      <w:r w:rsidRPr="00546FAB">
        <w:rPr>
          <w:rFonts w:ascii="Times New Roman" w:hAnsi="Times New Roman" w:cs="Times New Roman"/>
          <w:i/>
          <w:kern w:val="0"/>
          <w:sz w:val="20"/>
          <w:szCs w:val="20"/>
        </w:rPr>
        <w:t>HML</w:t>
      </w:r>
      <w:r w:rsidRPr="00546FAB">
        <w:rPr>
          <w:rFonts w:ascii="Times New Roman" w:hAnsi="Times New Roman" w:cs="Times New Roman"/>
          <w:kern w:val="0"/>
          <w:sz w:val="20"/>
          <w:szCs w:val="20"/>
        </w:rPr>
        <w:t xml:space="preserve"> is the difference between the average returns on the </w:t>
      </w:r>
      <w:r w:rsidRPr="00546FAB">
        <w:rPr>
          <w:rFonts w:ascii="Times New Roman" w:hAnsi="Times New Roman" w:cs="Times New Roman"/>
          <w:i/>
          <w:kern w:val="0"/>
          <w:sz w:val="20"/>
          <w:szCs w:val="20"/>
        </w:rPr>
        <w:t>S/H</w:t>
      </w:r>
      <w:r w:rsidRPr="00546FAB">
        <w:rPr>
          <w:rFonts w:ascii="Times New Roman" w:hAnsi="Times New Roman" w:cs="Times New Roman"/>
          <w:kern w:val="0"/>
          <w:sz w:val="20"/>
          <w:szCs w:val="20"/>
        </w:rPr>
        <w:t xml:space="preserve"> and </w:t>
      </w:r>
      <w:r w:rsidRPr="00546FAB">
        <w:rPr>
          <w:rFonts w:ascii="Times New Roman" w:hAnsi="Times New Roman" w:cs="Times New Roman"/>
          <w:i/>
          <w:kern w:val="0"/>
          <w:sz w:val="20"/>
          <w:szCs w:val="20"/>
        </w:rPr>
        <w:t>B/H</w:t>
      </w:r>
      <w:r w:rsidRPr="00546FAB">
        <w:rPr>
          <w:rFonts w:ascii="Times New Roman" w:hAnsi="Times New Roman" w:cs="Times New Roman"/>
          <w:kern w:val="0"/>
          <w:sz w:val="20"/>
          <w:szCs w:val="20"/>
        </w:rPr>
        <w:t xml:space="preserve"> portfolios and the average returns on the </w:t>
      </w:r>
      <w:r w:rsidRPr="00546FAB">
        <w:rPr>
          <w:rFonts w:ascii="Times New Roman" w:hAnsi="Times New Roman" w:cs="Times New Roman"/>
          <w:i/>
          <w:kern w:val="0"/>
          <w:sz w:val="20"/>
          <w:szCs w:val="20"/>
        </w:rPr>
        <w:t>S/L</w:t>
      </w:r>
      <w:r w:rsidRPr="00546FAB">
        <w:rPr>
          <w:rFonts w:ascii="Times New Roman" w:hAnsi="Times New Roman" w:cs="Times New Roman"/>
          <w:kern w:val="0"/>
          <w:sz w:val="20"/>
          <w:szCs w:val="20"/>
        </w:rPr>
        <w:t xml:space="preserve"> and </w:t>
      </w:r>
      <w:r w:rsidRPr="00546FAB">
        <w:rPr>
          <w:rFonts w:ascii="Times New Roman" w:hAnsi="Times New Roman" w:cs="Times New Roman"/>
          <w:i/>
          <w:kern w:val="0"/>
          <w:sz w:val="20"/>
          <w:szCs w:val="20"/>
        </w:rPr>
        <w:t>B/L</w:t>
      </w:r>
      <w:r w:rsidRPr="00546FAB">
        <w:rPr>
          <w:rFonts w:ascii="Times New Roman" w:hAnsi="Times New Roman" w:cs="Times New Roman"/>
          <w:kern w:val="0"/>
          <w:sz w:val="20"/>
          <w:szCs w:val="20"/>
        </w:rPr>
        <w:t xml:space="preserve"> portfolios. Similarly, </w:t>
      </w:r>
      <w:r w:rsidRPr="00546FAB">
        <w:rPr>
          <w:rFonts w:ascii="Times New Roman" w:hAnsi="Times New Roman" w:cs="Times New Roman"/>
          <w:i/>
          <w:kern w:val="0"/>
          <w:sz w:val="20"/>
          <w:szCs w:val="20"/>
        </w:rPr>
        <w:t>SMB</w:t>
      </w:r>
      <w:r w:rsidRPr="00546FAB">
        <w:rPr>
          <w:rFonts w:ascii="Times New Roman" w:hAnsi="Times New Roman" w:cs="Times New Roman"/>
          <w:kern w:val="0"/>
          <w:sz w:val="20"/>
          <w:szCs w:val="20"/>
        </w:rPr>
        <w:t xml:space="preserve"> is the difference between the average returns on the </w:t>
      </w:r>
      <w:r w:rsidRPr="00546FAB">
        <w:rPr>
          <w:rFonts w:ascii="Times New Roman" w:hAnsi="Times New Roman" w:cs="Times New Roman"/>
          <w:i/>
          <w:kern w:val="0"/>
          <w:sz w:val="20"/>
          <w:szCs w:val="20"/>
        </w:rPr>
        <w:t>S/L</w:t>
      </w:r>
      <w:r w:rsidRPr="00546FAB">
        <w:rPr>
          <w:rFonts w:ascii="Times New Roman" w:hAnsi="Times New Roman" w:cs="Times New Roman"/>
          <w:kern w:val="0"/>
          <w:sz w:val="20"/>
          <w:szCs w:val="20"/>
        </w:rPr>
        <w:t xml:space="preserve">, </w:t>
      </w:r>
      <w:r w:rsidRPr="00546FAB">
        <w:rPr>
          <w:rFonts w:ascii="Times New Roman" w:hAnsi="Times New Roman" w:cs="Times New Roman"/>
          <w:i/>
          <w:kern w:val="0"/>
          <w:sz w:val="20"/>
          <w:szCs w:val="20"/>
        </w:rPr>
        <w:t>S/M</w:t>
      </w:r>
      <w:r w:rsidRPr="00546FAB">
        <w:rPr>
          <w:rFonts w:ascii="Times New Roman" w:hAnsi="Times New Roman" w:cs="Times New Roman"/>
          <w:kern w:val="0"/>
          <w:sz w:val="20"/>
          <w:szCs w:val="20"/>
        </w:rPr>
        <w:t xml:space="preserve">, and </w:t>
      </w:r>
      <w:r w:rsidRPr="00546FAB">
        <w:rPr>
          <w:rFonts w:ascii="Times New Roman" w:hAnsi="Times New Roman" w:cs="Times New Roman"/>
          <w:i/>
          <w:kern w:val="0"/>
          <w:sz w:val="20"/>
          <w:szCs w:val="20"/>
        </w:rPr>
        <w:t>S/H</w:t>
      </w:r>
      <w:r w:rsidRPr="00546FAB">
        <w:rPr>
          <w:rFonts w:ascii="Times New Roman" w:hAnsi="Times New Roman" w:cs="Times New Roman"/>
          <w:kern w:val="0"/>
          <w:sz w:val="20"/>
          <w:szCs w:val="20"/>
        </w:rPr>
        <w:t xml:space="preserve"> portfolios and the average returns on the </w:t>
      </w:r>
      <w:r w:rsidRPr="00546FAB">
        <w:rPr>
          <w:rFonts w:ascii="Times New Roman" w:hAnsi="Times New Roman" w:cs="Times New Roman"/>
          <w:i/>
          <w:kern w:val="0"/>
          <w:sz w:val="20"/>
          <w:szCs w:val="20"/>
        </w:rPr>
        <w:t>B/L</w:t>
      </w:r>
      <w:r w:rsidRPr="00546FAB">
        <w:rPr>
          <w:rFonts w:ascii="Times New Roman" w:hAnsi="Times New Roman" w:cs="Times New Roman"/>
          <w:kern w:val="0"/>
          <w:sz w:val="20"/>
          <w:szCs w:val="20"/>
        </w:rPr>
        <w:t xml:space="preserve">, </w:t>
      </w:r>
      <w:r w:rsidRPr="00546FAB">
        <w:rPr>
          <w:rFonts w:ascii="Times New Roman" w:hAnsi="Times New Roman" w:cs="Times New Roman"/>
          <w:i/>
          <w:kern w:val="0"/>
          <w:sz w:val="20"/>
          <w:szCs w:val="20"/>
        </w:rPr>
        <w:t>B/M</w:t>
      </w:r>
      <w:r w:rsidRPr="00546FAB">
        <w:rPr>
          <w:rFonts w:ascii="Times New Roman" w:hAnsi="Times New Roman" w:cs="Times New Roman"/>
          <w:kern w:val="0"/>
          <w:sz w:val="20"/>
          <w:szCs w:val="20"/>
        </w:rPr>
        <w:t xml:space="preserve">, and </w:t>
      </w:r>
      <w:r w:rsidRPr="00546FAB">
        <w:rPr>
          <w:rFonts w:ascii="Times New Roman" w:hAnsi="Times New Roman" w:cs="Times New Roman"/>
          <w:i/>
          <w:kern w:val="0"/>
          <w:sz w:val="20"/>
          <w:szCs w:val="20"/>
        </w:rPr>
        <w:t>B/H</w:t>
      </w:r>
      <w:r w:rsidRPr="00546FAB">
        <w:rPr>
          <w:rFonts w:ascii="Times New Roman" w:hAnsi="Times New Roman" w:cs="Times New Roman"/>
          <w:kern w:val="0"/>
          <w:sz w:val="20"/>
          <w:szCs w:val="20"/>
        </w:rPr>
        <w:t xml:space="preserve"> portfolios. We construct the returns on winner minus loser (</w:t>
      </w:r>
      <w:r w:rsidRPr="00546FAB">
        <w:rPr>
          <w:rFonts w:ascii="Times New Roman" w:hAnsi="Times New Roman" w:cs="Times New Roman"/>
          <w:i/>
          <w:kern w:val="0"/>
          <w:sz w:val="20"/>
          <w:szCs w:val="20"/>
        </w:rPr>
        <w:t>WML)</w:t>
      </w:r>
      <w:r w:rsidRPr="00546FAB">
        <w:rPr>
          <w:rFonts w:ascii="Times New Roman" w:hAnsi="Times New Roman" w:cs="Times New Roman"/>
          <w:kern w:val="0"/>
          <w:sz w:val="20"/>
          <w:szCs w:val="20"/>
        </w:rPr>
        <w:t xml:space="preserve"> as long–short portfolios using momentum information while not holding the other two attributes (i.e., size and </w:t>
      </w:r>
      <w:r w:rsidRPr="00546FAB">
        <w:rPr>
          <w:rFonts w:ascii="Times New Roman" w:hAnsi="Times New Roman" w:cs="Times New Roman"/>
          <w:i/>
          <w:kern w:val="0"/>
          <w:sz w:val="20"/>
          <w:szCs w:val="20"/>
        </w:rPr>
        <w:t>BE/ME</w:t>
      </w:r>
      <w:r w:rsidRPr="00546FAB">
        <w:rPr>
          <w:rFonts w:ascii="Times New Roman" w:hAnsi="Times New Roman" w:cs="Times New Roman"/>
          <w:kern w:val="0"/>
          <w:sz w:val="20"/>
          <w:szCs w:val="20"/>
        </w:rPr>
        <w:t xml:space="preserve"> ratio) constant. </w:t>
      </w:r>
      <w:r w:rsidRPr="00546FAB">
        <w:rPr>
          <w:rFonts w:ascii="Times New Roman" w:hAnsi="Times New Roman" w:cs="Times New Roman"/>
          <w:i/>
          <w:color w:val="000000"/>
          <w:sz w:val="20"/>
          <w:szCs w:val="20"/>
        </w:rPr>
        <w:t>WML</w:t>
      </w:r>
      <w:r w:rsidRPr="00546FAB">
        <w:rPr>
          <w:rFonts w:ascii="Times New Roman" w:hAnsi="Times New Roman" w:cs="Times New Roman"/>
          <w:color w:val="000000"/>
          <w:sz w:val="20"/>
          <w:szCs w:val="20"/>
        </w:rPr>
        <w:t xml:space="preserve"> is constructed as follows. A</w:t>
      </w:r>
      <w:r w:rsidRPr="00546FAB">
        <w:rPr>
          <w:rFonts w:ascii="Times New Roman" w:hAnsi="Times New Roman" w:cs="Times New Roman"/>
          <w:sz w:val="20"/>
          <w:szCs w:val="20"/>
        </w:rPr>
        <w:t xml:space="preserve">t the beginning of July of year </w:t>
      </w:r>
      <w:r w:rsidRPr="00546FAB">
        <w:rPr>
          <w:rFonts w:ascii="Times New Roman" w:hAnsi="Times New Roman" w:cs="Times New Roman"/>
          <w:i/>
          <w:iCs/>
          <w:sz w:val="20"/>
          <w:szCs w:val="20"/>
        </w:rPr>
        <w:t>t</w:t>
      </w:r>
      <w:r w:rsidRPr="00546FAB">
        <w:rPr>
          <w:rFonts w:ascii="Times New Roman" w:hAnsi="Times New Roman" w:cs="Times New Roman"/>
          <w:sz w:val="20"/>
          <w:szCs w:val="20"/>
        </w:rPr>
        <w:t xml:space="preserve">, each stock in a given sample is assigned to one of the five portfolios based on its prior 12-month cumulative returns. Portfolio “Loser” (“Winner”) refers to the portfolio with the lowest (highest) prior 12-month cumulative returns. </w:t>
      </w:r>
      <w:r w:rsidRPr="00546FAB">
        <w:rPr>
          <w:rFonts w:ascii="Times New Roman" w:hAnsi="Times New Roman" w:cs="Times New Roman"/>
          <w:i/>
          <w:sz w:val="20"/>
          <w:szCs w:val="20"/>
        </w:rPr>
        <w:t>WML</w:t>
      </w:r>
      <w:r w:rsidRPr="00546FAB">
        <w:rPr>
          <w:rFonts w:ascii="Times New Roman" w:hAnsi="Times New Roman" w:cs="Times New Roman"/>
          <w:sz w:val="20"/>
          <w:szCs w:val="20"/>
        </w:rPr>
        <w:t xml:space="preserve"> denotes the zero-investment portfolio formed by buying the past winner portfolio and short selling the past loser portfolio. The portfolio returns are value weighted.</w:t>
      </w:r>
      <w:r w:rsidRPr="00546FAB">
        <w:rPr>
          <w:rFonts w:ascii="Times New Roman" w:hAnsi="Times New Roman" w:cs="Times New Roman"/>
          <w:kern w:val="0"/>
          <w:sz w:val="20"/>
          <w:szCs w:val="20"/>
        </w:rPr>
        <w:t xml:space="preserve"> </w:t>
      </w:r>
    </w:p>
  </w:footnote>
  <w:footnote w:id="8">
    <w:p w:rsidR="00523FB7" w:rsidRDefault="00523FB7" w:rsidP="00E06796">
      <w:pPr>
        <w:pStyle w:val="FootnoteText"/>
        <w:jc w:val="both"/>
      </w:pPr>
      <w:r w:rsidRPr="00546FAB">
        <w:rPr>
          <w:rStyle w:val="FootnoteReference"/>
        </w:rPr>
        <w:footnoteRef/>
      </w:r>
      <w:r w:rsidRPr="00546FAB">
        <w:t xml:space="preserve"> We also calculate a one-dimensional benchmark-adjusted return, that is, </w:t>
      </w:r>
      <w:r w:rsidRPr="00546FAB">
        <w:rPr>
          <w:i/>
        </w:rPr>
        <w:t>AdjDITH</w:t>
      </w:r>
      <w:r w:rsidRPr="00546FAB">
        <w:t xml:space="preserve"> and </w:t>
      </w:r>
      <w:r w:rsidRPr="00546FAB">
        <w:rPr>
          <w:i/>
        </w:rPr>
        <w:t>AdjDIND</w:t>
      </w:r>
      <w:r w:rsidRPr="00546FAB">
        <w:t xml:space="preserve"> separately. First, we form 10 decile portfolios based on </w:t>
      </w:r>
      <w:r w:rsidRPr="00546FAB">
        <w:rPr>
          <w:i/>
        </w:rPr>
        <w:t>AdjDITH</w:t>
      </w:r>
      <w:r w:rsidRPr="00546FAB">
        <w:t xml:space="preserve"> (or </w:t>
      </w:r>
      <w:r w:rsidRPr="00546FAB">
        <w:rPr>
          <w:i/>
        </w:rPr>
        <w:t>AdjDIND</w:t>
      </w:r>
      <w:r w:rsidRPr="00546FAB">
        <w:t xml:space="preserve">). Second, the monthly abnormal return for each stock is the difference between the stock’s monthly raw return and its monthly </w:t>
      </w:r>
      <w:r w:rsidRPr="00546FAB">
        <w:rPr>
          <w:i/>
        </w:rPr>
        <w:t>AdjDITH</w:t>
      </w:r>
      <w:r w:rsidRPr="00546FAB">
        <w:t xml:space="preserve"> (or </w:t>
      </w:r>
      <w:r w:rsidRPr="00546FAB">
        <w:rPr>
          <w:i/>
        </w:rPr>
        <w:t>AdjDIND</w:t>
      </w:r>
      <w:r w:rsidRPr="00546FAB">
        <w:t xml:space="preserve">) benchmark portfolio return.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077"/>
    <w:multiLevelType w:val="hybridMultilevel"/>
    <w:tmpl w:val="F8F42A5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D687724"/>
    <w:multiLevelType w:val="hybridMultilevel"/>
    <w:tmpl w:val="E09C609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362A2463"/>
    <w:multiLevelType w:val="hybridMultilevel"/>
    <w:tmpl w:val="4382342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48C572B4"/>
    <w:multiLevelType w:val="multilevel"/>
    <w:tmpl w:val="41CE0598"/>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nsid w:val="4B33349B"/>
    <w:multiLevelType w:val="hybridMultilevel"/>
    <w:tmpl w:val="C9B6F75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600454FE"/>
    <w:multiLevelType w:val="multilevel"/>
    <w:tmpl w:val="DFCAD4BE"/>
    <w:lvl w:ilvl="0">
      <w:start w:val="1"/>
      <w:numFmt w:val="decimal"/>
      <w:lvlText w:val="%1."/>
      <w:lvlJc w:val="left"/>
      <w:pPr>
        <w:ind w:left="360" w:hanging="360"/>
      </w:pPr>
      <w:rPr>
        <w:rFonts w:cs="Times New Roman" w:hint="default"/>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FF5"/>
    <w:rsid w:val="00000BFF"/>
    <w:rsid w:val="00001AE7"/>
    <w:rsid w:val="000035C2"/>
    <w:rsid w:val="00003F04"/>
    <w:rsid w:val="000051D9"/>
    <w:rsid w:val="00005536"/>
    <w:rsid w:val="000064F9"/>
    <w:rsid w:val="00012313"/>
    <w:rsid w:val="00014537"/>
    <w:rsid w:val="00014F41"/>
    <w:rsid w:val="000178A5"/>
    <w:rsid w:val="00021614"/>
    <w:rsid w:val="000227EA"/>
    <w:rsid w:val="00023088"/>
    <w:rsid w:val="00024C00"/>
    <w:rsid w:val="00026DF6"/>
    <w:rsid w:val="0003341A"/>
    <w:rsid w:val="00034921"/>
    <w:rsid w:val="00034D9D"/>
    <w:rsid w:val="00035E77"/>
    <w:rsid w:val="00036008"/>
    <w:rsid w:val="00036A8F"/>
    <w:rsid w:val="000376D2"/>
    <w:rsid w:val="00040AA1"/>
    <w:rsid w:val="00041A30"/>
    <w:rsid w:val="00043FEB"/>
    <w:rsid w:val="0004565A"/>
    <w:rsid w:val="00045DE8"/>
    <w:rsid w:val="00046DC6"/>
    <w:rsid w:val="00050FD0"/>
    <w:rsid w:val="00051BBF"/>
    <w:rsid w:val="000524FB"/>
    <w:rsid w:val="0005296F"/>
    <w:rsid w:val="0005422D"/>
    <w:rsid w:val="0005480D"/>
    <w:rsid w:val="00054A8D"/>
    <w:rsid w:val="00054D6E"/>
    <w:rsid w:val="00055CBD"/>
    <w:rsid w:val="0005650A"/>
    <w:rsid w:val="00060BCE"/>
    <w:rsid w:val="00062947"/>
    <w:rsid w:val="0007032B"/>
    <w:rsid w:val="00071B14"/>
    <w:rsid w:val="00072916"/>
    <w:rsid w:val="00074774"/>
    <w:rsid w:val="00077F2E"/>
    <w:rsid w:val="000817FE"/>
    <w:rsid w:val="000819C3"/>
    <w:rsid w:val="0008276F"/>
    <w:rsid w:val="00083A8D"/>
    <w:rsid w:val="0008444E"/>
    <w:rsid w:val="00084F29"/>
    <w:rsid w:val="000851F9"/>
    <w:rsid w:val="00086E8C"/>
    <w:rsid w:val="0009105C"/>
    <w:rsid w:val="00091462"/>
    <w:rsid w:val="00091729"/>
    <w:rsid w:val="00096346"/>
    <w:rsid w:val="000A04EF"/>
    <w:rsid w:val="000A2418"/>
    <w:rsid w:val="000A3600"/>
    <w:rsid w:val="000A489E"/>
    <w:rsid w:val="000A57A6"/>
    <w:rsid w:val="000A58F8"/>
    <w:rsid w:val="000A5E48"/>
    <w:rsid w:val="000A60AF"/>
    <w:rsid w:val="000A65B1"/>
    <w:rsid w:val="000A6975"/>
    <w:rsid w:val="000A7127"/>
    <w:rsid w:val="000B1234"/>
    <w:rsid w:val="000B2333"/>
    <w:rsid w:val="000B446B"/>
    <w:rsid w:val="000B68FB"/>
    <w:rsid w:val="000B6D8D"/>
    <w:rsid w:val="000B6F39"/>
    <w:rsid w:val="000B7D74"/>
    <w:rsid w:val="000C0B93"/>
    <w:rsid w:val="000C221F"/>
    <w:rsid w:val="000C2A8F"/>
    <w:rsid w:val="000C6B59"/>
    <w:rsid w:val="000C7000"/>
    <w:rsid w:val="000C76E3"/>
    <w:rsid w:val="000D0605"/>
    <w:rsid w:val="000D354E"/>
    <w:rsid w:val="000D7D05"/>
    <w:rsid w:val="000E1721"/>
    <w:rsid w:val="000E1BBB"/>
    <w:rsid w:val="000E457C"/>
    <w:rsid w:val="000E4716"/>
    <w:rsid w:val="000E71F0"/>
    <w:rsid w:val="000F18A1"/>
    <w:rsid w:val="000F1C00"/>
    <w:rsid w:val="000F21AE"/>
    <w:rsid w:val="000F25EB"/>
    <w:rsid w:val="000F2E29"/>
    <w:rsid w:val="000F2E4B"/>
    <w:rsid w:val="000F3584"/>
    <w:rsid w:val="000F4D10"/>
    <w:rsid w:val="000F5958"/>
    <w:rsid w:val="000F6A70"/>
    <w:rsid w:val="000F6EF7"/>
    <w:rsid w:val="00100523"/>
    <w:rsid w:val="00101B96"/>
    <w:rsid w:val="00101C2B"/>
    <w:rsid w:val="00102942"/>
    <w:rsid w:val="00104E2D"/>
    <w:rsid w:val="00107639"/>
    <w:rsid w:val="00107FBA"/>
    <w:rsid w:val="00111360"/>
    <w:rsid w:val="0011210B"/>
    <w:rsid w:val="00112370"/>
    <w:rsid w:val="00112652"/>
    <w:rsid w:val="001126A3"/>
    <w:rsid w:val="00112CF1"/>
    <w:rsid w:val="00117D5C"/>
    <w:rsid w:val="001260D5"/>
    <w:rsid w:val="00127137"/>
    <w:rsid w:val="00132AD6"/>
    <w:rsid w:val="00134F15"/>
    <w:rsid w:val="00136AF5"/>
    <w:rsid w:val="0014057F"/>
    <w:rsid w:val="00141D91"/>
    <w:rsid w:val="0015002C"/>
    <w:rsid w:val="0015009C"/>
    <w:rsid w:val="00152A1E"/>
    <w:rsid w:val="001577BB"/>
    <w:rsid w:val="0016025D"/>
    <w:rsid w:val="001602E8"/>
    <w:rsid w:val="0016251B"/>
    <w:rsid w:val="0016325D"/>
    <w:rsid w:val="00164824"/>
    <w:rsid w:val="0017025B"/>
    <w:rsid w:val="00171651"/>
    <w:rsid w:val="001718F1"/>
    <w:rsid w:val="0017381C"/>
    <w:rsid w:val="00173CCE"/>
    <w:rsid w:val="00174CA1"/>
    <w:rsid w:val="001750AA"/>
    <w:rsid w:val="001773F6"/>
    <w:rsid w:val="00177D7B"/>
    <w:rsid w:val="00177F16"/>
    <w:rsid w:val="00181A6D"/>
    <w:rsid w:val="00183A21"/>
    <w:rsid w:val="00185637"/>
    <w:rsid w:val="00186130"/>
    <w:rsid w:val="00186615"/>
    <w:rsid w:val="00186BA2"/>
    <w:rsid w:val="00186DE6"/>
    <w:rsid w:val="00187E0F"/>
    <w:rsid w:val="00190042"/>
    <w:rsid w:val="001909F4"/>
    <w:rsid w:val="00190AB5"/>
    <w:rsid w:val="00191B4A"/>
    <w:rsid w:val="00191BB9"/>
    <w:rsid w:val="00191C32"/>
    <w:rsid w:val="00194558"/>
    <w:rsid w:val="00194A75"/>
    <w:rsid w:val="001964B3"/>
    <w:rsid w:val="0019663E"/>
    <w:rsid w:val="0019698A"/>
    <w:rsid w:val="00197AFF"/>
    <w:rsid w:val="001A1D24"/>
    <w:rsid w:val="001A1D44"/>
    <w:rsid w:val="001A3C1C"/>
    <w:rsid w:val="001A4A98"/>
    <w:rsid w:val="001A5972"/>
    <w:rsid w:val="001A5EA9"/>
    <w:rsid w:val="001A7ED1"/>
    <w:rsid w:val="001B4104"/>
    <w:rsid w:val="001B56A5"/>
    <w:rsid w:val="001B6350"/>
    <w:rsid w:val="001B6448"/>
    <w:rsid w:val="001C019B"/>
    <w:rsid w:val="001C1CF9"/>
    <w:rsid w:val="001C2053"/>
    <w:rsid w:val="001C3756"/>
    <w:rsid w:val="001C3D9D"/>
    <w:rsid w:val="001C6248"/>
    <w:rsid w:val="001C693F"/>
    <w:rsid w:val="001C6EC5"/>
    <w:rsid w:val="001D047B"/>
    <w:rsid w:val="001D1F41"/>
    <w:rsid w:val="001D2CB8"/>
    <w:rsid w:val="001D3AAE"/>
    <w:rsid w:val="001D67E8"/>
    <w:rsid w:val="001D779F"/>
    <w:rsid w:val="001E0394"/>
    <w:rsid w:val="001E0945"/>
    <w:rsid w:val="001E1780"/>
    <w:rsid w:val="001E1C93"/>
    <w:rsid w:val="001E2375"/>
    <w:rsid w:val="001E3703"/>
    <w:rsid w:val="001E4F1C"/>
    <w:rsid w:val="001E5AED"/>
    <w:rsid w:val="001F0D1D"/>
    <w:rsid w:val="001F21CE"/>
    <w:rsid w:val="001F26CF"/>
    <w:rsid w:val="001F276E"/>
    <w:rsid w:val="001F2D10"/>
    <w:rsid w:val="001F37BA"/>
    <w:rsid w:val="001F3D66"/>
    <w:rsid w:val="001F635D"/>
    <w:rsid w:val="001F7CFC"/>
    <w:rsid w:val="00200B6E"/>
    <w:rsid w:val="00200CFC"/>
    <w:rsid w:val="00201696"/>
    <w:rsid w:val="002038A2"/>
    <w:rsid w:val="00205CFB"/>
    <w:rsid w:val="002064F7"/>
    <w:rsid w:val="0020740E"/>
    <w:rsid w:val="002118CB"/>
    <w:rsid w:val="0021483D"/>
    <w:rsid w:val="002154DC"/>
    <w:rsid w:val="002155B4"/>
    <w:rsid w:val="00217FC3"/>
    <w:rsid w:val="00222041"/>
    <w:rsid w:val="00223370"/>
    <w:rsid w:val="002233E7"/>
    <w:rsid w:val="002242A6"/>
    <w:rsid w:val="00227F2A"/>
    <w:rsid w:val="00231B5B"/>
    <w:rsid w:val="00232BC5"/>
    <w:rsid w:val="00233720"/>
    <w:rsid w:val="00234DB1"/>
    <w:rsid w:val="0023501C"/>
    <w:rsid w:val="00235F5B"/>
    <w:rsid w:val="00237346"/>
    <w:rsid w:val="00237951"/>
    <w:rsid w:val="00240460"/>
    <w:rsid w:val="0024280F"/>
    <w:rsid w:val="00242A02"/>
    <w:rsid w:val="00244618"/>
    <w:rsid w:val="00250CC5"/>
    <w:rsid w:val="002515B0"/>
    <w:rsid w:val="00254202"/>
    <w:rsid w:val="0025562C"/>
    <w:rsid w:val="00255AD1"/>
    <w:rsid w:val="0026288F"/>
    <w:rsid w:val="00266629"/>
    <w:rsid w:val="00266A25"/>
    <w:rsid w:val="00266D60"/>
    <w:rsid w:val="002703CF"/>
    <w:rsid w:val="00271206"/>
    <w:rsid w:val="00277817"/>
    <w:rsid w:val="002814B0"/>
    <w:rsid w:val="0028272D"/>
    <w:rsid w:val="002852D9"/>
    <w:rsid w:val="0028787A"/>
    <w:rsid w:val="00292F45"/>
    <w:rsid w:val="002934E2"/>
    <w:rsid w:val="00293583"/>
    <w:rsid w:val="002939EE"/>
    <w:rsid w:val="0029461E"/>
    <w:rsid w:val="002948CC"/>
    <w:rsid w:val="00294A03"/>
    <w:rsid w:val="00295CF8"/>
    <w:rsid w:val="00295D95"/>
    <w:rsid w:val="00297BFC"/>
    <w:rsid w:val="002A0954"/>
    <w:rsid w:val="002A13A7"/>
    <w:rsid w:val="002A3D66"/>
    <w:rsid w:val="002A62D7"/>
    <w:rsid w:val="002A65B1"/>
    <w:rsid w:val="002A7421"/>
    <w:rsid w:val="002B07DE"/>
    <w:rsid w:val="002B0EFC"/>
    <w:rsid w:val="002B39E3"/>
    <w:rsid w:val="002B417C"/>
    <w:rsid w:val="002B41AF"/>
    <w:rsid w:val="002B601F"/>
    <w:rsid w:val="002C0DF5"/>
    <w:rsid w:val="002C0FB5"/>
    <w:rsid w:val="002C14A1"/>
    <w:rsid w:val="002C5986"/>
    <w:rsid w:val="002C624F"/>
    <w:rsid w:val="002C6B4E"/>
    <w:rsid w:val="002C6E69"/>
    <w:rsid w:val="002D1E76"/>
    <w:rsid w:val="002D390B"/>
    <w:rsid w:val="002D51B5"/>
    <w:rsid w:val="002D5580"/>
    <w:rsid w:val="002D6623"/>
    <w:rsid w:val="002E0367"/>
    <w:rsid w:val="002E17E4"/>
    <w:rsid w:val="002E4B4B"/>
    <w:rsid w:val="002E529F"/>
    <w:rsid w:val="002E5837"/>
    <w:rsid w:val="002E604C"/>
    <w:rsid w:val="002E785A"/>
    <w:rsid w:val="002F358A"/>
    <w:rsid w:val="002F6472"/>
    <w:rsid w:val="00301870"/>
    <w:rsid w:val="00302249"/>
    <w:rsid w:val="003035D2"/>
    <w:rsid w:val="00305337"/>
    <w:rsid w:val="003060F4"/>
    <w:rsid w:val="00310977"/>
    <w:rsid w:val="00310B03"/>
    <w:rsid w:val="00311EB8"/>
    <w:rsid w:val="003120C4"/>
    <w:rsid w:val="0031225A"/>
    <w:rsid w:val="003132FD"/>
    <w:rsid w:val="00314691"/>
    <w:rsid w:val="0031523D"/>
    <w:rsid w:val="00315FB7"/>
    <w:rsid w:val="00320D7C"/>
    <w:rsid w:val="0032129E"/>
    <w:rsid w:val="0032326D"/>
    <w:rsid w:val="003270DD"/>
    <w:rsid w:val="0032715F"/>
    <w:rsid w:val="00330665"/>
    <w:rsid w:val="00330A3E"/>
    <w:rsid w:val="00331BD9"/>
    <w:rsid w:val="00334DCE"/>
    <w:rsid w:val="003352DA"/>
    <w:rsid w:val="00336EE2"/>
    <w:rsid w:val="003410DE"/>
    <w:rsid w:val="00343984"/>
    <w:rsid w:val="003443D0"/>
    <w:rsid w:val="00344B46"/>
    <w:rsid w:val="00345ED9"/>
    <w:rsid w:val="003460F7"/>
    <w:rsid w:val="00350022"/>
    <w:rsid w:val="0035065B"/>
    <w:rsid w:val="00351EE8"/>
    <w:rsid w:val="00352073"/>
    <w:rsid w:val="00352778"/>
    <w:rsid w:val="003577AA"/>
    <w:rsid w:val="00360F68"/>
    <w:rsid w:val="003617A3"/>
    <w:rsid w:val="00364318"/>
    <w:rsid w:val="00364543"/>
    <w:rsid w:val="00364658"/>
    <w:rsid w:val="00365C86"/>
    <w:rsid w:val="00370724"/>
    <w:rsid w:val="00373500"/>
    <w:rsid w:val="00374A70"/>
    <w:rsid w:val="00376800"/>
    <w:rsid w:val="00376806"/>
    <w:rsid w:val="00377E2C"/>
    <w:rsid w:val="00380B04"/>
    <w:rsid w:val="003815BA"/>
    <w:rsid w:val="00382506"/>
    <w:rsid w:val="00384709"/>
    <w:rsid w:val="0038691D"/>
    <w:rsid w:val="00387425"/>
    <w:rsid w:val="00391961"/>
    <w:rsid w:val="00396D15"/>
    <w:rsid w:val="003A10CD"/>
    <w:rsid w:val="003A2086"/>
    <w:rsid w:val="003A34F0"/>
    <w:rsid w:val="003A586A"/>
    <w:rsid w:val="003A79ED"/>
    <w:rsid w:val="003B03DB"/>
    <w:rsid w:val="003B0792"/>
    <w:rsid w:val="003B2E4B"/>
    <w:rsid w:val="003B32BB"/>
    <w:rsid w:val="003B7F09"/>
    <w:rsid w:val="003C0DA5"/>
    <w:rsid w:val="003C0F66"/>
    <w:rsid w:val="003C2C30"/>
    <w:rsid w:val="003C3C40"/>
    <w:rsid w:val="003C64C5"/>
    <w:rsid w:val="003D07A6"/>
    <w:rsid w:val="003D0E33"/>
    <w:rsid w:val="003D1186"/>
    <w:rsid w:val="003D3452"/>
    <w:rsid w:val="003D7E93"/>
    <w:rsid w:val="003E0A70"/>
    <w:rsid w:val="003E131D"/>
    <w:rsid w:val="003E1954"/>
    <w:rsid w:val="003E7391"/>
    <w:rsid w:val="003E7C5E"/>
    <w:rsid w:val="003F0AC8"/>
    <w:rsid w:val="003F3806"/>
    <w:rsid w:val="003F3AEE"/>
    <w:rsid w:val="003F6484"/>
    <w:rsid w:val="00401AED"/>
    <w:rsid w:val="00402E30"/>
    <w:rsid w:val="00403E89"/>
    <w:rsid w:val="0040683B"/>
    <w:rsid w:val="00406A42"/>
    <w:rsid w:val="004106D9"/>
    <w:rsid w:val="004132B6"/>
    <w:rsid w:val="004132D4"/>
    <w:rsid w:val="004203C0"/>
    <w:rsid w:val="00421612"/>
    <w:rsid w:val="00421F81"/>
    <w:rsid w:val="0042323F"/>
    <w:rsid w:val="0043006E"/>
    <w:rsid w:val="0043017F"/>
    <w:rsid w:val="0043238F"/>
    <w:rsid w:val="00435589"/>
    <w:rsid w:val="00435812"/>
    <w:rsid w:val="00435B4C"/>
    <w:rsid w:val="00437006"/>
    <w:rsid w:val="00437389"/>
    <w:rsid w:val="004400A4"/>
    <w:rsid w:val="0044407E"/>
    <w:rsid w:val="00444F38"/>
    <w:rsid w:val="00445000"/>
    <w:rsid w:val="004501C1"/>
    <w:rsid w:val="004502FA"/>
    <w:rsid w:val="00450526"/>
    <w:rsid w:val="0045226E"/>
    <w:rsid w:val="00453170"/>
    <w:rsid w:val="004539B8"/>
    <w:rsid w:val="00455365"/>
    <w:rsid w:val="004600B1"/>
    <w:rsid w:val="004631C2"/>
    <w:rsid w:val="00463E33"/>
    <w:rsid w:val="004713B0"/>
    <w:rsid w:val="00471653"/>
    <w:rsid w:val="00471F0E"/>
    <w:rsid w:val="004723CF"/>
    <w:rsid w:val="004725D5"/>
    <w:rsid w:val="00473A00"/>
    <w:rsid w:val="00474AFA"/>
    <w:rsid w:val="00474D16"/>
    <w:rsid w:val="00474D79"/>
    <w:rsid w:val="00475153"/>
    <w:rsid w:val="0047589F"/>
    <w:rsid w:val="00477C00"/>
    <w:rsid w:val="00480353"/>
    <w:rsid w:val="00482796"/>
    <w:rsid w:val="004867EE"/>
    <w:rsid w:val="00493525"/>
    <w:rsid w:val="00493D0F"/>
    <w:rsid w:val="00497545"/>
    <w:rsid w:val="00497734"/>
    <w:rsid w:val="00497F0F"/>
    <w:rsid w:val="004A1342"/>
    <w:rsid w:val="004A1AF9"/>
    <w:rsid w:val="004A5E41"/>
    <w:rsid w:val="004A77D3"/>
    <w:rsid w:val="004B1716"/>
    <w:rsid w:val="004B17ED"/>
    <w:rsid w:val="004B53D5"/>
    <w:rsid w:val="004B5EE4"/>
    <w:rsid w:val="004B5F99"/>
    <w:rsid w:val="004B67D7"/>
    <w:rsid w:val="004B6E42"/>
    <w:rsid w:val="004C0657"/>
    <w:rsid w:val="004C2959"/>
    <w:rsid w:val="004C3A34"/>
    <w:rsid w:val="004C608E"/>
    <w:rsid w:val="004C744E"/>
    <w:rsid w:val="004D5BEF"/>
    <w:rsid w:val="004D60DC"/>
    <w:rsid w:val="004D77DA"/>
    <w:rsid w:val="004E2D16"/>
    <w:rsid w:val="004F0222"/>
    <w:rsid w:val="00502908"/>
    <w:rsid w:val="00503BB7"/>
    <w:rsid w:val="005049D1"/>
    <w:rsid w:val="00506743"/>
    <w:rsid w:val="0050697A"/>
    <w:rsid w:val="005108D7"/>
    <w:rsid w:val="00511597"/>
    <w:rsid w:val="00514B74"/>
    <w:rsid w:val="005178D7"/>
    <w:rsid w:val="00520800"/>
    <w:rsid w:val="00523ED1"/>
    <w:rsid w:val="00523FB7"/>
    <w:rsid w:val="00524741"/>
    <w:rsid w:val="005255EB"/>
    <w:rsid w:val="005308D8"/>
    <w:rsid w:val="00530A7A"/>
    <w:rsid w:val="00530E48"/>
    <w:rsid w:val="0053293E"/>
    <w:rsid w:val="00533D93"/>
    <w:rsid w:val="005346E3"/>
    <w:rsid w:val="00535E49"/>
    <w:rsid w:val="0053784B"/>
    <w:rsid w:val="00537E3A"/>
    <w:rsid w:val="00537EB3"/>
    <w:rsid w:val="00540758"/>
    <w:rsid w:val="00541CB9"/>
    <w:rsid w:val="005424FC"/>
    <w:rsid w:val="0054620A"/>
    <w:rsid w:val="00546FAB"/>
    <w:rsid w:val="00547A28"/>
    <w:rsid w:val="00547CF5"/>
    <w:rsid w:val="005508BE"/>
    <w:rsid w:val="0055139E"/>
    <w:rsid w:val="00552068"/>
    <w:rsid w:val="00553362"/>
    <w:rsid w:val="005535CB"/>
    <w:rsid w:val="00554114"/>
    <w:rsid w:val="005544EF"/>
    <w:rsid w:val="005562AA"/>
    <w:rsid w:val="0055635A"/>
    <w:rsid w:val="00557776"/>
    <w:rsid w:val="00564435"/>
    <w:rsid w:val="00565BEF"/>
    <w:rsid w:val="00567FDD"/>
    <w:rsid w:val="00570412"/>
    <w:rsid w:val="0057221B"/>
    <w:rsid w:val="005737E3"/>
    <w:rsid w:val="005742A3"/>
    <w:rsid w:val="00574BE4"/>
    <w:rsid w:val="0057524F"/>
    <w:rsid w:val="00576C11"/>
    <w:rsid w:val="0057738D"/>
    <w:rsid w:val="005804BD"/>
    <w:rsid w:val="005816A7"/>
    <w:rsid w:val="00581ED0"/>
    <w:rsid w:val="005835E7"/>
    <w:rsid w:val="00583CD2"/>
    <w:rsid w:val="005872B0"/>
    <w:rsid w:val="00587D0E"/>
    <w:rsid w:val="00590E58"/>
    <w:rsid w:val="0059112B"/>
    <w:rsid w:val="005915BC"/>
    <w:rsid w:val="005918EB"/>
    <w:rsid w:val="00592542"/>
    <w:rsid w:val="005928CA"/>
    <w:rsid w:val="005935A2"/>
    <w:rsid w:val="005A3308"/>
    <w:rsid w:val="005A536E"/>
    <w:rsid w:val="005A5ED4"/>
    <w:rsid w:val="005A6578"/>
    <w:rsid w:val="005A6C44"/>
    <w:rsid w:val="005A7492"/>
    <w:rsid w:val="005A7C9A"/>
    <w:rsid w:val="005B0C22"/>
    <w:rsid w:val="005B3B4A"/>
    <w:rsid w:val="005B4236"/>
    <w:rsid w:val="005C0AEE"/>
    <w:rsid w:val="005C2B47"/>
    <w:rsid w:val="005C2E99"/>
    <w:rsid w:val="005C30C5"/>
    <w:rsid w:val="005C378C"/>
    <w:rsid w:val="005C4734"/>
    <w:rsid w:val="005C54A4"/>
    <w:rsid w:val="005C67C7"/>
    <w:rsid w:val="005D0770"/>
    <w:rsid w:val="005D09BD"/>
    <w:rsid w:val="005D0F1C"/>
    <w:rsid w:val="005D2065"/>
    <w:rsid w:val="005D5441"/>
    <w:rsid w:val="005D5C35"/>
    <w:rsid w:val="005D6C28"/>
    <w:rsid w:val="005E034C"/>
    <w:rsid w:val="005E19F9"/>
    <w:rsid w:val="005E5CE8"/>
    <w:rsid w:val="005E66F2"/>
    <w:rsid w:val="005E6B90"/>
    <w:rsid w:val="005E6C62"/>
    <w:rsid w:val="005F00D1"/>
    <w:rsid w:val="005F29E4"/>
    <w:rsid w:val="005F501E"/>
    <w:rsid w:val="005F5595"/>
    <w:rsid w:val="005F604D"/>
    <w:rsid w:val="005F68C8"/>
    <w:rsid w:val="005F7EF8"/>
    <w:rsid w:val="00600427"/>
    <w:rsid w:val="00603ACA"/>
    <w:rsid w:val="0060441B"/>
    <w:rsid w:val="00604B73"/>
    <w:rsid w:val="0060561A"/>
    <w:rsid w:val="00605D6F"/>
    <w:rsid w:val="006069F1"/>
    <w:rsid w:val="00606E35"/>
    <w:rsid w:val="00607696"/>
    <w:rsid w:val="0061644C"/>
    <w:rsid w:val="00617720"/>
    <w:rsid w:val="00620BD4"/>
    <w:rsid w:val="00620DC5"/>
    <w:rsid w:val="00623A68"/>
    <w:rsid w:val="00624C91"/>
    <w:rsid w:val="0062719E"/>
    <w:rsid w:val="006301B6"/>
    <w:rsid w:val="00634818"/>
    <w:rsid w:val="0063564E"/>
    <w:rsid w:val="00636362"/>
    <w:rsid w:val="006363B4"/>
    <w:rsid w:val="00636E22"/>
    <w:rsid w:val="0063700C"/>
    <w:rsid w:val="006370DD"/>
    <w:rsid w:val="0064031D"/>
    <w:rsid w:val="006407DD"/>
    <w:rsid w:val="0064197E"/>
    <w:rsid w:val="00644D1E"/>
    <w:rsid w:val="00645AD2"/>
    <w:rsid w:val="00645F29"/>
    <w:rsid w:val="00646406"/>
    <w:rsid w:val="00651005"/>
    <w:rsid w:val="00651F6B"/>
    <w:rsid w:val="00653132"/>
    <w:rsid w:val="00653DC8"/>
    <w:rsid w:val="00655FD7"/>
    <w:rsid w:val="0066122C"/>
    <w:rsid w:val="006674FA"/>
    <w:rsid w:val="0066754D"/>
    <w:rsid w:val="00667B69"/>
    <w:rsid w:val="00672047"/>
    <w:rsid w:val="00672D50"/>
    <w:rsid w:val="006758DF"/>
    <w:rsid w:val="00677611"/>
    <w:rsid w:val="00677789"/>
    <w:rsid w:val="006810E8"/>
    <w:rsid w:val="00681166"/>
    <w:rsid w:val="00682D04"/>
    <w:rsid w:val="00690503"/>
    <w:rsid w:val="00692335"/>
    <w:rsid w:val="006940DE"/>
    <w:rsid w:val="006A01D8"/>
    <w:rsid w:val="006A1887"/>
    <w:rsid w:val="006A1A0C"/>
    <w:rsid w:val="006A4668"/>
    <w:rsid w:val="006A72E1"/>
    <w:rsid w:val="006A7416"/>
    <w:rsid w:val="006B0B5A"/>
    <w:rsid w:val="006B30CA"/>
    <w:rsid w:val="006B610E"/>
    <w:rsid w:val="006B66A5"/>
    <w:rsid w:val="006B7919"/>
    <w:rsid w:val="006C114C"/>
    <w:rsid w:val="006C4A6E"/>
    <w:rsid w:val="006C72A5"/>
    <w:rsid w:val="006D2808"/>
    <w:rsid w:val="006D4C7A"/>
    <w:rsid w:val="006D6FF4"/>
    <w:rsid w:val="006D7557"/>
    <w:rsid w:val="006D787E"/>
    <w:rsid w:val="006E1E74"/>
    <w:rsid w:val="006E4764"/>
    <w:rsid w:val="006E7222"/>
    <w:rsid w:val="006E7BF4"/>
    <w:rsid w:val="006F0131"/>
    <w:rsid w:val="006F054D"/>
    <w:rsid w:val="006F251E"/>
    <w:rsid w:val="006F4D8B"/>
    <w:rsid w:val="006F7DA8"/>
    <w:rsid w:val="00700086"/>
    <w:rsid w:val="00700B6B"/>
    <w:rsid w:val="00701526"/>
    <w:rsid w:val="00702CB0"/>
    <w:rsid w:val="00706600"/>
    <w:rsid w:val="00706C4C"/>
    <w:rsid w:val="00707238"/>
    <w:rsid w:val="007104F7"/>
    <w:rsid w:val="007109BD"/>
    <w:rsid w:val="00715663"/>
    <w:rsid w:val="0071654A"/>
    <w:rsid w:val="00717508"/>
    <w:rsid w:val="00720521"/>
    <w:rsid w:val="00723965"/>
    <w:rsid w:val="007245C7"/>
    <w:rsid w:val="00725A9A"/>
    <w:rsid w:val="00735421"/>
    <w:rsid w:val="007368A7"/>
    <w:rsid w:val="007372A5"/>
    <w:rsid w:val="0073744F"/>
    <w:rsid w:val="007377C3"/>
    <w:rsid w:val="00740526"/>
    <w:rsid w:val="00741707"/>
    <w:rsid w:val="007420E0"/>
    <w:rsid w:val="00742385"/>
    <w:rsid w:val="00742B73"/>
    <w:rsid w:val="00746A2A"/>
    <w:rsid w:val="00747462"/>
    <w:rsid w:val="007477A5"/>
    <w:rsid w:val="00747FB4"/>
    <w:rsid w:val="00752F0E"/>
    <w:rsid w:val="0075341D"/>
    <w:rsid w:val="00753902"/>
    <w:rsid w:val="0075642D"/>
    <w:rsid w:val="007565F3"/>
    <w:rsid w:val="00756A36"/>
    <w:rsid w:val="00762B53"/>
    <w:rsid w:val="0076397B"/>
    <w:rsid w:val="00763B18"/>
    <w:rsid w:val="00766E67"/>
    <w:rsid w:val="00770721"/>
    <w:rsid w:val="007708E5"/>
    <w:rsid w:val="007715DE"/>
    <w:rsid w:val="007721EC"/>
    <w:rsid w:val="00772273"/>
    <w:rsid w:val="00772ADB"/>
    <w:rsid w:val="00776CB4"/>
    <w:rsid w:val="00777DA9"/>
    <w:rsid w:val="007802E4"/>
    <w:rsid w:val="007803DD"/>
    <w:rsid w:val="00781EE7"/>
    <w:rsid w:val="0078229D"/>
    <w:rsid w:val="007837ED"/>
    <w:rsid w:val="007849C7"/>
    <w:rsid w:val="00784CB0"/>
    <w:rsid w:val="0078598D"/>
    <w:rsid w:val="007865DD"/>
    <w:rsid w:val="00791406"/>
    <w:rsid w:val="00792A9C"/>
    <w:rsid w:val="007948FB"/>
    <w:rsid w:val="007957F6"/>
    <w:rsid w:val="0079666E"/>
    <w:rsid w:val="007977B7"/>
    <w:rsid w:val="007A08E6"/>
    <w:rsid w:val="007A128F"/>
    <w:rsid w:val="007A59BA"/>
    <w:rsid w:val="007B0252"/>
    <w:rsid w:val="007B1288"/>
    <w:rsid w:val="007B2487"/>
    <w:rsid w:val="007B52DE"/>
    <w:rsid w:val="007B579A"/>
    <w:rsid w:val="007B62A3"/>
    <w:rsid w:val="007B6CCA"/>
    <w:rsid w:val="007B7591"/>
    <w:rsid w:val="007C0727"/>
    <w:rsid w:val="007C5248"/>
    <w:rsid w:val="007C6656"/>
    <w:rsid w:val="007C67F8"/>
    <w:rsid w:val="007D0876"/>
    <w:rsid w:val="007D0FEA"/>
    <w:rsid w:val="007D1F0A"/>
    <w:rsid w:val="007D32A1"/>
    <w:rsid w:val="007D3ED6"/>
    <w:rsid w:val="007D41E5"/>
    <w:rsid w:val="007E139D"/>
    <w:rsid w:val="007E1A1A"/>
    <w:rsid w:val="007E540E"/>
    <w:rsid w:val="007E5773"/>
    <w:rsid w:val="007E7017"/>
    <w:rsid w:val="007F040B"/>
    <w:rsid w:val="007F1B7A"/>
    <w:rsid w:val="007F2082"/>
    <w:rsid w:val="007F2B43"/>
    <w:rsid w:val="007F511A"/>
    <w:rsid w:val="00802D0B"/>
    <w:rsid w:val="00804EC8"/>
    <w:rsid w:val="00806354"/>
    <w:rsid w:val="008068CC"/>
    <w:rsid w:val="008075C9"/>
    <w:rsid w:val="00807615"/>
    <w:rsid w:val="00811218"/>
    <w:rsid w:val="008112D7"/>
    <w:rsid w:val="00811EFF"/>
    <w:rsid w:val="008127B9"/>
    <w:rsid w:val="00812AD1"/>
    <w:rsid w:val="00815A8B"/>
    <w:rsid w:val="008165C5"/>
    <w:rsid w:val="00820970"/>
    <w:rsid w:val="00820E4C"/>
    <w:rsid w:val="00821236"/>
    <w:rsid w:val="0082153E"/>
    <w:rsid w:val="00822AB7"/>
    <w:rsid w:val="008253B1"/>
    <w:rsid w:val="00825741"/>
    <w:rsid w:val="00825E56"/>
    <w:rsid w:val="00826AA7"/>
    <w:rsid w:val="00826CA8"/>
    <w:rsid w:val="00827287"/>
    <w:rsid w:val="00827331"/>
    <w:rsid w:val="00827709"/>
    <w:rsid w:val="00831192"/>
    <w:rsid w:val="008327FC"/>
    <w:rsid w:val="00835278"/>
    <w:rsid w:val="00835503"/>
    <w:rsid w:val="00836C27"/>
    <w:rsid w:val="0084073D"/>
    <w:rsid w:val="0084083A"/>
    <w:rsid w:val="00841480"/>
    <w:rsid w:val="008421EC"/>
    <w:rsid w:val="00846851"/>
    <w:rsid w:val="00847722"/>
    <w:rsid w:val="008532A7"/>
    <w:rsid w:val="00855810"/>
    <w:rsid w:val="00855FE3"/>
    <w:rsid w:val="00856E6B"/>
    <w:rsid w:val="00863EE6"/>
    <w:rsid w:val="00867474"/>
    <w:rsid w:val="00873507"/>
    <w:rsid w:val="00874A39"/>
    <w:rsid w:val="008752C7"/>
    <w:rsid w:val="00875833"/>
    <w:rsid w:val="00875E5D"/>
    <w:rsid w:val="008772F4"/>
    <w:rsid w:val="00880810"/>
    <w:rsid w:val="00880CBF"/>
    <w:rsid w:val="0088112D"/>
    <w:rsid w:val="00881391"/>
    <w:rsid w:val="00881F1B"/>
    <w:rsid w:val="008825CF"/>
    <w:rsid w:val="008836C6"/>
    <w:rsid w:val="008856FE"/>
    <w:rsid w:val="0088730C"/>
    <w:rsid w:val="00887C99"/>
    <w:rsid w:val="00891164"/>
    <w:rsid w:val="00893EEC"/>
    <w:rsid w:val="0089453D"/>
    <w:rsid w:val="00894C63"/>
    <w:rsid w:val="00895485"/>
    <w:rsid w:val="0089610A"/>
    <w:rsid w:val="00896DE3"/>
    <w:rsid w:val="008A2B13"/>
    <w:rsid w:val="008A4D05"/>
    <w:rsid w:val="008A5A47"/>
    <w:rsid w:val="008A6FCF"/>
    <w:rsid w:val="008A73F7"/>
    <w:rsid w:val="008B0B13"/>
    <w:rsid w:val="008B3D84"/>
    <w:rsid w:val="008B7164"/>
    <w:rsid w:val="008C19BA"/>
    <w:rsid w:val="008C415C"/>
    <w:rsid w:val="008C652E"/>
    <w:rsid w:val="008D020E"/>
    <w:rsid w:val="008D3A4B"/>
    <w:rsid w:val="008D3AAD"/>
    <w:rsid w:val="008D3D19"/>
    <w:rsid w:val="008D3FF3"/>
    <w:rsid w:val="008D54C2"/>
    <w:rsid w:val="008D6D5A"/>
    <w:rsid w:val="008D7F43"/>
    <w:rsid w:val="008E1705"/>
    <w:rsid w:val="008E2835"/>
    <w:rsid w:val="008E4BCB"/>
    <w:rsid w:val="008E4EF7"/>
    <w:rsid w:val="008F05A6"/>
    <w:rsid w:val="008F07CA"/>
    <w:rsid w:val="008F25D3"/>
    <w:rsid w:val="008F4461"/>
    <w:rsid w:val="008F5079"/>
    <w:rsid w:val="008F514D"/>
    <w:rsid w:val="008F51C4"/>
    <w:rsid w:val="008F71F4"/>
    <w:rsid w:val="00900591"/>
    <w:rsid w:val="00900610"/>
    <w:rsid w:val="0090061A"/>
    <w:rsid w:val="00901D6F"/>
    <w:rsid w:val="0090419B"/>
    <w:rsid w:val="009074D0"/>
    <w:rsid w:val="00910745"/>
    <w:rsid w:val="0091501F"/>
    <w:rsid w:val="009154FD"/>
    <w:rsid w:val="00915629"/>
    <w:rsid w:val="00915A9C"/>
    <w:rsid w:val="00920637"/>
    <w:rsid w:val="009231D6"/>
    <w:rsid w:val="009234DE"/>
    <w:rsid w:val="00924EC5"/>
    <w:rsid w:val="0092616D"/>
    <w:rsid w:val="009307D9"/>
    <w:rsid w:val="0093146C"/>
    <w:rsid w:val="00931C24"/>
    <w:rsid w:val="00932F00"/>
    <w:rsid w:val="00933244"/>
    <w:rsid w:val="009344D9"/>
    <w:rsid w:val="00937EAB"/>
    <w:rsid w:val="00941CC9"/>
    <w:rsid w:val="0094226B"/>
    <w:rsid w:val="00942923"/>
    <w:rsid w:val="00943117"/>
    <w:rsid w:val="00943E03"/>
    <w:rsid w:val="00944039"/>
    <w:rsid w:val="009463DC"/>
    <w:rsid w:val="00946D12"/>
    <w:rsid w:val="00952DDC"/>
    <w:rsid w:val="009536AA"/>
    <w:rsid w:val="00953EBE"/>
    <w:rsid w:val="00954E29"/>
    <w:rsid w:val="00954E4A"/>
    <w:rsid w:val="00957008"/>
    <w:rsid w:val="00962339"/>
    <w:rsid w:val="0096560F"/>
    <w:rsid w:val="00965E1F"/>
    <w:rsid w:val="00965F1A"/>
    <w:rsid w:val="00966C84"/>
    <w:rsid w:val="00967061"/>
    <w:rsid w:val="00971418"/>
    <w:rsid w:val="00975293"/>
    <w:rsid w:val="00975F25"/>
    <w:rsid w:val="00976571"/>
    <w:rsid w:val="00976962"/>
    <w:rsid w:val="00976CAF"/>
    <w:rsid w:val="00980F56"/>
    <w:rsid w:val="009823DE"/>
    <w:rsid w:val="00983AC2"/>
    <w:rsid w:val="009843A9"/>
    <w:rsid w:val="009859F5"/>
    <w:rsid w:val="009867EB"/>
    <w:rsid w:val="00991A8B"/>
    <w:rsid w:val="00994253"/>
    <w:rsid w:val="009948BC"/>
    <w:rsid w:val="00995F2B"/>
    <w:rsid w:val="009A04B3"/>
    <w:rsid w:val="009A18AD"/>
    <w:rsid w:val="009A1983"/>
    <w:rsid w:val="009A1C3D"/>
    <w:rsid w:val="009A2837"/>
    <w:rsid w:val="009A2EFB"/>
    <w:rsid w:val="009A6CEE"/>
    <w:rsid w:val="009A7DA9"/>
    <w:rsid w:val="009B29A2"/>
    <w:rsid w:val="009B2E5D"/>
    <w:rsid w:val="009B476E"/>
    <w:rsid w:val="009B6A13"/>
    <w:rsid w:val="009C00AC"/>
    <w:rsid w:val="009C128C"/>
    <w:rsid w:val="009C4BE6"/>
    <w:rsid w:val="009C565B"/>
    <w:rsid w:val="009C605D"/>
    <w:rsid w:val="009C6CFE"/>
    <w:rsid w:val="009D04B5"/>
    <w:rsid w:val="009D1A70"/>
    <w:rsid w:val="009D22A1"/>
    <w:rsid w:val="009D27A4"/>
    <w:rsid w:val="009D3045"/>
    <w:rsid w:val="009D3BD1"/>
    <w:rsid w:val="009D465C"/>
    <w:rsid w:val="009E2B8C"/>
    <w:rsid w:val="009E436A"/>
    <w:rsid w:val="009E57E5"/>
    <w:rsid w:val="009E58E5"/>
    <w:rsid w:val="009E5A11"/>
    <w:rsid w:val="009E69BE"/>
    <w:rsid w:val="009E69C8"/>
    <w:rsid w:val="009E6A50"/>
    <w:rsid w:val="009F0E5D"/>
    <w:rsid w:val="009F37A3"/>
    <w:rsid w:val="009F44EB"/>
    <w:rsid w:val="009F62E7"/>
    <w:rsid w:val="00A014A0"/>
    <w:rsid w:val="00A045CF"/>
    <w:rsid w:val="00A05B9D"/>
    <w:rsid w:val="00A061D2"/>
    <w:rsid w:val="00A077E8"/>
    <w:rsid w:val="00A11789"/>
    <w:rsid w:val="00A118D7"/>
    <w:rsid w:val="00A15EA2"/>
    <w:rsid w:val="00A161D4"/>
    <w:rsid w:val="00A16F6C"/>
    <w:rsid w:val="00A23216"/>
    <w:rsid w:val="00A24433"/>
    <w:rsid w:val="00A264E0"/>
    <w:rsid w:val="00A26785"/>
    <w:rsid w:val="00A267D2"/>
    <w:rsid w:val="00A26828"/>
    <w:rsid w:val="00A26C50"/>
    <w:rsid w:val="00A27237"/>
    <w:rsid w:val="00A31A60"/>
    <w:rsid w:val="00A33703"/>
    <w:rsid w:val="00A33B30"/>
    <w:rsid w:val="00A33D13"/>
    <w:rsid w:val="00A358F7"/>
    <w:rsid w:val="00A362C4"/>
    <w:rsid w:val="00A3745A"/>
    <w:rsid w:val="00A41B90"/>
    <w:rsid w:val="00A4468C"/>
    <w:rsid w:val="00A4503B"/>
    <w:rsid w:val="00A47239"/>
    <w:rsid w:val="00A505F7"/>
    <w:rsid w:val="00A52CBE"/>
    <w:rsid w:val="00A54E7A"/>
    <w:rsid w:val="00A55626"/>
    <w:rsid w:val="00A566FB"/>
    <w:rsid w:val="00A56B2D"/>
    <w:rsid w:val="00A5760A"/>
    <w:rsid w:val="00A576D5"/>
    <w:rsid w:val="00A57B10"/>
    <w:rsid w:val="00A57F70"/>
    <w:rsid w:val="00A61614"/>
    <w:rsid w:val="00A62901"/>
    <w:rsid w:val="00A63856"/>
    <w:rsid w:val="00A6387E"/>
    <w:rsid w:val="00A63C0C"/>
    <w:rsid w:val="00A64DC1"/>
    <w:rsid w:val="00A64FAF"/>
    <w:rsid w:val="00A661DE"/>
    <w:rsid w:val="00A7077E"/>
    <w:rsid w:val="00A74F53"/>
    <w:rsid w:val="00A75EDC"/>
    <w:rsid w:val="00A82559"/>
    <w:rsid w:val="00A82FF8"/>
    <w:rsid w:val="00A84450"/>
    <w:rsid w:val="00A84A98"/>
    <w:rsid w:val="00A85A4D"/>
    <w:rsid w:val="00A86D42"/>
    <w:rsid w:val="00A874B2"/>
    <w:rsid w:val="00A93718"/>
    <w:rsid w:val="00A93E63"/>
    <w:rsid w:val="00AA168A"/>
    <w:rsid w:val="00AA1FE8"/>
    <w:rsid w:val="00AA2EB7"/>
    <w:rsid w:val="00AA3270"/>
    <w:rsid w:val="00AA561B"/>
    <w:rsid w:val="00AA5D32"/>
    <w:rsid w:val="00AB085F"/>
    <w:rsid w:val="00AB08F4"/>
    <w:rsid w:val="00AB19A3"/>
    <w:rsid w:val="00AB238C"/>
    <w:rsid w:val="00AB38F8"/>
    <w:rsid w:val="00AB4668"/>
    <w:rsid w:val="00AB6C8B"/>
    <w:rsid w:val="00AB6FF5"/>
    <w:rsid w:val="00AB727D"/>
    <w:rsid w:val="00AC07D8"/>
    <w:rsid w:val="00AC1190"/>
    <w:rsid w:val="00AC2954"/>
    <w:rsid w:val="00AC2A15"/>
    <w:rsid w:val="00AC7010"/>
    <w:rsid w:val="00AD0813"/>
    <w:rsid w:val="00AD4460"/>
    <w:rsid w:val="00AD51D4"/>
    <w:rsid w:val="00AD6397"/>
    <w:rsid w:val="00AD6727"/>
    <w:rsid w:val="00AD70F6"/>
    <w:rsid w:val="00AD784F"/>
    <w:rsid w:val="00AE09B8"/>
    <w:rsid w:val="00AE3951"/>
    <w:rsid w:val="00AE3D21"/>
    <w:rsid w:val="00AE4997"/>
    <w:rsid w:val="00AF24DE"/>
    <w:rsid w:val="00AF2B02"/>
    <w:rsid w:val="00AF301B"/>
    <w:rsid w:val="00B02C6F"/>
    <w:rsid w:val="00B02CAB"/>
    <w:rsid w:val="00B03447"/>
    <w:rsid w:val="00B063F8"/>
    <w:rsid w:val="00B07002"/>
    <w:rsid w:val="00B079D3"/>
    <w:rsid w:val="00B07CA5"/>
    <w:rsid w:val="00B10CB7"/>
    <w:rsid w:val="00B13A99"/>
    <w:rsid w:val="00B13B81"/>
    <w:rsid w:val="00B14693"/>
    <w:rsid w:val="00B157E0"/>
    <w:rsid w:val="00B15EEC"/>
    <w:rsid w:val="00B15FA1"/>
    <w:rsid w:val="00B20349"/>
    <w:rsid w:val="00B21E35"/>
    <w:rsid w:val="00B22ACA"/>
    <w:rsid w:val="00B23D96"/>
    <w:rsid w:val="00B2478D"/>
    <w:rsid w:val="00B248BC"/>
    <w:rsid w:val="00B24AC3"/>
    <w:rsid w:val="00B25102"/>
    <w:rsid w:val="00B26E83"/>
    <w:rsid w:val="00B26F9C"/>
    <w:rsid w:val="00B27E40"/>
    <w:rsid w:val="00B30991"/>
    <w:rsid w:val="00B30A50"/>
    <w:rsid w:val="00B31324"/>
    <w:rsid w:val="00B32AA0"/>
    <w:rsid w:val="00B358C4"/>
    <w:rsid w:val="00B36A7D"/>
    <w:rsid w:val="00B413E9"/>
    <w:rsid w:val="00B43980"/>
    <w:rsid w:val="00B43FC6"/>
    <w:rsid w:val="00B45A4C"/>
    <w:rsid w:val="00B472CF"/>
    <w:rsid w:val="00B513A5"/>
    <w:rsid w:val="00B515AC"/>
    <w:rsid w:val="00B52645"/>
    <w:rsid w:val="00B56A1A"/>
    <w:rsid w:val="00B579AD"/>
    <w:rsid w:val="00B6073F"/>
    <w:rsid w:val="00B613D4"/>
    <w:rsid w:val="00B619F3"/>
    <w:rsid w:val="00B62D3E"/>
    <w:rsid w:val="00B669EF"/>
    <w:rsid w:val="00B678C1"/>
    <w:rsid w:val="00B67956"/>
    <w:rsid w:val="00B67A62"/>
    <w:rsid w:val="00B70253"/>
    <w:rsid w:val="00B71233"/>
    <w:rsid w:val="00B71683"/>
    <w:rsid w:val="00B7203D"/>
    <w:rsid w:val="00B727AF"/>
    <w:rsid w:val="00B73545"/>
    <w:rsid w:val="00B7471E"/>
    <w:rsid w:val="00B75390"/>
    <w:rsid w:val="00B7566F"/>
    <w:rsid w:val="00B76925"/>
    <w:rsid w:val="00B8314D"/>
    <w:rsid w:val="00B83369"/>
    <w:rsid w:val="00B859AD"/>
    <w:rsid w:val="00B9208C"/>
    <w:rsid w:val="00B9551E"/>
    <w:rsid w:val="00B96CDB"/>
    <w:rsid w:val="00B9717B"/>
    <w:rsid w:val="00BA2A1D"/>
    <w:rsid w:val="00BA3CC7"/>
    <w:rsid w:val="00BA5DD1"/>
    <w:rsid w:val="00BA6223"/>
    <w:rsid w:val="00BB4505"/>
    <w:rsid w:val="00BC0C8E"/>
    <w:rsid w:val="00BC1CE4"/>
    <w:rsid w:val="00BC3766"/>
    <w:rsid w:val="00BC435B"/>
    <w:rsid w:val="00BC4BCC"/>
    <w:rsid w:val="00BC60F6"/>
    <w:rsid w:val="00BC790B"/>
    <w:rsid w:val="00BD3326"/>
    <w:rsid w:val="00BD4954"/>
    <w:rsid w:val="00BD5256"/>
    <w:rsid w:val="00BD7E08"/>
    <w:rsid w:val="00BD7FCC"/>
    <w:rsid w:val="00BE03EE"/>
    <w:rsid w:val="00BE2B6B"/>
    <w:rsid w:val="00BE2E64"/>
    <w:rsid w:val="00BE37B3"/>
    <w:rsid w:val="00BE56E7"/>
    <w:rsid w:val="00BE7509"/>
    <w:rsid w:val="00BE7645"/>
    <w:rsid w:val="00BE7D6C"/>
    <w:rsid w:val="00BF2021"/>
    <w:rsid w:val="00BF2EEF"/>
    <w:rsid w:val="00BF3229"/>
    <w:rsid w:val="00BF373F"/>
    <w:rsid w:val="00BF4DA8"/>
    <w:rsid w:val="00BF4E46"/>
    <w:rsid w:val="00BF5A5B"/>
    <w:rsid w:val="00BF7686"/>
    <w:rsid w:val="00C020B8"/>
    <w:rsid w:val="00C024F6"/>
    <w:rsid w:val="00C042D0"/>
    <w:rsid w:val="00C05DFA"/>
    <w:rsid w:val="00C112D2"/>
    <w:rsid w:val="00C11724"/>
    <w:rsid w:val="00C12D3E"/>
    <w:rsid w:val="00C150DB"/>
    <w:rsid w:val="00C15F8B"/>
    <w:rsid w:val="00C17264"/>
    <w:rsid w:val="00C2012A"/>
    <w:rsid w:val="00C20527"/>
    <w:rsid w:val="00C208B5"/>
    <w:rsid w:val="00C2125A"/>
    <w:rsid w:val="00C230DC"/>
    <w:rsid w:val="00C235A1"/>
    <w:rsid w:val="00C25A07"/>
    <w:rsid w:val="00C3038A"/>
    <w:rsid w:val="00C310AA"/>
    <w:rsid w:val="00C311D1"/>
    <w:rsid w:val="00C31CEE"/>
    <w:rsid w:val="00C329F8"/>
    <w:rsid w:val="00C3305F"/>
    <w:rsid w:val="00C330AE"/>
    <w:rsid w:val="00C333E6"/>
    <w:rsid w:val="00C334C5"/>
    <w:rsid w:val="00C33DE3"/>
    <w:rsid w:val="00C33FF7"/>
    <w:rsid w:val="00C358CF"/>
    <w:rsid w:val="00C401D7"/>
    <w:rsid w:val="00C40C25"/>
    <w:rsid w:val="00C41961"/>
    <w:rsid w:val="00C41E0E"/>
    <w:rsid w:val="00C4269E"/>
    <w:rsid w:val="00C43785"/>
    <w:rsid w:val="00C43C61"/>
    <w:rsid w:val="00C44A5A"/>
    <w:rsid w:val="00C513D4"/>
    <w:rsid w:val="00C52763"/>
    <w:rsid w:val="00C555C1"/>
    <w:rsid w:val="00C55693"/>
    <w:rsid w:val="00C56A7F"/>
    <w:rsid w:val="00C57BD4"/>
    <w:rsid w:val="00C62239"/>
    <w:rsid w:val="00C6262A"/>
    <w:rsid w:val="00C62CB1"/>
    <w:rsid w:val="00C650A0"/>
    <w:rsid w:val="00C72F25"/>
    <w:rsid w:val="00C73470"/>
    <w:rsid w:val="00C73D32"/>
    <w:rsid w:val="00C751FF"/>
    <w:rsid w:val="00C81512"/>
    <w:rsid w:val="00C8301E"/>
    <w:rsid w:val="00C8368C"/>
    <w:rsid w:val="00C851C4"/>
    <w:rsid w:val="00C858EC"/>
    <w:rsid w:val="00C85922"/>
    <w:rsid w:val="00C862ED"/>
    <w:rsid w:val="00C87022"/>
    <w:rsid w:val="00C90366"/>
    <w:rsid w:val="00C90576"/>
    <w:rsid w:val="00C90963"/>
    <w:rsid w:val="00C90A2F"/>
    <w:rsid w:val="00C90F2A"/>
    <w:rsid w:val="00C9179B"/>
    <w:rsid w:val="00C91F8D"/>
    <w:rsid w:val="00C92ED9"/>
    <w:rsid w:val="00C9328F"/>
    <w:rsid w:val="00C96B32"/>
    <w:rsid w:val="00C971CE"/>
    <w:rsid w:val="00CA0822"/>
    <w:rsid w:val="00CA1546"/>
    <w:rsid w:val="00CA1B35"/>
    <w:rsid w:val="00CA2310"/>
    <w:rsid w:val="00CA2456"/>
    <w:rsid w:val="00CA32DD"/>
    <w:rsid w:val="00CA3865"/>
    <w:rsid w:val="00CA3EB7"/>
    <w:rsid w:val="00CA4C09"/>
    <w:rsid w:val="00CA4D77"/>
    <w:rsid w:val="00CB0AA5"/>
    <w:rsid w:val="00CB126E"/>
    <w:rsid w:val="00CB1321"/>
    <w:rsid w:val="00CB2089"/>
    <w:rsid w:val="00CB2730"/>
    <w:rsid w:val="00CB3DF2"/>
    <w:rsid w:val="00CB488D"/>
    <w:rsid w:val="00CB5816"/>
    <w:rsid w:val="00CC31B9"/>
    <w:rsid w:val="00CC57E1"/>
    <w:rsid w:val="00CC6016"/>
    <w:rsid w:val="00CC62B9"/>
    <w:rsid w:val="00CD02ED"/>
    <w:rsid w:val="00CD289A"/>
    <w:rsid w:val="00CD2FD3"/>
    <w:rsid w:val="00CD478A"/>
    <w:rsid w:val="00CD4D78"/>
    <w:rsid w:val="00CD5B49"/>
    <w:rsid w:val="00CD684C"/>
    <w:rsid w:val="00CD76F5"/>
    <w:rsid w:val="00CD789E"/>
    <w:rsid w:val="00CE07E2"/>
    <w:rsid w:val="00CE0C0F"/>
    <w:rsid w:val="00CE4DFA"/>
    <w:rsid w:val="00CE6B66"/>
    <w:rsid w:val="00CF2760"/>
    <w:rsid w:val="00CF2DEB"/>
    <w:rsid w:val="00CF49F5"/>
    <w:rsid w:val="00CF54CB"/>
    <w:rsid w:val="00D019BA"/>
    <w:rsid w:val="00D0425D"/>
    <w:rsid w:val="00D05067"/>
    <w:rsid w:val="00D051BE"/>
    <w:rsid w:val="00D052B6"/>
    <w:rsid w:val="00D054FA"/>
    <w:rsid w:val="00D05AD3"/>
    <w:rsid w:val="00D06437"/>
    <w:rsid w:val="00D06761"/>
    <w:rsid w:val="00D06C24"/>
    <w:rsid w:val="00D112B0"/>
    <w:rsid w:val="00D11D46"/>
    <w:rsid w:val="00D13827"/>
    <w:rsid w:val="00D13B4B"/>
    <w:rsid w:val="00D141C6"/>
    <w:rsid w:val="00D141DF"/>
    <w:rsid w:val="00D146A9"/>
    <w:rsid w:val="00D14882"/>
    <w:rsid w:val="00D17594"/>
    <w:rsid w:val="00D17EAA"/>
    <w:rsid w:val="00D21AE8"/>
    <w:rsid w:val="00D2378D"/>
    <w:rsid w:val="00D30BD4"/>
    <w:rsid w:val="00D30DAC"/>
    <w:rsid w:val="00D31C88"/>
    <w:rsid w:val="00D337DA"/>
    <w:rsid w:val="00D34083"/>
    <w:rsid w:val="00D348E7"/>
    <w:rsid w:val="00D36770"/>
    <w:rsid w:val="00D36D41"/>
    <w:rsid w:val="00D36EA8"/>
    <w:rsid w:val="00D37400"/>
    <w:rsid w:val="00D37DD5"/>
    <w:rsid w:val="00D413E9"/>
    <w:rsid w:val="00D424E6"/>
    <w:rsid w:val="00D42552"/>
    <w:rsid w:val="00D4381A"/>
    <w:rsid w:val="00D44A03"/>
    <w:rsid w:val="00D4520D"/>
    <w:rsid w:val="00D45F4D"/>
    <w:rsid w:val="00D50820"/>
    <w:rsid w:val="00D50A1B"/>
    <w:rsid w:val="00D51560"/>
    <w:rsid w:val="00D518B4"/>
    <w:rsid w:val="00D5359B"/>
    <w:rsid w:val="00D5561B"/>
    <w:rsid w:val="00D57E32"/>
    <w:rsid w:val="00D603F7"/>
    <w:rsid w:val="00D612BB"/>
    <w:rsid w:val="00D64EF8"/>
    <w:rsid w:val="00D65F15"/>
    <w:rsid w:val="00D66076"/>
    <w:rsid w:val="00D662CF"/>
    <w:rsid w:val="00D6640E"/>
    <w:rsid w:val="00D670B2"/>
    <w:rsid w:val="00D709C1"/>
    <w:rsid w:val="00D728D4"/>
    <w:rsid w:val="00D732BE"/>
    <w:rsid w:val="00D73429"/>
    <w:rsid w:val="00D738A2"/>
    <w:rsid w:val="00D74430"/>
    <w:rsid w:val="00D75841"/>
    <w:rsid w:val="00D777C8"/>
    <w:rsid w:val="00D81481"/>
    <w:rsid w:val="00D86598"/>
    <w:rsid w:val="00D91322"/>
    <w:rsid w:val="00D91870"/>
    <w:rsid w:val="00D933FF"/>
    <w:rsid w:val="00D9365D"/>
    <w:rsid w:val="00D94AD8"/>
    <w:rsid w:val="00D9694B"/>
    <w:rsid w:val="00DA0217"/>
    <w:rsid w:val="00DA4C8E"/>
    <w:rsid w:val="00DA589F"/>
    <w:rsid w:val="00DA6352"/>
    <w:rsid w:val="00DA77CD"/>
    <w:rsid w:val="00DA7918"/>
    <w:rsid w:val="00DA7E04"/>
    <w:rsid w:val="00DB0DEA"/>
    <w:rsid w:val="00DB10AB"/>
    <w:rsid w:val="00DB76DD"/>
    <w:rsid w:val="00DC13D2"/>
    <w:rsid w:val="00DC1FD5"/>
    <w:rsid w:val="00DC2003"/>
    <w:rsid w:val="00DC73C5"/>
    <w:rsid w:val="00DD0B14"/>
    <w:rsid w:val="00DD0BB3"/>
    <w:rsid w:val="00DD219D"/>
    <w:rsid w:val="00DD43F3"/>
    <w:rsid w:val="00DD44FE"/>
    <w:rsid w:val="00DD5D45"/>
    <w:rsid w:val="00DD6FAF"/>
    <w:rsid w:val="00DE0519"/>
    <w:rsid w:val="00DE06A9"/>
    <w:rsid w:val="00DE1FE4"/>
    <w:rsid w:val="00DE469B"/>
    <w:rsid w:val="00DE46C2"/>
    <w:rsid w:val="00DE6995"/>
    <w:rsid w:val="00DE7781"/>
    <w:rsid w:val="00DF1A7D"/>
    <w:rsid w:val="00DF2A03"/>
    <w:rsid w:val="00DF4328"/>
    <w:rsid w:val="00DF4596"/>
    <w:rsid w:val="00DF4D90"/>
    <w:rsid w:val="00DF5EB4"/>
    <w:rsid w:val="00DF6092"/>
    <w:rsid w:val="00DF6A22"/>
    <w:rsid w:val="00DF719B"/>
    <w:rsid w:val="00E015AD"/>
    <w:rsid w:val="00E02726"/>
    <w:rsid w:val="00E02F5B"/>
    <w:rsid w:val="00E06796"/>
    <w:rsid w:val="00E06F69"/>
    <w:rsid w:val="00E06FC9"/>
    <w:rsid w:val="00E073EA"/>
    <w:rsid w:val="00E07610"/>
    <w:rsid w:val="00E07E4A"/>
    <w:rsid w:val="00E1029E"/>
    <w:rsid w:val="00E11737"/>
    <w:rsid w:val="00E11B10"/>
    <w:rsid w:val="00E1226C"/>
    <w:rsid w:val="00E129BE"/>
    <w:rsid w:val="00E1329D"/>
    <w:rsid w:val="00E1392F"/>
    <w:rsid w:val="00E14821"/>
    <w:rsid w:val="00E159C8"/>
    <w:rsid w:val="00E160CA"/>
    <w:rsid w:val="00E16EE2"/>
    <w:rsid w:val="00E16FC1"/>
    <w:rsid w:val="00E17D13"/>
    <w:rsid w:val="00E21210"/>
    <w:rsid w:val="00E22587"/>
    <w:rsid w:val="00E24574"/>
    <w:rsid w:val="00E24F85"/>
    <w:rsid w:val="00E258D8"/>
    <w:rsid w:val="00E30AA6"/>
    <w:rsid w:val="00E330FB"/>
    <w:rsid w:val="00E34EEF"/>
    <w:rsid w:val="00E35FDA"/>
    <w:rsid w:val="00E40C89"/>
    <w:rsid w:val="00E41D7A"/>
    <w:rsid w:val="00E4329A"/>
    <w:rsid w:val="00E47DBB"/>
    <w:rsid w:val="00E50BBB"/>
    <w:rsid w:val="00E53370"/>
    <w:rsid w:val="00E54220"/>
    <w:rsid w:val="00E552C0"/>
    <w:rsid w:val="00E56128"/>
    <w:rsid w:val="00E57086"/>
    <w:rsid w:val="00E578DE"/>
    <w:rsid w:val="00E57E37"/>
    <w:rsid w:val="00E71007"/>
    <w:rsid w:val="00E73FAC"/>
    <w:rsid w:val="00E74844"/>
    <w:rsid w:val="00E74AD8"/>
    <w:rsid w:val="00E76D5E"/>
    <w:rsid w:val="00E77700"/>
    <w:rsid w:val="00E8008E"/>
    <w:rsid w:val="00E805D0"/>
    <w:rsid w:val="00E87630"/>
    <w:rsid w:val="00E87D8F"/>
    <w:rsid w:val="00E91CDE"/>
    <w:rsid w:val="00E9215F"/>
    <w:rsid w:val="00E938FE"/>
    <w:rsid w:val="00E93AFD"/>
    <w:rsid w:val="00E959DF"/>
    <w:rsid w:val="00EA20A0"/>
    <w:rsid w:val="00EA38EA"/>
    <w:rsid w:val="00EA3A81"/>
    <w:rsid w:val="00EA481F"/>
    <w:rsid w:val="00EA7C45"/>
    <w:rsid w:val="00EB0606"/>
    <w:rsid w:val="00EB21ED"/>
    <w:rsid w:val="00EB32C6"/>
    <w:rsid w:val="00EB53BC"/>
    <w:rsid w:val="00EB54B5"/>
    <w:rsid w:val="00EB561E"/>
    <w:rsid w:val="00EB5A1D"/>
    <w:rsid w:val="00EB6313"/>
    <w:rsid w:val="00EB6C63"/>
    <w:rsid w:val="00EB77BF"/>
    <w:rsid w:val="00EC24A0"/>
    <w:rsid w:val="00EC3483"/>
    <w:rsid w:val="00EC39B3"/>
    <w:rsid w:val="00EC6A93"/>
    <w:rsid w:val="00EC7BF9"/>
    <w:rsid w:val="00ED076E"/>
    <w:rsid w:val="00ED211E"/>
    <w:rsid w:val="00ED292B"/>
    <w:rsid w:val="00ED3C60"/>
    <w:rsid w:val="00EE645B"/>
    <w:rsid w:val="00EF0F58"/>
    <w:rsid w:val="00EF0F82"/>
    <w:rsid w:val="00EF10DD"/>
    <w:rsid w:val="00EF5FB2"/>
    <w:rsid w:val="00EF6F88"/>
    <w:rsid w:val="00F02727"/>
    <w:rsid w:val="00F0298B"/>
    <w:rsid w:val="00F02EE9"/>
    <w:rsid w:val="00F073BE"/>
    <w:rsid w:val="00F07A51"/>
    <w:rsid w:val="00F07F69"/>
    <w:rsid w:val="00F104AC"/>
    <w:rsid w:val="00F11B30"/>
    <w:rsid w:val="00F1270F"/>
    <w:rsid w:val="00F136CD"/>
    <w:rsid w:val="00F13BEC"/>
    <w:rsid w:val="00F1544A"/>
    <w:rsid w:val="00F156B1"/>
    <w:rsid w:val="00F20318"/>
    <w:rsid w:val="00F21564"/>
    <w:rsid w:val="00F2178A"/>
    <w:rsid w:val="00F217AD"/>
    <w:rsid w:val="00F2290C"/>
    <w:rsid w:val="00F22922"/>
    <w:rsid w:val="00F22CEF"/>
    <w:rsid w:val="00F2462D"/>
    <w:rsid w:val="00F25534"/>
    <w:rsid w:val="00F26137"/>
    <w:rsid w:val="00F27383"/>
    <w:rsid w:val="00F273C4"/>
    <w:rsid w:val="00F27945"/>
    <w:rsid w:val="00F3038F"/>
    <w:rsid w:val="00F30EEE"/>
    <w:rsid w:val="00F328C6"/>
    <w:rsid w:val="00F3290F"/>
    <w:rsid w:val="00F34A41"/>
    <w:rsid w:val="00F353D8"/>
    <w:rsid w:val="00F37C5C"/>
    <w:rsid w:val="00F40A7F"/>
    <w:rsid w:val="00F41C27"/>
    <w:rsid w:val="00F4214C"/>
    <w:rsid w:val="00F42C05"/>
    <w:rsid w:val="00F43BCA"/>
    <w:rsid w:val="00F43C08"/>
    <w:rsid w:val="00F4571E"/>
    <w:rsid w:val="00F464F8"/>
    <w:rsid w:val="00F501F7"/>
    <w:rsid w:val="00F50D73"/>
    <w:rsid w:val="00F51A9D"/>
    <w:rsid w:val="00F52005"/>
    <w:rsid w:val="00F52CE4"/>
    <w:rsid w:val="00F53991"/>
    <w:rsid w:val="00F53A6D"/>
    <w:rsid w:val="00F54791"/>
    <w:rsid w:val="00F54828"/>
    <w:rsid w:val="00F55815"/>
    <w:rsid w:val="00F56825"/>
    <w:rsid w:val="00F56AEC"/>
    <w:rsid w:val="00F6062A"/>
    <w:rsid w:val="00F613ED"/>
    <w:rsid w:val="00F673AA"/>
    <w:rsid w:val="00F7139C"/>
    <w:rsid w:val="00F7304A"/>
    <w:rsid w:val="00F73561"/>
    <w:rsid w:val="00F73A00"/>
    <w:rsid w:val="00F73A7E"/>
    <w:rsid w:val="00F7768D"/>
    <w:rsid w:val="00F77BDF"/>
    <w:rsid w:val="00F8021D"/>
    <w:rsid w:val="00F824D3"/>
    <w:rsid w:val="00F82B29"/>
    <w:rsid w:val="00F84890"/>
    <w:rsid w:val="00F86FF5"/>
    <w:rsid w:val="00F874DC"/>
    <w:rsid w:val="00F90A88"/>
    <w:rsid w:val="00F90E69"/>
    <w:rsid w:val="00F9159B"/>
    <w:rsid w:val="00F91D36"/>
    <w:rsid w:val="00F91E99"/>
    <w:rsid w:val="00FA0C3D"/>
    <w:rsid w:val="00FA18FF"/>
    <w:rsid w:val="00FA21DA"/>
    <w:rsid w:val="00FA2458"/>
    <w:rsid w:val="00FA5128"/>
    <w:rsid w:val="00FA68AB"/>
    <w:rsid w:val="00FB0771"/>
    <w:rsid w:val="00FB10A8"/>
    <w:rsid w:val="00FB2964"/>
    <w:rsid w:val="00FB5F69"/>
    <w:rsid w:val="00FB6099"/>
    <w:rsid w:val="00FB70CC"/>
    <w:rsid w:val="00FC0112"/>
    <w:rsid w:val="00FC1910"/>
    <w:rsid w:val="00FC2E72"/>
    <w:rsid w:val="00FC41B5"/>
    <w:rsid w:val="00FC41EE"/>
    <w:rsid w:val="00FC450F"/>
    <w:rsid w:val="00FC6CC3"/>
    <w:rsid w:val="00FC76BB"/>
    <w:rsid w:val="00FC7A1D"/>
    <w:rsid w:val="00FC7B89"/>
    <w:rsid w:val="00FC7C4A"/>
    <w:rsid w:val="00FD19CC"/>
    <w:rsid w:val="00FD1B90"/>
    <w:rsid w:val="00FD1C18"/>
    <w:rsid w:val="00FD4DE4"/>
    <w:rsid w:val="00FD5174"/>
    <w:rsid w:val="00FD5364"/>
    <w:rsid w:val="00FD71E9"/>
    <w:rsid w:val="00FE09F1"/>
    <w:rsid w:val="00FE0F9F"/>
    <w:rsid w:val="00FE3C79"/>
    <w:rsid w:val="00FE4CB5"/>
    <w:rsid w:val="00FE56C1"/>
    <w:rsid w:val="00FE6568"/>
    <w:rsid w:val="00FE6A44"/>
    <w:rsid w:val="00FF2176"/>
    <w:rsid w:val="00FF266E"/>
    <w:rsid w:val="00FF4E49"/>
    <w:rsid w:val="00FF6079"/>
    <w:rsid w:val="00FF6892"/>
    <w:rsid w:val="00FF7D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E7"/>
    <w:pPr>
      <w:widowControl w:val="0"/>
    </w:pPr>
    <w:rPr>
      <w:rFonts w:cs="Calibri"/>
      <w:szCs w:val="24"/>
    </w:rPr>
  </w:style>
  <w:style w:type="paragraph" w:styleId="Heading2">
    <w:name w:val="heading 2"/>
    <w:basedOn w:val="Normal"/>
    <w:link w:val="Heading2Char"/>
    <w:uiPriority w:val="99"/>
    <w:qFormat/>
    <w:locked/>
    <w:rsid w:val="008F5079"/>
    <w:pPr>
      <w:widowControl/>
      <w:spacing w:before="100" w:beforeAutospacing="1" w:after="100" w:afterAutospacing="1"/>
      <w:outlineLvl w:val="1"/>
    </w:pPr>
    <w:rPr>
      <w:rFonts w:ascii="新細明體" w:hAnsi="新細明體" w:cs="新細明體"/>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F5079"/>
    <w:rPr>
      <w:rFonts w:ascii="新細明體" w:eastAsia="新細明體" w:cs="新細明體"/>
      <w:b/>
      <w:bCs/>
      <w:sz w:val="36"/>
      <w:szCs w:val="36"/>
    </w:rPr>
  </w:style>
  <w:style w:type="character" w:styleId="FootnoteReference">
    <w:name w:val="footnote reference"/>
    <w:basedOn w:val="DefaultParagraphFont"/>
    <w:uiPriority w:val="99"/>
    <w:semiHidden/>
    <w:rsid w:val="00F86FF5"/>
    <w:rPr>
      <w:rFonts w:cs="Times New Roman"/>
      <w:vertAlign w:val="superscript"/>
    </w:rPr>
  </w:style>
  <w:style w:type="paragraph" w:styleId="FootnoteText">
    <w:name w:val="footnote text"/>
    <w:basedOn w:val="Normal"/>
    <w:link w:val="FootnoteTextChar"/>
    <w:uiPriority w:val="99"/>
    <w:semiHidden/>
    <w:rsid w:val="00F86FF5"/>
    <w:pPr>
      <w:snapToGrid w:val="0"/>
    </w:pPr>
    <w:rPr>
      <w:rFonts w:ascii="Times New Roman" w:hAnsi="Times New Roman" w:cs="Times New Roman"/>
      <w:kern w:val="0"/>
      <w:sz w:val="20"/>
      <w:szCs w:val="20"/>
      <w:lang w:eastAsia="en-US"/>
    </w:rPr>
  </w:style>
  <w:style w:type="character" w:customStyle="1" w:styleId="FootnoteTextChar">
    <w:name w:val="Footnote Text Char"/>
    <w:basedOn w:val="DefaultParagraphFont"/>
    <w:link w:val="FootnoteText"/>
    <w:uiPriority w:val="99"/>
    <w:semiHidden/>
    <w:locked/>
    <w:rsid w:val="00F86FF5"/>
    <w:rPr>
      <w:rFonts w:ascii="Times New Roman" w:eastAsia="新細明體" w:hAnsi="Times New Roman" w:cs="Times New Roman"/>
      <w:sz w:val="20"/>
    </w:rPr>
  </w:style>
  <w:style w:type="character" w:styleId="Strong">
    <w:name w:val="Strong"/>
    <w:basedOn w:val="DefaultParagraphFont"/>
    <w:uiPriority w:val="99"/>
    <w:qFormat/>
    <w:rsid w:val="00F86FF5"/>
    <w:rPr>
      <w:rFonts w:cs="Times New Roman"/>
      <w:b/>
    </w:rPr>
  </w:style>
  <w:style w:type="character" w:styleId="Hyperlink">
    <w:name w:val="Hyperlink"/>
    <w:basedOn w:val="DefaultParagraphFont"/>
    <w:uiPriority w:val="99"/>
    <w:rsid w:val="00F86FF5"/>
    <w:rPr>
      <w:rFonts w:cs="Times New Roman"/>
      <w:color w:val="0000FF"/>
      <w:u w:val="single"/>
    </w:rPr>
  </w:style>
  <w:style w:type="character" w:customStyle="1" w:styleId="body131">
    <w:name w:val="body131"/>
    <w:uiPriority w:val="99"/>
    <w:rsid w:val="00F86FF5"/>
    <w:rPr>
      <w:rFonts w:ascii="Verdana" w:hAnsi="Verdana"/>
      <w:sz w:val="20"/>
    </w:rPr>
  </w:style>
  <w:style w:type="character" w:styleId="Emphasis">
    <w:name w:val="Emphasis"/>
    <w:basedOn w:val="DefaultParagraphFont"/>
    <w:uiPriority w:val="99"/>
    <w:qFormat/>
    <w:rsid w:val="00F86FF5"/>
    <w:rPr>
      <w:rFonts w:cs="Times New Roman"/>
      <w:color w:val="auto"/>
    </w:rPr>
  </w:style>
  <w:style w:type="paragraph" w:styleId="Header">
    <w:name w:val="header"/>
    <w:basedOn w:val="Normal"/>
    <w:link w:val="HeaderChar"/>
    <w:uiPriority w:val="99"/>
    <w:semiHidden/>
    <w:rsid w:val="00F86FF5"/>
    <w:pPr>
      <w:tabs>
        <w:tab w:val="center" w:pos="4153"/>
        <w:tab w:val="right" w:pos="8306"/>
      </w:tabs>
      <w:snapToGrid w:val="0"/>
    </w:pPr>
    <w:rPr>
      <w:rFonts w:cs="Times New Roman"/>
      <w:kern w:val="0"/>
      <w:sz w:val="20"/>
      <w:szCs w:val="20"/>
      <w:lang w:eastAsia="en-US"/>
    </w:rPr>
  </w:style>
  <w:style w:type="character" w:customStyle="1" w:styleId="HeaderChar">
    <w:name w:val="Header Char"/>
    <w:basedOn w:val="DefaultParagraphFont"/>
    <w:link w:val="Header"/>
    <w:uiPriority w:val="99"/>
    <w:semiHidden/>
    <w:locked/>
    <w:rsid w:val="00F86FF5"/>
    <w:rPr>
      <w:rFonts w:ascii="Calibri" w:eastAsia="新細明體" w:hAnsi="Calibri" w:cs="Times New Roman"/>
      <w:sz w:val="20"/>
    </w:rPr>
  </w:style>
  <w:style w:type="paragraph" w:styleId="Footer">
    <w:name w:val="footer"/>
    <w:basedOn w:val="Normal"/>
    <w:link w:val="FooterChar"/>
    <w:uiPriority w:val="99"/>
    <w:rsid w:val="00F86FF5"/>
    <w:pPr>
      <w:tabs>
        <w:tab w:val="center" w:pos="4153"/>
        <w:tab w:val="right" w:pos="8306"/>
      </w:tabs>
      <w:snapToGrid w:val="0"/>
    </w:pPr>
    <w:rPr>
      <w:rFonts w:cs="Times New Roman"/>
      <w:kern w:val="0"/>
      <w:sz w:val="20"/>
      <w:szCs w:val="20"/>
      <w:lang w:eastAsia="en-US"/>
    </w:rPr>
  </w:style>
  <w:style w:type="character" w:customStyle="1" w:styleId="FooterChar">
    <w:name w:val="Footer Char"/>
    <w:basedOn w:val="DefaultParagraphFont"/>
    <w:link w:val="Footer"/>
    <w:uiPriority w:val="99"/>
    <w:locked/>
    <w:rsid w:val="00F86FF5"/>
    <w:rPr>
      <w:rFonts w:ascii="Calibri" w:eastAsia="新細明體" w:hAnsi="Calibri" w:cs="Times New Roman"/>
      <w:sz w:val="20"/>
    </w:rPr>
  </w:style>
  <w:style w:type="paragraph" w:styleId="BalloonText">
    <w:name w:val="Balloon Text"/>
    <w:basedOn w:val="Normal"/>
    <w:link w:val="BalloonTextChar"/>
    <w:uiPriority w:val="99"/>
    <w:semiHidden/>
    <w:rsid w:val="00F86FF5"/>
    <w:rPr>
      <w:rFonts w:ascii="Cambria" w:hAnsi="Cambria" w:cs="Times New Roman"/>
      <w:kern w:val="0"/>
      <w:sz w:val="18"/>
      <w:szCs w:val="18"/>
      <w:lang w:eastAsia="en-US"/>
    </w:rPr>
  </w:style>
  <w:style w:type="character" w:customStyle="1" w:styleId="BalloonTextChar">
    <w:name w:val="Balloon Text Char"/>
    <w:basedOn w:val="DefaultParagraphFont"/>
    <w:link w:val="BalloonText"/>
    <w:uiPriority w:val="99"/>
    <w:semiHidden/>
    <w:locked/>
    <w:rsid w:val="00F86FF5"/>
    <w:rPr>
      <w:rFonts w:ascii="Cambria" w:eastAsia="新細明體" w:hAnsi="Cambria" w:cs="Times New Roman"/>
      <w:sz w:val="18"/>
    </w:rPr>
  </w:style>
  <w:style w:type="paragraph" w:styleId="NoSpacing">
    <w:name w:val="No Spacing"/>
    <w:uiPriority w:val="99"/>
    <w:qFormat/>
    <w:rsid w:val="00F86FF5"/>
    <w:pPr>
      <w:widowControl w:val="0"/>
    </w:pPr>
    <w:rPr>
      <w:rFonts w:cs="Calibri"/>
      <w:szCs w:val="24"/>
    </w:rPr>
  </w:style>
  <w:style w:type="character" w:customStyle="1" w:styleId="st">
    <w:name w:val="st"/>
    <w:basedOn w:val="DefaultParagraphFont"/>
    <w:uiPriority w:val="99"/>
    <w:rsid w:val="004400A4"/>
    <w:rPr>
      <w:rFonts w:cs="Times New Roman"/>
    </w:rPr>
  </w:style>
  <w:style w:type="paragraph" w:customStyle="1" w:styleId="Default">
    <w:name w:val="Default"/>
    <w:uiPriority w:val="99"/>
    <w:rsid w:val="00D21AE8"/>
    <w:pPr>
      <w:widowControl w:val="0"/>
      <w:autoSpaceDE w:val="0"/>
      <w:autoSpaceDN w:val="0"/>
      <w:adjustRightInd w:val="0"/>
    </w:pPr>
    <w:rPr>
      <w:rFonts w:ascii="Times New Roman" w:hAnsi="Times New Roman"/>
      <w:color w:val="000000"/>
      <w:kern w:val="0"/>
      <w:szCs w:val="24"/>
    </w:rPr>
  </w:style>
  <w:style w:type="character" w:styleId="CommentReference">
    <w:name w:val="annotation reference"/>
    <w:basedOn w:val="DefaultParagraphFont"/>
    <w:uiPriority w:val="99"/>
    <w:semiHidden/>
    <w:rsid w:val="00132AD6"/>
    <w:rPr>
      <w:rFonts w:cs="Times New Roman"/>
      <w:sz w:val="16"/>
      <w:szCs w:val="16"/>
    </w:rPr>
  </w:style>
  <w:style w:type="paragraph" w:styleId="CommentText">
    <w:name w:val="annotation text"/>
    <w:basedOn w:val="Normal"/>
    <w:link w:val="CommentTextChar"/>
    <w:uiPriority w:val="99"/>
    <w:semiHidden/>
    <w:rsid w:val="00132AD6"/>
    <w:rPr>
      <w:sz w:val="20"/>
      <w:szCs w:val="20"/>
    </w:rPr>
  </w:style>
  <w:style w:type="character" w:customStyle="1" w:styleId="CommentTextChar">
    <w:name w:val="Comment Text Char"/>
    <w:basedOn w:val="DefaultParagraphFont"/>
    <w:link w:val="CommentText"/>
    <w:uiPriority w:val="99"/>
    <w:semiHidden/>
    <w:locked/>
    <w:rsid w:val="00CA2310"/>
    <w:rPr>
      <w:rFonts w:cs="Calibri"/>
      <w:kern w:val="2"/>
      <w:sz w:val="20"/>
      <w:szCs w:val="20"/>
      <w:lang w:eastAsia="zh-TW"/>
    </w:rPr>
  </w:style>
  <w:style w:type="paragraph" w:styleId="CommentSubject">
    <w:name w:val="annotation subject"/>
    <w:basedOn w:val="CommentText"/>
    <w:next w:val="CommentText"/>
    <w:link w:val="CommentSubjectChar"/>
    <w:uiPriority w:val="99"/>
    <w:semiHidden/>
    <w:rsid w:val="00132AD6"/>
    <w:rPr>
      <w:b/>
      <w:bCs/>
    </w:rPr>
  </w:style>
  <w:style w:type="character" w:customStyle="1" w:styleId="CommentSubjectChar">
    <w:name w:val="Comment Subject Char"/>
    <w:basedOn w:val="CommentTextChar"/>
    <w:link w:val="CommentSubject"/>
    <w:uiPriority w:val="99"/>
    <w:semiHidden/>
    <w:locked/>
    <w:rsid w:val="00CA2310"/>
    <w:rPr>
      <w:b/>
      <w:bCs/>
    </w:rPr>
  </w:style>
  <w:style w:type="table" w:styleId="TableGrid">
    <w:name w:val="Table Grid"/>
    <w:basedOn w:val="TableNormal"/>
    <w:uiPriority w:val="99"/>
    <w:locked/>
    <w:rsid w:val="00BF768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0916373">
      <w:marLeft w:val="0"/>
      <w:marRight w:val="0"/>
      <w:marTop w:val="0"/>
      <w:marBottom w:val="0"/>
      <w:divBdr>
        <w:top w:val="none" w:sz="0" w:space="0" w:color="auto"/>
        <w:left w:val="none" w:sz="0" w:space="0" w:color="auto"/>
        <w:bottom w:val="none" w:sz="0" w:space="0" w:color="auto"/>
        <w:right w:val="none" w:sz="0" w:space="0" w:color="auto"/>
      </w:divBdr>
    </w:div>
    <w:div w:id="600916374">
      <w:marLeft w:val="0"/>
      <w:marRight w:val="0"/>
      <w:marTop w:val="0"/>
      <w:marBottom w:val="0"/>
      <w:divBdr>
        <w:top w:val="none" w:sz="0" w:space="0" w:color="auto"/>
        <w:left w:val="none" w:sz="0" w:space="0" w:color="auto"/>
        <w:bottom w:val="none" w:sz="0" w:space="0" w:color="auto"/>
        <w:right w:val="none" w:sz="0" w:space="0" w:color="auto"/>
      </w:divBdr>
    </w:div>
    <w:div w:id="600916375">
      <w:marLeft w:val="0"/>
      <w:marRight w:val="0"/>
      <w:marTop w:val="0"/>
      <w:marBottom w:val="0"/>
      <w:divBdr>
        <w:top w:val="none" w:sz="0" w:space="0" w:color="auto"/>
        <w:left w:val="none" w:sz="0" w:space="0" w:color="auto"/>
        <w:bottom w:val="none" w:sz="0" w:space="0" w:color="auto"/>
        <w:right w:val="none" w:sz="0" w:space="0" w:color="auto"/>
      </w:divBdr>
    </w:div>
    <w:div w:id="600916376">
      <w:marLeft w:val="0"/>
      <w:marRight w:val="0"/>
      <w:marTop w:val="0"/>
      <w:marBottom w:val="0"/>
      <w:divBdr>
        <w:top w:val="none" w:sz="0" w:space="0" w:color="auto"/>
        <w:left w:val="none" w:sz="0" w:space="0" w:color="auto"/>
        <w:bottom w:val="none" w:sz="0" w:space="0" w:color="auto"/>
        <w:right w:val="none" w:sz="0" w:space="0" w:color="auto"/>
      </w:divBdr>
    </w:div>
    <w:div w:id="600916377">
      <w:marLeft w:val="0"/>
      <w:marRight w:val="0"/>
      <w:marTop w:val="0"/>
      <w:marBottom w:val="0"/>
      <w:divBdr>
        <w:top w:val="none" w:sz="0" w:space="0" w:color="auto"/>
        <w:left w:val="none" w:sz="0" w:space="0" w:color="auto"/>
        <w:bottom w:val="none" w:sz="0" w:space="0" w:color="auto"/>
        <w:right w:val="none" w:sz="0" w:space="0" w:color="auto"/>
      </w:divBdr>
    </w:div>
    <w:div w:id="600916378">
      <w:marLeft w:val="0"/>
      <w:marRight w:val="0"/>
      <w:marTop w:val="0"/>
      <w:marBottom w:val="0"/>
      <w:divBdr>
        <w:top w:val="none" w:sz="0" w:space="0" w:color="auto"/>
        <w:left w:val="none" w:sz="0" w:space="0" w:color="auto"/>
        <w:bottom w:val="none" w:sz="0" w:space="0" w:color="auto"/>
        <w:right w:val="none" w:sz="0" w:space="0" w:color="auto"/>
      </w:divBdr>
    </w:div>
    <w:div w:id="600916379">
      <w:marLeft w:val="0"/>
      <w:marRight w:val="0"/>
      <w:marTop w:val="0"/>
      <w:marBottom w:val="0"/>
      <w:divBdr>
        <w:top w:val="none" w:sz="0" w:space="0" w:color="auto"/>
        <w:left w:val="none" w:sz="0" w:space="0" w:color="auto"/>
        <w:bottom w:val="none" w:sz="0" w:space="0" w:color="auto"/>
        <w:right w:val="none" w:sz="0" w:space="0" w:color="auto"/>
      </w:divBdr>
    </w:div>
    <w:div w:id="600916380">
      <w:marLeft w:val="0"/>
      <w:marRight w:val="0"/>
      <w:marTop w:val="0"/>
      <w:marBottom w:val="0"/>
      <w:divBdr>
        <w:top w:val="none" w:sz="0" w:space="0" w:color="auto"/>
        <w:left w:val="none" w:sz="0" w:space="0" w:color="auto"/>
        <w:bottom w:val="none" w:sz="0" w:space="0" w:color="auto"/>
        <w:right w:val="none" w:sz="0" w:space="0" w:color="auto"/>
      </w:divBdr>
    </w:div>
    <w:div w:id="600916381">
      <w:marLeft w:val="0"/>
      <w:marRight w:val="0"/>
      <w:marTop w:val="0"/>
      <w:marBottom w:val="0"/>
      <w:divBdr>
        <w:top w:val="none" w:sz="0" w:space="0" w:color="auto"/>
        <w:left w:val="none" w:sz="0" w:space="0" w:color="auto"/>
        <w:bottom w:val="none" w:sz="0" w:space="0" w:color="auto"/>
        <w:right w:val="none" w:sz="0" w:space="0" w:color="auto"/>
      </w:divBdr>
    </w:div>
    <w:div w:id="600916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om@tiit.edu.tw"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srn.com/abstract=11075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wfhung@fc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49</Pages>
  <Words>12314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Institutional and Individual Trading Drive Value and Size Premiums: Evidence from Japan</dc:title>
  <dc:subject/>
  <dc:creator>user</dc:creator>
  <cp:keywords/>
  <dc:description/>
  <cp:lastModifiedBy>NCTU</cp:lastModifiedBy>
  <cp:revision>2</cp:revision>
  <cp:lastPrinted>2011-10-23T14:55:00Z</cp:lastPrinted>
  <dcterms:created xsi:type="dcterms:W3CDTF">2012-08-20T13:48:00Z</dcterms:created>
  <dcterms:modified xsi:type="dcterms:W3CDTF">2012-08-20T13:48:00Z</dcterms:modified>
</cp:coreProperties>
</file>