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A4" w:rsidRPr="00B54808" w:rsidRDefault="005D58A4" w:rsidP="005D58A4">
      <w:pPr>
        <w:spacing w:line="360" w:lineRule="auto"/>
        <w:jc w:val="center"/>
        <w:rPr>
          <w:b/>
          <w:sz w:val="40"/>
          <w:szCs w:val="40"/>
        </w:rPr>
      </w:pPr>
      <w:r w:rsidRPr="00B54808">
        <w:rPr>
          <w:b/>
          <w:sz w:val="40"/>
          <w:szCs w:val="40"/>
        </w:rPr>
        <w:t>Chapter 1</w:t>
      </w:r>
      <w:r>
        <w:rPr>
          <w:b/>
          <w:sz w:val="40"/>
          <w:szCs w:val="40"/>
        </w:rPr>
        <w:t>9</w:t>
      </w:r>
      <w:r w:rsidRPr="00B54808">
        <w:rPr>
          <w:b/>
          <w:sz w:val="40"/>
          <w:szCs w:val="40"/>
        </w:rPr>
        <w:t xml:space="preserve"> Solutions</w:t>
      </w:r>
    </w:p>
    <w:p w:rsidR="00115AA7" w:rsidRDefault="00E30D5A" w:rsidP="00E30D5A">
      <w:pPr>
        <w:pStyle w:val="ListParagraph"/>
        <w:numPr>
          <w:ilvl w:val="0"/>
          <w:numId w:val="7"/>
        </w:numPr>
        <w:spacing w:line="360" w:lineRule="auto"/>
      </w:pPr>
      <w:r>
        <w:t>The delta (</w:t>
      </w:r>
      <w:r>
        <w:rPr>
          <w:rFonts w:ascii="Calibri" w:hAnsi="Calibri" w:cs="Calibri"/>
        </w:rPr>
        <w:t>∆</w:t>
      </w:r>
      <w:r>
        <w:t xml:space="preserve">) of a call options is </w:t>
      </w:r>
      <w:r w:rsidR="00385333">
        <w:t xml:space="preserve">represented </w:t>
      </w:r>
      <w:r>
        <w:t xml:space="preserve">the sensitivity of the call option price to the current price of its underlying asset. </w:t>
      </w:r>
      <w:r>
        <w:rPr>
          <w:rFonts w:ascii="Calibri" w:hAnsi="Calibri" w:cs="Calibri"/>
        </w:rPr>
        <w:t>∆</w:t>
      </w:r>
      <w:r>
        <w:t xml:space="preserve">=0.7 implies that the purchase of 0.7 times the number of underlying shares in the contract of the call option  to hedge the loss from value of call option when the underlying asset’s price changes. </w:t>
      </w:r>
    </w:p>
    <w:p w:rsidR="00710BA9" w:rsidRDefault="00385333" w:rsidP="00E30D5A">
      <w:pPr>
        <w:pStyle w:val="ListParagraph"/>
        <w:numPr>
          <w:ilvl w:val="0"/>
          <w:numId w:val="7"/>
        </w:numPr>
        <w:spacing w:line="360" w:lineRule="auto"/>
      </w:pPr>
      <w:r>
        <w:t>Theta (</w:t>
      </w:r>
      <w:r>
        <w:rPr>
          <w:rFonts w:ascii="Calibri" w:hAnsi="Calibri" w:cs="Calibri"/>
        </w:rPr>
        <w:t xml:space="preserve">Θ) </w:t>
      </w:r>
      <w:r w:rsidRPr="00385333">
        <w:t xml:space="preserve">is </w:t>
      </w:r>
      <w:r>
        <w:t xml:space="preserve">represented </w:t>
      </w:r>
      <w:r w:rsidRPr="00385333">
        <w:t>the</w:t>
      </w:r>
      <w:r>
        <w:t xml:space="preserve"> sensitivity of </w:t>
      </w:r>
      <w:r>
        <w:t>the option price</w:t>
      </w:r>
      <w:r>
        <w:t xml:space="preserve"> to</w:t>
      </w:r>
      <w:r w:rsidRPr="00385333">
        <w:t xml:space="preserve"> </w:t>
      </w:r>
      <w:r>
        <w:t>the time to maturity</w:t>
      </w:r>
      <w:r>
        <w:t xml:space="preserve">. The negative Theta value implies that </w:t>
      </w:r>
      <w:r>
        <w:t>the time value of the option decrease</w:t>
      </w:r>
      <w:r>
        <w:t xml:space="preserve">s when time passes. </w:t>
      </w:r>
    </w:p>
    <w:p w:rsidR="00710BA9" w:rsidRDefault="00385333" w:rsidP="00710BA9">
      <w:pPr>
        <w:pStyle w:val="ListParagraph"/>
        <w:spacing w:line="360" w:lineRule="auto"/>
        <w:ind w:left="1080"/>
      </w:pPr>
      <w:r>
        <w:t>Gamma (</w:t>
      </w:r>
      <w:r>
        <w:rPr>
          <w:rFonts w:ascii="Calibri" w:hAnsi="Calibri" w:cs="Calibri"/>
        </w:rPr>
        <w:t>Γ</w:t>
      </w:r>
      <w:r w:rsidRPr="00385333">
        <w:t>)</w:t>
      </w:r>
      <w:r>
        <w:t xml:space="preserve"> is represented the sensitivity of </w:t>
      </w:r>
      <w:r w:rsidR="00FC34B0">
        <w:t>the change of delta</w:t>
      </w:r>
      <w:r>
        <w:t xml:space="preserve"> </w:t>
      </w:r>
      <w:r w:rsidR="00FC34B0">
        <w:t>(</w:t>
      </w:r>
      <w:r w:rsidR="00FC34B0">
        <w:rPr>
          <w:rFonts w:ascii="Calibri" w:hAnsi="Calibri" w:cs="Calibri"/>
        </w:rPr>
        <w:t>∆</w:t>
      </w:r>
      <w:r w:rsidR="00FC34B0">
        <w:t>)</w:t>
      </w:r>
      <w:r w:rsidR="00FC34B0">
        <w:t xml:space="preserve"> </w:t>
      </w:r>
      <w:r>
        <w:t>to the rate of change of the underlying asset price.</w:t>
      </w:r>
      <w:r w:rsidR="00710BA9">
        <w:t xml:space="preserve"> The positive Gamma implies that the value of option increases when the changes in the underlying stock price increase. </w:t>
      </w:r>
    </w:p>
    <w:p w:rsidR="00E30D5A" w:rsidRDefault="00710BA9" w:rsidP="00E30D5A">
      <w:pPr>
        <w:pStyle w:val="ListParagraph"/>
        <w:numPr>
          <w:ilvl w:val="0"/>
          <w:numId w:val="7"/>
        </w:numPr>
        <w:spacing w:line="360" w:lineRule="auto"/>
      </w:pPr>
      <w:r>
        <w:t xml:space="preserve">The </w:t>
      </w:r>
      <w:proofErr w:type="spellStart"/>
      <w:proofErr w:type="gramStart"/>
      <w:r>
        <w:t>vega</w:t>
      </w:r>
      <w:proofErr w:type="spellEnd"/>
      <w:proofErr w:type="gramEnd"/>
      <w:r>
        <w:t xml:space="preserve"> (</w:t>
      </w:r>
      <w:r>
        <w:rPr>
          <w:rFonts w:ascii="Calibri" w:hAnsi="Calibri" w:cs="Calibri"/>
        </w:rPr>
        <w:t>ν</w:t>
      </w:r>
      <w:r>
        <w:t xml:space="preserve">) is represented the sensitivity of the option price to the volatility of the underlying asset. </w:t>
      </w:r>
      <w:r w:rsidR="00385333">
        <w:t xml:space="preserve"> </w:t>
      </w:r>
      <w:r>
        <w:t xml:space="preserve">The positive </w:t>
      </w:r>
      <w:proofErr w:type="spellStart"/>
      <w:proofErr w:type="gramStart"/>
      <w:r>
        <w:t>vega</w:t>
      </w:r>
      <w:proofErr w:type="spellEnd"/>
      <w:proofErr w:type="gramEnd"/>
      <w:r>
        <w:t xml:space="preserve"> implies that the option price is positively related to the volatility of stock price. Increase 1% in volatility of underlying stock price will contribute to the increase of </w:t>
      </w:r>
      <w:proofErr w:type="spellStart"/>
      <w:proofErr w:type="gramStart"/>
      <w:r>
        <w:t>vega</w:t>
      </w:r>
      <w:proofErr w:type="spellEnd"/>
      <w:proofErr w:type="gramEnd"/>
      <w:r>
        <w:t xml:space="preserve"> % in option price. </w:t>
      </w:r>
    </w:p>
    <w:p w:rsidR="00710BA9" w:rsidRDefault="00710BA9" w:rsidP="00E30D5A">
      <w:pPr>
        <w:pStyle w:val="ListParagraph"/>
        <w:numPr>
          <w:ilvl w:val="0"/>
          <w:numId w:val="7"/>
        </w:numPr>
        <w:spacing w:line="360" w:lineRule="auto"/>
      </w:pPr>
      <w:r>
        <w:t xml:space="preserve">When we utilize a Taylor series expansion to evaluate the option price on the base of the </w:t>
      </w:r>
      <w:r w:rsidR="00FC34B0">
        <w:t>current</w:t>
      </w:r>
      <w:r>
        <w:t xml:space="preserve"> </w:t>
      </w:r>
      <w:r w:rsidR="00FC34B0">
        <w:t>price</w:t>
      </w:r>
      <w:r>
        <w:t xml:space="preserve"> of the underlying asset</w:t>
      </w:r>
      <w:r w:rsidR="00FC34B0">
        <w:t xml:space="preserve"> (S</w:t>
      </w:r>
      <w:r w:rsidR="00FC34B0" w:rsidRPr="00FC34B0">
        <w:rPr>
          <w:vertAlign w:val="subscript"/>
        </w:rPr>
        <w:t>0</w:t>
      </w:r>
      <w:r w:rsidR="00FC34B0">
        <w:t xml:space="preserve">) </w:t>
      </w:r>
      <w:r>
        <w:t>, then the option price</w:t>
      </w:r>
      <w:r w:rsidR="00FC34B0">
        <w:t xml:space="preserve"> (V)</w:t>
      </w:r>
      <w:r>
        <w:t xml:space="preserve"> can be written as</w:t>
      </w:r>
    </w:p>
    <w:p w:rsidR="00710BA9" w:rsidRDefault="00710BA9" w:rsidP="00710BA9">
      <w:pPr>
        <w:pStyle w:val="ListParagraph"/>
        <w:spacing w:line="360" w:lineRule="auto"/>
        <w:ind w:left="1080"/>
      </w:pPr>
    </w:p>
    <w:p w:rsidR="00710BA9" w:rsidRDefault="00FC34B0" w:rsidP="00710BA9">
      <w:pPr>
        <w:pStyle w:val="ListParagraph"/>
        <w:spacing w:line="360" w:lineRule="auto"/>
        <w:ind w:left="1080"/>
      </w:pPr>
      <w:r w:rsidRPr="00C33767">
        <w:rPr>
          <w:position w:val="-60"/>
          <w:vertAlign w:val="subscript"/>
        </w:rPr>
        <w:object w:dxaOrig="776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66.35pt" o:ole="">
            <v:imagedata r:id="rId6" o:title=""/>
          </v:shape>
          <o:OLEObject Type="Embed" ProgID="Equation.DSMT4" ShapeID="_x0000_i1025" DrawAspect="Content" ObjectID="_1405864355" r:id="rId7"/>
        </w:object>
      </w:r>
    </w:p>
    <w:p w:rsidR="00710BA9" w:rsidRDefault="00FC34B0" w:rsidP="00710BA9">
      <w:pPr>
        <w:pStyle w:val="ListParagraph"/>
        <w:spacing w:line="360" w:lineRule="auto"/>
        <w:ind w:left="1080"/>
      </w:pPr>
      <w:r>
        <w:t>If we ignore the higher terms of error, then the change of option price can be arranged as</w:t>
      </w:r>
    </w:p>
    <w:p w:rsidR="00FC34B0" w:rsidRDefault="00FC34B0" w:rsidP="00710BA9">
      <w:pPr>
        <w:pStyle w:val="ListParagraph"/>
        <w:spacing w:line="360" w:lineRule="auto"/>
        <w:ind w:left="1080"/>
        <w:rPr>
          <w:position w:val="-60"/>
          <w:vertAlign w:val="subscript"/>
        </w:rPr>
      </w:pPr>
      <w:r w:rsidRPr="00FC34B0">
        <w:rPr>
          <w:position w:val="-24"/>
          <w:vertAlign w:val="subscript"/>
        </w:rPr>
        <w:object w:dxaOrig="7660" w:dyaOrig="660">
          <v:shape id="_x0000_i1026" type="#_x0000_t75" style="width:383.15pt;height:33.2pt" o:ole="">
            <v:imagedata r:id="rId8" o:title=""/>
          </v:shape>
          <o:OLEObject Type="Embed" ProgID="Equation.DSMT4" ShapeID="_x0000_i1026" DrawAspect="Content" ObjectID="_1405864356" r:id="rId9"/>
        </w:object>
      </w:r>
    </w:p>
    <w:p w:rsidR="00FC34B0" w:rsidRDefault="00FC34B0" w:rsidP="00710BA9">
      <w:pPr>
        <w:pStyle w:val="ListParagraph"/>
        <w:spacing w:line="360" w:lineRule="auto"/>
        <w:ind w:left="1080"/>
      </w:pPr>
      <w:r>
        <w:t xml:space="preserve">On the right side of equation above, the first term is Delta multiplied by the change of underlying asset price and the second term is the Gamma times the square of the change of underlying asset price.  </w:t>
      </w:r>
    </w:p>
    <w:p w:rsidR="00825BDD" w:rsidRDefault="00825BDD" w:rsidP="00825BDD">
      <w:pPr>
        <w:pStyle w:val="ListParagraph"/>
        <w:numPr>
          <w:ilvl w:val="0"/>
          <w:numId w:val="7"/>
        </w:numPr>
        <w:spacing w:line="360" w:lineRule="auto"/>
      </w:pPr>
      <w:r>
        <w:t xml:space="preserve">For an European call option on a non-dividend stock, the formula to calculate Delta is </w:t>
      </w:r>
      <w:r>
        <w:lastRenderedPageBreak/>
        <w:t>Equation (20.5) as follows:</w:t>
      </w:r>
    </w:p>
    <w:p w:rsidR="00825BDD" w:rsidRDefault="00825BDD" w:rsidP="003D6D61">
      <w:pPr>
        <w:pStyle w:val="ListParagraph"/>
        <w:spacing w:line="360" w:lineRule="auto"/>
        <w:ind w:left="1080"/>
        <w:jc w:val="center"/>
      </w:pPr>
      <w:r w:rsidRPr="002F303D">
        <w:rPr>
          <w:position w:val="-12"/>
        </w:rPr>
        <w:object w:dxaOrig="1020" w:dyaOrig="360">
          <v:shape id="_x0000_i1027" type="#_x0000_t75" style="width:51.35pt;height:18.8pt" o:ole="">
            <v:imagedata r:id="rId10" o:title=""/>
          </v:shape>
          <o:OLEObject Type="Embed" ProgID="Equation.DSMT4" ShapeID="_x0000_i1027" DrawAspect="Content" ObjectID="_1405864357" r:id="rId11"/>
        </w:object>
      </w:r>
      <w:r w:rsidR="003D6D61">
        <w:rPr>
          <w:position w:val="-12"/>
        </w:rPr>
        <w:t xml:space="preserve">, </w:t>
      </w:r>
      <w:r w:rsidR="003D6D61" w:rsidRPr="006E2259">
        <w:rPr>
          <w:position w:val="-32"/>
        </w:rPr>
        <w:object w:dxaOrig="2439" w:dyaOrig="1120">
          <v:shape id="_x0000_i1028" type="#_x0000_t75" style="width:122.1pt;height:55.1pt" o:ole="">
            <v:imagedata r:id="rId12" o:title=""/>
          </v:shape>
          <o:OLEObject Type="Embed" ProgID="Equation.3" ShapeID="_x0000_i1028" DrawAspect="Content" ObjectID="_1405864358" r:id="rId13"/>
        </w:object>
      </w:r>
    </w:p>
    <w:p w:rsidR="003D6D61" w:rsidRDefault="003D6D61" w:rsidP="003D6D61">
      <w:pPr>
        <w:pStyle w:val="ListParagraph"/>
        <w:spacing w:line="360" w:lineRule="auto"/>
        <w:ind w:left="1080"/>
      </w:pPr>
      <w:r>
        <w:t>W</w:t>
      </w:r>
      <w:r>
        <w:t xml:space="preserve">hen </w:t>
      </w:r>
      <w:r w:rsidRPr="002F60A5">
        <w:rPr>
          <w:i/>
        </w:rPr>
        <w:t>r</w:t>
      </w:r>
      <w:r>
        <w:t xml:space="preserve"> = 5% per year, </w:t>
      </w:r>
      <w:r w:rsidRPr="00A9096B">
        <w:rPr>
          <w:position w:val="-12"/>
        </w:rPr>
        <w:object w:dxaOrig="279" w:dyaOrig="360">
          <v:shape id="_x0000_i1029" type="#_x0000_t75" style="width:14.4pt;height:18.8pt" o:ole="">
            <v:imagedata r:id="rId14" o:title=""/>
          </v:shape>
          <o:OLEObject Type="Embed" ProgID="Equation.DSMT4" ShapeID="_x0000_i1029" DrawAspect="Content" ObjectID="_1405864359" r:id="rId15"/>
        </w:object>
      </w:r>
      <w:r>
        <w:t xml:space="preserve"> = 15%, and the maturity </w:t>
      </w:r>
      <w:r w:rsidRPr="00A9096B">
        <w:rPr>
          <w:position w:val="-6"/>
        </w:rPr>
        <w:object w:dxaOrig="180" w:dyaOrig="220">
          <v:shape id="_x0000_i1030" type="#_x0000_t75" style="width:9.4pt;height:11.25pt" o:ole="">
            <v:imagedata r:id="rId16" o:title=""/>
          </v:shape>
          <o:OLEObject Type="Embed" ProgID="Equation.DSMT4" ShapeID="_x0000_i1030" DrawAspect="Content" ObjectID="_1405864360" r:id="rId17"/>
        </w:object>
      </w:r>
      <w:r>
        <w:t xml:space="preserve"> = 2</w:t>
      </w:r>
      <w:r>
        <w:t>, the Delta of an at-the-money call option is</w:t>
      </w:r>
    </w:p>
    <w:p w:rsidR="003D6D61" w:rsidRDefault="003D6D61" w:rsidP="003D6D61">
      <w:pPr>
        <w:pStyle w:val="ListParagraph"/>
        <w:spacing w:line="360" w:lineRule="auto"/>
        <w:ind w:left="1080"/>
        <w:jc w:val="center"/>
        <w:rPr>
          <w:position w:val="-32"/>
        </w:rPr>
      </w:pPr>
      <w:r w:rsidRPr="003D6D61">
        <w:rPr>
          <w:position w:val="-28"/>
        </w:rPr>
        <w:object w:dxaOrig="3780" w:dyaOrig="1040">
          <v:shape id="_x0000_i1031" type="#_x0000_t75" style="width:189.1pt;height:51.35pt" o:ole="">
            <v:imagedata r:id="rId18" o:title=""/>
          </v:shape>
          <o:OLEObject Type="Embed" ProgID="Equation.DSMT4" ShapeID="_x0000_i1031" DrawAspect="Content" ObjectID="_1405864361" r:id="rId19"/>
        </w:object>
      </w:r>
    </w:p>
    <w:p w:rsidR="003D6D61" w:rsidRDefault="003D6D61" w:rsidP="003D6D61">
      <w:pPr>
        <w:pStyle w:val="ListParagraph"/>
        <w:spacing w:line="360" w:lineRule="auto"/>
        <w:ind w:left="1080"/>
        <w:jc w:val="center"/>
        <w:rPr>
          <w:position w:val="-12"/>
        </w:rPr>
      </w:pPr>
      <w:r w:rsidRPr="003D6D61">
        <w:rPr>
          <w:position w:val="-10"/>
        </w:rPr>
        <w:object w:dxaOrig="2380" w:dyaOrig="320">
          <v:shape id="_x0000_i1032" type="#_x0000_t75" style="width:118.95pt;height:16.3pt" o:ole="">
            <v:imagedata r:id="rId20" o:title=""/>
          </v:shape>
          <o:OLEObject Type="Embed" ProgID="Equation.DSMT4" ShapeID="_x0000_i1032" DrawAspect="Content" ObjectID="_1405864362" r:id="rId21"/>
        </w:object>
      </w:r>
    </w:p>
    <w:p w:rsidR="003C2774" w:rsidRDefault="003C2774" w:rsidP="003C2774">
      <w:pPr>
        <w:pStyle w:val="ListParagraph"/>
        <w:numPr>
          <w:ilvl w:val="0"/>
          <w:numId w:val="7"/>
        </w:numPr>
        <w:spacing w:line="360" w:lineRule="auto"/>
      </w:pPr>
      <w:r>
        <w:t xml:space="preserve">For an European call option on a non-dividend stock, </w:t>
      </w:r>
    </w:p>
    <w:p w:rsidR="00C76BCD" w:rsidRDefault="00C76BCD" w:rsidP="003C2774">
      <w:pPr>
        <w:pStyle w:val="ListParagraph"/>
        <w:spacing w:line="360" w:lineRule="auto"/>
        <w:ind w:left="1080"/>
        <w:rPr>
          <w:position w:val="-12"/>
        </w:rPr>
      </w:pPr>
      <w:r w:rsidRPr="002F303D">
        <w:rPr>
          <w:position w:val="-12"/>
        </w:rPr>
        <w:object w:dxaOrig="1020" w:dyaOrig="360">
          <v:shape id="_x0000_i1033" type="#_x0000_t75" style="width:51.35pt;height:18.8pt" o:ole="">
            <v:imagedata r:id="rId10" o:title=""/>
          </v:shape>
          <o:OLEObject Type="Embed" ProgID="Equation.DSMT4" ShapeID="_x0000_i1033" DrawAspect="Content" ObjectID="_1405864363" r:id="rId22"/>
        </w:object>
      </w:r>
    </w:p>
    <w:p w:rsidR="00C76BCD" w:rsidRDefault="00C76BCD" w:rsidP="003C2774">
      <w:pPr>
        <w:pStyle w:val="ListParagraph"/>
        <w:spacing w:line="360" w:lineRule="auto"/>
        <w:ind w:left="1080"/>
        <w:rPr>
          <w:position w:val="-32"/>
        </w:rPr>
      </w:pPr>
      <w:r w:rsidRPr="00482E8F">
        <w:rPr>
          <w:position w:val="-32"/>
        </w:rPr>
        <w:object w:dxaOrig="1880" w:dyaOrig="700">
          <v:shape id="_x0000_i1035" type="#_x0000_t75" style="width:93.3pt;height:35.7pt" o:ole="">
            <v:imagedata r:id="rId23" o:title=""/>
          </v:shape>
          <o:OLEObject Type="Embed" ProgID="Equation.DSMT4" ShapeID="_x0000_i1035" DrawAspect="Content" ObjectID="_1405864364" r:id="rId24"/>
        </w:object>
      </w:r>
    </w:p>
    <w:p w:rsidR="00C76BCD" w:rsidRDefault="00C76BCD" w:rsidP="003C2774">
      <w:pPr>
        <w:pStyle w:val="ListParagraph"/>
        <w:spacing w:line="360" w:lineRule="auto"/>
        <w:ind w:left="1080"/>
        <w:rPr>
          <w:position w:val="-14"/>
        </w:rPr>
      </w:pPr>
      <w:r w:rsidRPr="00B61B66">
        <w:rPr>
          <w:position w:val="-14"/>
        </w:rPr>
        <w:object w:dxaOrig="1700" w:dyaOrig="420">
          <v:shape id="_x0000_i1036" type="#_x0000_t75" style="width:83.9pt;height:20.65pt" o:ole="">
            <v:imagedata r:id="rId25" o:title=""/>
          </v:shape>
          <o:OLEObject Type="Embed" ProgID="Equation.DSMT4" ShapeID="_x0000_i1036" DrawAspect="Content" ObjectID="_1405864365" r:id="rId26"/>
        </w:object>
      </w:r>
    </w:p>
    <w:p w:rsidR="003C2774" w:rsidRDefault="00C76BCD" w:rsidP="003C2774">
      <w:pPr>
        <w:pStyle w:val="ListParagraph"/>
        <w:spacing w:line="360" w:lineRule="auto"/>
        <w:ind w:left="1080"/>
        <w:rPr>
          <w:position w:val="-28"/>
        </w:rPr>
      </w:pPr>
      <w:r w:rsidRPr="007D71F1">
        <w:rPr>
          <w:position w:val="-28"/>
        </w:rPr>
        <w:object w:dxaOrig="3320" w:dyaOrig="660">
          <v:shape id="_x0000_i1034" type="#_x0000_t75" style="width:165.3pt;height:33.8pt" o:ole="">
            <v:imagedata r:id="rId27" o:title=""/>
          </v:shape>
          <o:OLEObject Type="Embed" ProgID="Equation.DSMT4" ShapeID="_x0000_i1034" DrawAspect="Content" ObjectID="_1405864366" r:id="rId28"/>
        </w:object>
      </w:r>
    </w:p>
    <w:p w:rsidR="00C76BCD" w:rsidRDefault="00C76BCD" w:rsidP="003C2774">
      <w:pPr>
        <w:pStyle w:val="ListParagraph"/>
        <w:spacing w:line="360" w:lineRule="auto"/>
        <w:ind w:left="1080"/>
      </w:pPr>
      <w:r w:rsidRPr="00F61A31">
        <w:rPr>
          <w:position w:val="-12"/>
        </w:rPr>
        <w:object w:dxaOrig="1920" w:dyaOrig="380">
          <v:shape id="_x0000_i1037" type="#_x0000_t75" style="width:95.15pt;height:18.8pt" o:ole="">
            <v:imagedata r:id="rId29" o:title=""/>
          </v:shape>
          <o:OLEObject Type="Embed" ProgID="Equation.DSMT4" ShapeID="_x0000_i1037" DrawAspect="Content" ObjectID="_1405864367" r:id="rId30"/>
        </w:object>
      </w:r>
    </w:p>
    <w:p w:rsidR="00C76BCD" w:rsidRDefault="00C76BCD" w:rsidP="003C2774">
      <w:pPr>
        <w:pStyle w:val="ListParagraph"/>
        <w:spacing w:line="360" w:lineRule="auto"/>
        <w:ind w:left="1080"/>
        <w:rPr>
          <w:position w:val="-32"/>
        </w:rPr>
      </w:pPr>
      <w:r w:rsidRPr="006E2259">
        <w:rPr>
          <w:position w:val="-32"/>
        </w:rPr>
        <w:object w:dxaOrig="2439" w:dyaOrig="1120">
          <v:shape id="_x0000_i1038" type="#_x0000_t75" style="width:122.1pt;height:55.1pt" o:ole="">
            <v:imagedata r:id="rId12" o:title=""/>
          </v:shape>
          <o:OLEObject Type="Embed" ProgID="Equation.3" ShapeID="_x0000_i1038" DrawAspect="Content" ObjectID="_1405864368" r:id="rId31"/>
        </w:object>
      </w:r>
      <w:r>
        <w:rPr>
          <w:position w:val="-32"/>
        </w:rPr>
        <w:t xml:space="preserve">, </w:t>
      </w:r>
      <w:r w:rsidRPr="00A64781">
        <w:rPr>
          <w:position w:val="-32"/>
        </w:rPr>
        <w:object w:dxaOrig="3940" w:dyaOrig="1100">
          <v:shape id="_x0000_i1039" type="#_x0000_t75" style="width:197.2pt;height:54.45pt" o:ole="">
            <v:imagedata r:id="rId32" o:title=""/>
          </v:shape>
          <o:OLEObject Type="Embed" ProgID="Equation.DSMT4" ShapeID="_x0000_i1039" DrawAspect="Content" ObjectID="_1405864369" r:id="rId33"/>
        </w:object>
      </w:r>
    </w:p>
    <w:p w:rsidR="0096664F" w:rsidRDefault="0096664F" w:rsidP="003C2774">
      <w:pPr>
        <w:pStyle w:val="ListParagraph"/>
        <w:spacing w:line="360" w:lineRule="auto"/>
        <w:ind w:left="1080"/>
        <w:rPr>
          <w:position w:val="-32"/>
        </w:rPr>
      </w:pPr>
    </w:p>
    <w:p w:rsidR="0096664F" w:rsidRDefault="0096664F" w:rsidP="003C2774">
      <w:pPr>
        <w:pStyle w:val="ListParagraph"/>
        <w:spacing w:line="360" w:lineRule="auto"/>
        <w:ind w:left="1080"/>
        <w:rPr>
          <w:position w:val="-32"/>
        </w:rPr>
      </w:pPr>
      <w:r>
        <w:rPr>
          <w:position w:val="-32"/>
        </w:rPr>
        <w:t>Given the information as follows:</w:t>
      </w:r>
    </w:p>
    <w:p w:rsidR="00C76BCD" w:rsidRDefault="0096664F" w:rsidP="003C2774">
      <w:pPr>
        <w:pStyle w:val="ListParagraph"/>
        <w:spacing w:line="360" w:lineRule="auto"/>
        <w:ind w:left="1080"/>
      </w:pPr>
      <w:r>
        <w:t>S</w:t>
      </w:r>
      <w:r>
        <w:t xml:space="preserve">= $110, </w:t>
      </w:r>
      <w:r w:rsidRPr="002F60A5">
        <w:rPr>
          <w:i/>
        </w:rPr>
        <w:t>X</w:t>
      </w:r>
      <w:r>
        <w:rPr>
          <w:i/>
        </w:rPr>
        <w:t xml:space="preserve"> </w:t>
      </w:r>
      <w:r>
        <w:t xml:space="preserve">= $100, </w:t>
      </w:r>
      <w:r w:rsidRPr="002F60A5">
        <w:rPr>
          <w:i/>
        </w:rPr>
        <w:t>r</w:t>
      </w:r>
      <w:r>
        <w:rPr>
          <w:i/>
        </w:rPr>
        <w:t xml:space="preserve"> </w:t>
      </w:r>
      <w:r>
        <w:t xml:space="preserve">= 0.05, </w:t>
      </w:r>
      <w:r w:rsidRPr="00A9096B">
        <w:rPr>
          <w:position w:val="-12"/>
        </w:rPr>
        <w:object w:dxaOrig="279" w:dyaOrig="360">
          <v:shape id="_x0000_i1040" type="#_x0000_t75" style="width:14.4pt;height:18.8pt" o:ole="">
            <v:imagedata r:id="rId14" o:title=""/>
          </v:shape>
          <o:OLEObject Type="Embed" ProgID="Equation.DSMT4" ShapeID="_x0000_i1040" DrawAspect="Content" ObjectID="_1405864370" r:id="rId34"/>
        </w:object>
      </w:r>
      <w:r>
        <w:rPr>
          <w:position w:val="-12"/>
        </w:rPr>
        <w:t xml:space="preserve"> </w:t>
      </w:r>
      <w:r>
        <w:t xml:space="preserve">= 15%, and </w:t>
      </w:r>
      <w:r w:rsidRPr="00A9096B">
        <w:rPr>
          <w:position w:val="-6"/>
        </w:rPr>
        <w:object w:dxaOrig="180" w:dyaOrig="220">
          <v:shape id="_x0000_i1041" type="#_x0000_t75" style="width:9.4pt;height:11.25pt" o:ole="">
            <v:imagedata r:id="rId16" o:title=""/>
          </v:shape>
          <o:OLEObject Type="Embed" ProgID="Equation.DSMT4" ShapeID="_x0000_i1041" DrawAspect="Content" ObjectID="_1405864371" r:id="rId35"/>
        </w:object>
      </w:r>
      <w:r>
        <w:rPr>
          <w:position w:val="-6"/>
        </w:rPr>
        <w:t xml:space="preserve"> </w:t>
      </w:r>
      <w:r>
        <w:t>= 7 months</w:t>
      </w:r>
      <w:r>
        <w:t xml:space="preserve"> </w:t>
      </w:r>
      <w:proofErr w:type="gramStart"/>
      <w:r>
        <w:t xml:space="preserve">( </w:t>
      </w:r>
      <w:r w:rsidRPr="00A9096B">
        <w:rPr>
          <w:position w:val="-6"/>
        </w:rPr>
        <w:object w:dxaOrig="180" w:dyaOrig="220">
          <v:shape id="_x0000_i1042" type="#_x0000_t75" style="width:9.4pt;height:11.25pt" o:ole="">
            <v:imagedata r:id="rId16" o:title=""/>
          </v:shape>
          <o:OLEObject Type="Embed" ProgID="Equation.DSMT4" ShapeID="_x0000_i1042" DrawAspect="Content" ObjectID="_1405864372" r:id="rId36"/>
        </w:object>
      </w:r>
      <w:r>
        <w:rPr>
          <w:position w:val="-6"/>
        </w:rPr>
        <w:t xml:space="preserve"> </w:t>
      </w:r>
      <w:r>
        <w:t>= 7</w:t>
      </w:r>
      <w:r>
        <w:t>/12 year)</w:t>
      </w:r>
    </w:p>
    <w:p w:rsidR="00C76BCD" w:rsidRDefault="003B7CF3" w:rsidP="003C2774">
      <w:pPr>
        <w:pStyle w:val="ListParagraph"/>
        <w:spacing w:line="360" w:lineRule="auto"/>
        <w:ind w:left="1080"/>
        <w:rPr>
          <w:position w:val="-32"/>
        </w:rPr>
      </w:pPr>
      <w:r w:rsidRPr="003B7CF3">
        <w:rPr>
          <w:position w:val="-88"/>
        </w:rPr>
        <w:object w:dxaOrig="4420" w:dyaOrig="1860">
          <v:shape id="_x0000_i1043" type="#_x0000_t75" style="width:221pt;height:92.05pt" o:ole="">
            <v:imagedata r:id="rId37" o:title=""/>
          </v:shape>
          <o:OLEObject Type="Embed" ProgID="Equation.DSMT4" ShapeID="_x0000_i1043" DrawAspect="Content" ObjectID="_1405864373" r:id="rId38"/>
        </w:object>
      </w:r>
    </w:p>
    <w:p w:rsidR="003B7CF3" w:rsidRDefault="003B7CF3" w:rsidP="003B7CF3">
      <w:pPr>
        <w:pStyle w:val="ListParagraph"/>
        <w:spacing w:line="360" w:lineRule="auto"/>
        <w:ind w:left="1080"/>
        <w:rPr>
          <w:position w:val="-12"/>
        </w:rPr>
      </w:pPr>
      <w:r w:rsidRPr="003B7CF3">
        <w:rPr>
          <w:position w:val="-10"/>
        </w:rPr>
        <w:object w:dxaOrig="2360" w:dyaOrig="320">
          <v:shape id="_x0000_i1044" type="#_x0000_t75" style="width:118.35pt;height:16.3pt" o:ole="">
            <v:imagedata r:id="rId39" o:title=""/>
          </v:shape>
          <o:OLEObject Type="Embed" ProgID="Equation.DSMT4" ShapeID="_x0000_i1044" DrawAspect="Content" ObjectID="_1405864374" r:id="rId40"/>
        </w:object>
      </w:r>
    </w:p>
    <w:p w:rsidR="003B7CF3" w:rsidRDefault="003B7CF3" w:rsidP="003B7CF3">
      <w:pPr>
        <w:pStyle w:val="ListParagraph"/>
        <w:spacing w:line="360" w:lineRule="auto"/>
        <w:ind w:left="1080"/>
        <w:rPr>
          <w:position w:val="-32"/>
        </w:rPr>
      </w:pPr>
      <w:r w:rsidRPr="003B7CF3">
        <w:rPr>
          <w:position w:val="-60"/>
        </w:rPr>
        <w:object w:dxaOrig="4180" w:dyaOrig="980">
          <v:shape id="_x0000_i1045" type="#_x0000_t75" style="width:207.25pt;height:50.1pt" o:ole="">
            <v:imagedata r:id="rId41" o:title=""/>
          </v:shape>
          <o:OLEObject Type="Embed" ProgID="Equation.DSMT4" ShapeID="_x0000_i1045" DrawAspect="Content" ObjectID="_1405864375" r:id="rId42"/>
        </w:object>
      </w:r>
    </w:p>
    <w:p w:rsidR="003B7CF3" w:rsidRDefault="003B7CF3" w:rsidP="003B7CF3">
      <w:pPr>
        <w:pStyle w:val="ListParagraph"/>
        <w:spacing w:line="360" w:lineRule="auto"/>
        <w:ind w:left="1080"/>
        <w:rPr>
          <w:position w:val="-14"/>
        </w:rPr>
      </w:pPr>
      <w:r w:rsidRPr="003B7CF3">
        <w:rPr>
          <w:position w:val="-26"/>
        </w:rPr>
        <w:object w:dxaOrig="3739" w:dyaOrig="700">
          <v:shape id="_x0000_i1046" type="#_x0000_t75" style="width:184.05pt;height:35.05pt" o:ole="">
            <v:imagedata r:id="rId43" o:title=""/>
          </v:shape>
          <o:OLEObject Type="Embed" ProgID="Equation.DSMT4" ShapeID="_x0000_i1046" DrawAspect="Content" ObjectID="_1405864376" r:id="rId44"/>
        </w:object>
      </w:r>
    </w:p>
    <w:p w:rsidR="003B7CF3" w:rsidRDefault="003B7CF3" w:rsidP="003B7CF3">
      <w:pPr>
        <w:pStyle w:val="ListParagraph"/>
        <w:spacing w:line="360" w:lineRule="auto"/>
        <w:ind w:left="1080"/>
        <w:rPr>
          <w:position w:val="-28"/>
        </w:rPr>
      </w:pPr>
      <w:r w:rsidRPr="003B7CF3">
        <w:rPr>
          <w:position w:val="-60"/>
        </w:rPr>
        <w:object w:dxaOrig="6820" w:dyaOrig="1020">
          <v:shape id="_x0000_i1047" type="#_x0000_t75" style="width:339.35pt;height:51.95pt" o:ole="">
            <v:imagedata r:id="rId45" o:title=""/>
          </v:shape>
          <o:OLEObject Type="Embed" ProgID="Equation.DSMT4" ShapeID="_x0000_i1047" DrawAspect="Content" ObjectID="_1405864377" r:id="rId46"/>
        </w:object>
      </w:r>
    </w:p>
    <w:p w:rsidR="003B7CF3" w:rsidRDefault="003B7CF3" w:rsidP="003B7CF3">
      <w:pPr>
        <w:pStyle w:val="ListParagraph"/>
        <w:spacing w:line="360" w:lineRule="auto"/>
        <w:ind w:left="1080"/>
        <w:rPr>
          <w:position w:val="-12"/>
        </w:rPr>
      </w:pPr>
      <w:r w:rsidRPr="003B7CF3">
        <w:rPr>
          <w:position w:val="-24"/>
        </w:rPr>
        <w:object w:dxaOrig="4380" w:dyaOrig="660">
          <v:shape id="_x0000_i1048" type="#_x0000_t75" style="width:217.25pt;height:33.2pt" o:ole="">
            <v:imagedata r:id="rId47" o:title=""/>
          </v:shape>
          <o:OLEObject Type="Embed" ProgID="Equation.DSMT4" ShapeID="_x0000_i1048" DrawAspect="Content" ObjectID="_1405864378" r:id="rId48"/>
        </w:object>
      </w:r>
    </w:p>
    <w:p w:rsidR="00FD0C52" w:rsidRDefault="00FD0C52" w:rsidP="003B7CF3">
      <w:pPr>
        <w:pStyle w:val="ListParagraph"/>
        <w:spacing w:line="360" w:lineRule="auto"/>
        <w:ind w:left="1080"/>
        <w:rPr>
          <w:position w:val="-12"/>
        </w:rPr>
      </w:pPr>
    </w:p>
    <w:p w:rsidR="00FD0C52" w:rsidRDefault="00FD0C52" w:rsidP="00FD0C52">
      <w:pPr>
        <w:pStyle w:val="ListParagraph"/>
        <w:numPr>
          <w:ilvl w:val="0"/>
          <w:numId w:val="7"/>
        </w:numPr>
        <w:spacing w:line="360" w:lineRule="auto"/>
      </w:pPr>
      <w:r>
        <w:t>If the stock pays dividend with 1% dividend yield, then the Greek letters of an European call option on the stock are</w:t>
      </w:r>
    </w:p>
    <w:p w:rsidR="000320B4" w:rsidRDefault="000320B4" w:rsidP="00FD0C52">
      <w:pPr>
        <w:pStyle w:val="ListParagraph"/>
        <w:spacing w:line="360" w:lineRule="auto"/>
        <w:ind w:left="1080"/>
        <w:rPr>
          <w:position w:val="-32"/>
        </w:rPr>
      </w:pPr>
      <w:r w:rsidRPr="000320B4">
        <w:rPr>
          <w:position w:val="-12"/>
        </w:rPr>
        <w:object w:dxaOrig="1359" w:dyaOrig="380">
          <v:shape id="_x0000_i1055" type="#_x0000_t75" style="width:68.25pt;height:19.4pt" o:ole="">
            <v:imagedata r:id="rId49" o:title=""/>
          </v:shape>
          <o:OLEObject Type="Embed" ProgID="Equation.DSMT4" ShapeID="_x0000_i1055" DrawAspect="Content" ObjectID="_1405864379" r:id="rId50"/>
        </w:object>
      </w:r>
    </w:p>
    <w:p w:rsidR="000320B4" w:rsidRDefault="000320B4" w:rsidP="00FD0C52">
      <w:pPr>
        <w:pStyle w:val="ListParagraph"/>
        <w:spacing w:line="360" w:lineRule="auto"/>
        <w:ind w:left="1080"/>
        <w:rPr>
          <w:position w:val="-12"/>
        </w:rPr>
      </w:pPr>
      <w:r w:rsidRPr="00482E8F">
        <w:rPr>
          <w:position w:val="-32"/>
        </w:rPr>
        <w:object w:dxaOrig="1880" w:dyaOrig="740">
          <v:shape id="_x0000_i1051" type="#_x0000_t75" style="width:93.3pt;height:36.3pt" o:ole="">
            <v:imagedata r:id="rId51" o:title=""/>
          </v:shape>
          <o:OLEObject Type="Embed" ProgID="Equation.DSMT4" ShapeID="_x0000_i1051" DrawAspect="Content" ObjectID="_1405864380" r:id="rId52"/>
        </w:object>
      </w:r>
    </w:p>
    <w:p w:rsidR="000320B4" w:rsidRDefault="000320B4" w:rsidP="00FD0C52">
      <w:pPr>
        <w:pStyle w:val="ListParagraph"/>
        <w:spacing w:line="360" w:lineRule="auto"/>
        <w:ind w:left="1080"/>
        <w:rPr>
          <w:position w:val="-14"/>
        </w:rPr>
      </w:pPr>
      <w:r w:rsidRPr="00B61B66">
        <w:rPr>
          <w:position w:val="-14"/>
        </w:rPr>
        <w:object w:dxaOrig="2040" w:dyaOrig="420">
          <v:shape id="_x0000_i1050" type="#_x0000_t75" style="width:102.05pt;height:20.65pt" o:ole="">
            <v:imagedata r:id="rId53" o:title=""/>
          </v:shape>
          <o:OLEObject Type="Embed" ProgID="Equation.DSMT4" ShapeID="_x0000_i1050" DrawAspect="Content" ObjectID="_1405864381" r:id="rId54"/>
        </w:object>
      </w:r>
    </w:p>
    <w:p w:rsidR="00EF6445" w:rsidRDefault="00EF6445" w:rsidP="00FD0C52">
      <w:pPr>
        <w:pStyle w:val="ListParagraph"/>
        <w:spacing w:line="360" w:lineRule="auto"/>
        <w:ind w:left="1080"/>
        <w:rPr>
          <w:position w:val="-12"/>
        </w:rPr>
      </w:pPr>
      <w:r w:rsidRPr="00BE295E">
        <w:rPr>
          <w:position w:val="-28"/>
        </w:rPr>
        <w:object w:dxaOrig="5000" w:dyaOrig="700">
          <v:shape id="_x0000_i1056" type="#_x0000_t75" style="width:249.8pt;height:35.7pt" o:ole="">
            <v:imagedata r:id="rId55" o:title=""/>
          </v:shape>
          <o:OLEObject Type="Embed" ProgID="Equation.DSMT4" ShapeID="_x0000_i1056" DrawAspect="Content" ObjectID="_1405864382" r:id="rId56"/>
        </w:object>
      </w:r>
    </w:p>
    <w:p w:rsidR="00FD0C52" w:rsidRDefault="00FD0C52" w:rsidP="00FD0C52">
      <w:pPr>
        <w:pStyle w:val="ListParagraph"/>
        <w:spacing w:line="360" w:lineRule="auto"/>
        <w:ind w:left="1080"/>
      </w:pPr>
      <w:r w:rsidRPr="00F61A31">
        <w:rPr>
          <w:position w:val="-12"/>
        </w:rPr>
        <w:object w:dxaOrig="1920" w:dyaOrig="380">
          <v:shape id="_x0000_i1049" type="#_x0000_t75" style="width:95.15pt;height:18.8pt" o:ole="">
            <v:imagedata r:id="rId57" o:title=""/>
          </v:shape>
          <o:OLEObject Type="Embed" ProgID="Equation.DSMT4" ShapeID="_x0000_i1049" DrawAspect="Content" ObjectID="_1405864383" r:id="rId58"/>
        </w:object>
      </w:r>
      <w:r>
        <w:t xml:space="preserve"> </w:t>
      </w:r>
    </w:p>
    <w:p w:rsidR="003B7CF3" w:rsidRDefault="000320B4" w:rsidP="003C2774">
      <w:pPr>
        <w:pStyle w:val="ListParagraph"/>
        <w:spacing w:line="360" w:lineRule="auto"/>
        <w:ind w:left="1080"/>
        <w:rPr>
          <w:position w:val="-32"/>
        </w:rPr>
      </w:pPr>
      <w:r w:rsidRPr="006E2259">
        <w:rPr>
          <w:position w:val="-32"/>
        </w:rPr>
        <w:object w:dxaOrig="2740" w:dyaOrig="1100">
          <v:shape id="_x0000_i1052" type="#_x0000_t75" style="width:138.35pt;height:54.45pt" o:ole="">
            <v:imagedata r:id="rId59" o:title=""/>
          </v:shape>
          <o:OLEObject Type="Embed" ProgID="Equation.DSMT4" ShapeID="_x0000_i1052" DrawAspect="Content" ObjectID="_1405864384" r:id="rId60"/>
        </w:object>
      </w:r>
      <w:r>
        <w:rPr>
          <w:position w:val="-32"/>
        </w:rPr>
        <w:t xml:space="preserve">       </w:t>
      </w:r>
      <w:r w:rsidRPr="00A64781">
        <w:rPr>
          <w:position w:val="-32"/>
        </w:rPr>
        <w:object w:dxaOrig="3940" w:dyaOrig="1100">
          <v:shape id="_x0000_i1053" type="#_x0000_t75" style="width:197.2pt;height:54.45pt" o:ole="">
            <v:imagedata r:id="rId32" o:title=""/>
          </v:shape>
          <o:OLEObject Type="Embed" ProgID="Equation.DSMT4" ShapeID="_x0000_i1053" DrawAspect="Content" ObjectID="_1405864385" r:id="rId61"/>
        </w:object>
      </w:r>
    </w:p>
    <w:p w:rsidR="000320B4" w:rsidRDefault="000320B4" w:rsidP="003C2774">
      <w:pPr>
        <w:pStyle w:val="ListParagraph"/>
        <w:spacing w:line="360" w:lineRule="auto"/>
        <w:ind w:left="1080"/>
        <w:rPr>
          <w:position w:val="-32"/>
        </w:rPr>
      </w:pPr>
      <w:r>
        <w:rPr>
          <w:position w:val="-32"/>
        </w:rPr>
        <w:t xml:space="preserve">Therefore, </w:t>
      </w:r>
    </w:p>
    <w:p w:rsidR="000320B4" w:rsidRDefault="000320B4" w:rsidP="003C2774">
      <w:pPr>
        <w:pStyle w:val="ListParagraph"/>
        <w:spacing w:line="360" w:lineRule="auto"/>
        <w:ind w:left="1080"/>
        <w:rPr>
          <w:position w:val="-32"/>
        </w:rPr>
      </w:pPr>
      <w:r w:rsidRPr="000320B4">
        <w:rPr>
          <w:position w:val="-98"/>
        </w:rPr>
        <w:object w:dxaOrig="5100" w:dyaOrig="2079">
          <v:shape id="_x0000_i1054" type="#_x0000_t75" style="width:257.3pt;height:103.3pt" o:ole="">
            <v:imagedata r:id="rId62" o:title=""/>
          </v:shape>
          <o:OLEObject Type="Embed" ProgID="Equation.DSMT4" ShapeID="_x0000_i1054" DrawAspect="Content" ObjectID="_1405864386" r:id="rId63"/>
        </w:object>
      </w:r>
    </w:p>
    <w:p w:rsidR="00511974" w:rsidRDefault="00511974" w:rsidP="00511974">
      <w:pPr>
        <w:pStyle w:val="ListParagraph"/>
        <w:spacing w:line="360" w:lineRule="auto"/>
        <w:ind w:left="1080"/>
        <w:rPr>
          <w:position w:val="-32"/>
        </w:rPr>
      </w:pPr>
      <w:r w:rsidRPr="00511974">
        <w:rPr>
          <w:position w:val="-10"/>
        </w:rPr>
        <w:object w:dxaOrig="3040" w:dyaOrig="520">
          <v:shape id="_x0000_i1057" type="#_x0000_t75" style="width:152.75pt;height:26.9pt" o:ole="">
            <v:imagedata r:id="rId64" o:title=""/>
          </v:shape>
          <o:OLEObject Type="Embed" ProgID="Equation.DSMT4" ShapeID="_x0000_i1057" DrawAspect="Content" ObjectID="_1405864387" r:id="rId65"/>
        </w:object>
      </w:r>
    </w:p>
    <w:p w:rsidR="00511974" w:rsidRDefault="00511974" w:rsidP="00511974">
      <w:pPr>
        <w:pStyle w:val="ListParagraph"/>
        <w:spacing w:line="360" w:lineRule="auto"/>
        <w:ind w:left="1080"/>
        <w:rPr>
          <w:position w:val="-12"/>
        </w:rPr>
      </w:pPr>
      <w:r w:rsidRPr="00511974">
        <w:rPr>
          <w:position w:val="-60"/>
        </w:rPr>
        <w:object w:dxaOrig="4180" w:dyaOrig="1180">
          <v:shape id="_x0000_i1058" type="#_x0000_t75" style="width:207.25pt;height:58.25pt" o:ole="">
            <v:imagedata r:id="rId66" o:title=""/>
          </v:shape>
          <o:OLEObject Type="Embed" ProgID="Equation.DSMT4" ShapeID="_x0000_i1058" DrawAspect="Content" ObjectID="_1405864388" r:id="rId67"/>
        </w:object>
      </w:r>
    </w:p>
    <w:p w:rsidR="00511974" w:rsidRDefault="00511974" w:rsidP="00511974">
      <w:pPr>
        <w:pStyle w:val="ListParagraph"/>
        <w:spacing w:line="360" w:lineRule="auto"/>
        <w:ind w:left="1080"/>
        <w:rPr>
          <w:position w:val="-14"/>
        </w:rPr>
      </w:pPr>
      <w:r w:rsidRPr="00511974">
        <w:rPr>
          <w:position w:val="-26"/>
        </w:rPr>
        <w:object w:dxaOrig="4340" w:dyaOrig="700">
          <v:shape id="_x0000_i1059" type="#_x0000_t75" style="width:217.25pt;height:35.05pt" o:ole="">
            <v:imagedata r:id="rId68" o:title=""/>
          </v:shape>
          <o:OLEObject Type="Embed" ProgID="Equation.DSMT4" ShapeID="_x0000_i1059" DrawAspect="Content" ObjectID="_1405864389" r:id="rId69"/>
        </w:object>
      </w:r>
    </w:p>
    <w:p w:rsidR="00511974" w:rsidRDefault="00511974" w:rsidP="00511974">
      <w:pPr>
        <w:pStyle w:val="ListParagraph"/>
        <w:spacing w:line="360" w:lineRule="auto"/>
        <w:ind w:left="1080"/>
        <w:rPr>
          <w:position w:val="-12"/>
        </w:rPr>
      </w:pPr>
      <w:r w:rsidRPr="00511974">
        <w:rPr>
          <w:position w:val="-68"/>
        </w:rPr>
        <w:object w:dxaOrig="9320" w:dyaOrig="1480">
          <v:shape id="_x0000_i1061" type="#_x0000_t75" style="width:465.8pt;height:75.15pt" o:ole="">
            <v:imagedata r:id="rId70" o:title=""/>
          </v:shape>
          <o:OLEObject Type="Embed" ProgID="Equation.DSMT4" ShapeID="_x0000_i1061" DrawAspect="Content" ObjectID="_1405864390" r:id="rId71"/>
        </w:object>
      </w:r>
    </w:p>
    <w:p w:rsidR="000320B4" w:rsidRDefault="00511974" w:rsidP="00511974">
      <w:pPr>
        <w:pStyle w:val="ListParagraph"/>
        <w:spacing w:line="360" w:lineRule="auto"/>
        <w:ind w:left="1080"/>
        <w:rPr>
          <w:position w:val="-12"/>
        </w:rPr>
      </w:pPr>
      <w:r w:rsidRPr="00511974">
        <w:rPr>
          <w:position w:val="-24"/>
        </w:rPr>
        <w:object w:dxaOrig="4160" w:dyaOrig="660">
          <v:shape id="_x0000_i1060" type="#_x0000_t75" style="width:206.6pt;height:33.2pt" o:ole="">
            <v:imagedata r:id="rId72" o:title=""/>
          </v:shape>
          <o:OLEObject Type="Embed" ProgID="Equation.DSMT4" ShapeID="_x0000_i1060" DrawAspect="Content" ObjectID="_1405864391" r:id="rId73"/>
        </w:object>
      </w:r>
    </w:p>
    <w:p w:rsidR="00511974" w:rsidRDefault="00511974" w:rsidP="00511974">
      <w:pPr>
        <w:pStyle w:val="ListParagraph"/>
        <w:spacing w:line="360" w:lineRule="auto"/>
        <w:ind w:left="1080"/>
        <w:rPr>
          <w:position w:val="-12"/>
        </w:rPr>
      </w:pPr>
    </w:p>
    <w:p w:rsidR="00511974" w:rsidRDefault="00696ACF" w:rsidP="00511974">
      <w:pPr>
        <w:pStyle w:val="ListParagraph"/>
        <w:numPr>
          <w:ilvl w:val="0"/>
          <w:numId w:val="7"/>
        </w:numPr>
        <w:spacing w:line="360" w:lineRule="auto"/>
      </w:pPr>
      <w:r>
        <w:t xml:space="preserve">The put-call parity </w:t>
      </w:r>
      <w:r w:rsidR="00D752E2">
        <w:t xml:space="preserve">for European options on non-dividend stock </w:t>
      </w:r>
      <w:r>
        <w:t>is shown as</w:t>
      </w:r>
    </w:p>
    <w:p w:rsidR="00696ACF" w:rsidRDefault="00696ACF" w:rsidP="00696ACF">
      <w:pPr>
        <w:widowControl/>
        <w:autoSpaceDE w:val="0"/>
        <w:autoSpaceDN w:val="0"/>
        <w:adjustRightInd w:val="0"/>
        <w:ind w:left="2880" w:firstLine="720"/>
        <w:rPr>
          <w:rFonts w:eastAsia="Calibri"/>
          <w:iCs/>
          <w:kern w:val="0"/>
          <w:lang w:eastAsia="en-US"/>
        </w:rPr>
      </w:pPr>
      <w:r w:rsidRPr="00696ACF">
        <w:rPr>
          <w:rFonts w:eastAsia="Calibri"/>
          <w:i/>
          <w:iCs/>
          <w:kern w:val="0"/>
          <w:lang w:eastAsia="en-US"/>
        </w:rPr>
        <w:t xml:space="preserve">P </w:t>
      </w:r>
      <w:r w:rsidRPr="00696ACF">
        <w:rPr>
          <w:rFonts w:eastAsia="Calibri"/>
          <w:kern w:val="0"/>
          <w:lang w:eastAsia="en-US"/>
        </w:rPr>
        <w:t xml:space="preserve">= </w:t>
      </w:r>
      <w:r w:rsidRPr="00696ACF">
        <w:rPr>
          <w:rFonts w:eastAsia="Calibri"/>
          <w:i/>
          <w:iCs/>
          <w:kern w:val="0"/>
          <w:lang w:eastAsia="en-US"/>
        </w:rPr>
        <w:t xml:space="preserve">C </w:t>
      </w:r>
      <w:r w:rsidRPr="00696ACF">
        <w:rPr>
          <w:rFonts w:eastAsia="Calibri"/>
          <w:kern w:val="0"/>
          <w:lang w:eastAsia="en-US"/>
        </w:rPr>
        <w:t xml:space="preserve">+ </w:t>
      </w:r>
      <w:proofErr w:type="spellStart"/>
      <w:r w:rsidRPr="00696ACF">
        <w:rPr>
          <w:rFonts w:eastAsia="Calibri"/>
          <w:i/>
          <w:iCs/>
          <w:kern w:val="0"/>
          <w:lang w:eastAsia="en-US"/>
        </w:rPr>
        <w:t>X</w:t>
      </w:r>
      <w:r w:rsidRPr="00696ACF">
        <w:rPr>
          <w:rFonts w:eastAsia="Calibri"/>
          <w:i/>
          <w:iCs/>
          <w:kern w:val="0"/>
          <w:lang w:eastAsia="en-US"/>
        </w:rPr>
        <w:t>e</w:t>
      </w:r>
      <w:r w:rsidRPr="00696ACF">
        <w:rPr>
          <w:rFonts w:eastAsia="Calibri"/>
          <w:i/>
          <w:iCs/>
          <w:kern w:val="0"/>
          <w:vertAlign w:val="superscript"/>
          <w:lang w:eastAsia="en-US"/>
        </w:rPr>
        <w:t>-rτ</w:t>
      </w:r>
      <w:proofErr w:type="spellEnd"/>
      <w:r w:rsidRPr="00696ACF">
        <w:rPr>
          <w:rFonts w:eastAsia="Calibri"/>
          <w:i/>
          <w:iCs/>
          <w:kern w:val="0"/>
          <w:lang w:eastAsia="en-US"/>
        </w:rPr>
        <w:t xml:space="preserve"> </w:t>
      </w:r>
      <w:r>
        <w:rPr>
          <w:rFonts w:eastAsia="Calibri"/>
          <w:i/>
          <w:iCs/>
          <w:kern w:val="0"/>
          <w:lang w:eastAsia="en-US"/>
        </w:rPr>
        <w:t>–</w:t>
      </w:r>
      <w:r w:rsidRPr="00696ACF">
        <w:rPr>
          <w:rFonts w:eastAsia="Calibri"/>
          <w:i/>
          <w:iCs/>
          <w:kern w:val="0"/>
          <w:lang w:eastAsia="en-US"/>
        </w:rPr>
        <w:t xml:space="preserve"> S</w:t>
      </w:r>
    </w:p>
    <w:p w:rsidR="00696ACF" w:rsidRDefault="00696ACF" w:rsidP="00696ACF">
      <w:pPr>
        <w:widowControl/>
        <w:autoSpaceDE w:val="0"/>
        <w:autoSpaceDN w:val="0"/>
        <w:adjustRightInd w:val="0"/>
        <w:ind w:firstLine="720"/>
        <w:rPr>
          <w:rFonts w:eastAsia="Calibri"/>
          <w:iCs/>
          <w:kern w:val="0"/>
          <w:lang w:eastAsia="en-US"/>
        </w:rPr>
      </w:pPr>
    </w:p>
    <w:p w:rsidR="00696ACF" w:rsidRDefault="00696ACF" w:rsidP="00D752E2">
      <w:pPr>
        <w:widowControl/>
        <w:autoSpaceDE w:val="0"/>
        <w:autoSpaceDN w:val="0"/>
        <w:adjustRightInd w:val="0"/>
        <w:ind w:left="720" w:firstLine="720"/>
        <w:rPr>
          <w:rFonts w:eastAsia="Calibri"/>
          <w:kern w:val="0"/>
          <w:lang w:eastAsia="en-US"/>
        </w:rPr>
      </w:pPr>
      <w:r>
        <w:rPr>
          <w:rFonts w:eastAsia="Calibri"/>
          <w:kern w:val="0"/>
          <w:lang w:eastAsia="en-US"/>
        </w:rPr>
        <w:t>Then the Delta of a put option can be represented as the formula below in terms of the Delta of a call option:</w:t>
      </w:r>
    </w:p>
    <w:p w:rsidR="00696ACF" w:rsidRDefault="00696ACF" w:rsidP="00696ACF">
      <w:pPr>
        <w:widowControl/>
        <w:autoSpaceDE w:val="0"/>
        <w:autoSpaceDN w:val="0"/>
        <w:adjustRightInd w:val="0"/>
        <w:ind w:firstLine="720"/>
      </w:pPr>
      <w:r w:rsidRPr="002F60A5">
        <w:rPr>
          <w:position w:val="-30"/>
        </w:rPr>
        <w:object w:dxaOrig="7000" w:dyaOrig="720">
          <v:shape id="_x0000_i1062" type="#_x0000_t75" style="width:350pt;height:36.3pt" o:ole="">
            <v:imagedata r:id="rId74" o:title=""/>
          </v:shape>
          <o:OLEObject Type="Embed" ProgID="Equation.DSMT4" ShapeID="_x0000_i1062" DrawAspect="Content" ObjectID="_1405864392" r:id="rId75"/>
        </w:object>
      </w:r>
    </w:p>
    <w:p w:rsidR="00D752E2" w:rsidRDefault="00D752E2" w:rsidP="00696ACF">
      <w:pPr>
        <w:widowControl/>
        <w:autoSpaceDE w:val="0"/>
        <w:autoSpaceDN w:val="0"/>
        <w:adjustRightInd w:val="0"/>
        <w:ind w:firstLine="720"/>
      </w:pPr>
      <w:r>
        <w:t>Therefore, the delta of put option is equal to the delta of call option minus one.</w:t>
      </w:r>
    </w:p>
    <w:p w:rsidR="00D752E2" w:rsidRDefault="00D752E2" w:rsidP="00696ACF">
      <w:pPr>
        <w:widowControl/>
        <w:autoSpaceDE w:val="0"/>
        <w:autoSpaceDN w:val="0"/>
        <w:adjustRightInd w:val="0"/>
        <w:ind w:firstLine="720"/>
      </w:pPr>
    </w:p>
    <w:p w:rsidR="00D752E2" w:rsidRDefault="00D752E2" w:rsidP="00696ACF">
      <w:pPr>
        <w:widowControl/>
        <w:autoSpaceDE w:val="0"/>
        <w:autoSpaceDN w:val="0"/>
        <w:adjustRightInd w:val="0"/>
        <w:ind w:firstLine="720"/>
      </w:pPr>
      <w:r>
        <w:t>For European options on stock with dividend yield q%, t</w:t>
      </w:r>
      <w:r>
        <w:t>he put-call parity</w:t>
      </w:r>
      <w:r>
        <w:t xml:space="preserve"> as follows:</w:t>
      </w:r>
    </w:p>
    <w:p w:rsidR="00D752E2" w:rsidRDefault="00D752E2" w:rsidP="00D752E2">
      <w:pPr>
        <w:widowControl/>
        <w:autoSpaceDE w:val="0"/>
        <w:autoSpaceDN w:val="0"/>
        <w:adjustRightInd w:val="0"/>
        <w:ind w:left="2880" w:firstLine="720"/>
        <w:rPr>
          <w:rFonts w:eastAsia="Calibri"/>
          <w:iCs/>
          <w:kern w:val="0"/>
          <w:lang w:eastAsia="en-US"/>
        </w:rPr>
      </w:pPr>
      <w:r w:rsidRPr="00696ACF">
        <w:rPr>
          <w:rFonts w:eastAsia="Calibri"/>
          <w:i/>
          <w:iCs/>
          <w:kern w:val="0"/>
          <w:lang w:eastAsia="en-US"/>
        </w:rPr>
        <w:t xml:space="preserve">P </w:t>
      </w:r>
      <w:r w:rsidRPr="00696ACF">
        <w:rPr>
          <w:rFonts w:eastAsia="Calibri"/>
          <w:kern w:val="0"/>
          <w:lang w:eastAsia="en-US"/>
        </w:rPr>
        <w:t xml:space="preserve">= </w:t>
      </w:r>
      <w:r w:rsidRPr="00696ACF">
        <w:rPr>
          <w:rFonts w:eastAsia="Calibri"/>
          <w:i/>
          <w:iCs/>
          <w:kern w:val="0"/>
          <w:lang w:eastAsia="en-US"/>
        </w:rPr>
        <w:t xml:space="preserve">C </w:t>
      </w:r>
      <w:r w:rsidRPr="00696ACF">
        <w:rPr>
          <w:rFonts w:eastAsia="Calibri"/>
          <w:kern w:val="0"/>
          <w:lang w:eastAsia="en-US"/>
        </w:rPr>
        <w:t xml:space="preserve">+ </w:t>
      </w:r>
      <w:proofErr w:type="spellStart"/>
      <w:r w:rsidRPr="00696ACF">
        <w:rPr>
          <w:rFonts w:eastAsia="Calibri"/>
          <w:i/>
          <w:iCs/>
          <w:kern w:val="0"/>
          <w:lang w:eastAsia="en-US"/>
        </w:rPr>
        <w:t>Xe</w:t>
      </w:r>
      <w:r w:rsidRPr="00696ACF">
        <w:rPr>
          <w:rFonts w:eastAsia="Calibri"/>
          <w:i/>
          <w:iCs/>
          <w:kern w:val="0"/>
          <w:vertAlign w:val="superscript"/>
          <w:lang w:eastAsia="en-US"/>
        </w:rPr>
        <w:t>-rτ</w:t>
      </w:r>
      <w:proofErr w:type="spellEnd"/>
      <w:r w:rsidRPr="00696ACF">
        <w:rPr>
          <w:rFonts w:eastAsia="Calibri"/>
          <w:i/>
          <w:iCs/>
          <w:kern w:val="0"/>
          <w:lang w:eastAsia="en-US"/>
        </w:rPr>
        <w:t xml:space="preserve"> </w:t>
      </w:r>
      <w:r w:rsidR="005C5C2C">
        <w:rPr>
          <w:rFonts w:eastAsia="Calibri"/>
          <w:i/>
          <w:iCs/>
          <w:kern w:val="0"/>
          <w:lang w:eastAsia="en-US"/>
        </w:rPr>
        <w:t>-</w:t>
      </w:r>
      <w:r w:rsidRPr="00D752E2">
        <w:rPr>
          <w:rFonts w:eastAsia="Calibri"/>
          <w:i/>
          <w:iCs/>
          <w:kern w:val="0"/>
          <w:lang w:eastAsia="en-US"/>
        </w:rPr>
        <w:t xml:space="preserve"> </w:t>
      </w:r>
      <w:r>
        <w:rPr>
          <w:rFonts w:eastAsia="Calibri"/>
          <w:i/>
          <w:iCs/>
          <w:kern w:val="0"/>
          <w:lang w:eastAsia="en-US"/>
        </w:rPr>
        <w:t>S</w:t>
      </w:r>
      <w:r w:rsidRPr="00696ACF">
        <w:rPr>
          <w:rFonts w:eastAsia="Calibri"/>
          <w:i/>
          <w:iCs/>
          <w:kern w:val="0"/>
          <w:lang w:eastAsia="en-US"/>
        </w:rPr>
        <w:t>e</w:t>
      </w:r>
      <w:r w:rsidRPr="00696ACF">
        <w:rPr>
          <w:rFonts w:eastAsia="Calibri"/>
          <w:i/>
          <w:iCs/>
          <w:kern w:val="0"/>
          <w:vertAlign w:val="superscript"/>
          <w:lang w:eastAsia="en-US"/>
        </w:rPr>
        <w:t>-</w:t>
      </w:r>
      <w:proofErr w:type="spellStart"/>
      <w:r>
        <w:rPr>
          <w:rFonts w:eastAsia="Calibri"/>
          <w:i/>
          <w:iCs/>
          <w:kern w:val="0"/>
          <w:vertAlign w:val="superscript"/>
          <w:lang w:eastAsia="en-US"/>
        </w:rPr>
        <w:t>q</w:t>
      </w:r>
      <w:r w:rsidRPr="00696ACF">
        <w:rPr>
          <w:rFonts w:eastAsia="Calibri"/>
          <w:i/>
          <w:iCs/>
          <w:kern w:val="0"/>
          <w:vertAlign w:val="superscript"/>
          <w:lang w:eastAsia="en-US"/>
        </w:rPr>
        <w:t>τ</w:t>
      </w:r>
      <w:proofErr w:type="spellEnd"/>
      <w:r w:rsidRPr="00696ACF">
        <w:rPr>
          <w:rFonts w:eastAsia="Calibri"/>
          <w:i/>
          <w:iCs/>
          <w:kern w:val="0"/>
          <w:lang w:eastAsia="en-US"/>
        </w:rPr>
        <w:t xml:space="preserve"> </w:t>
      </w:r>
    </w:p>
    <w:p w:rsidR="00D752E2" w:rsidRPr="00696ACF" w:rsidRDefault="00D752E2" w:rsidP="00696ACF">
      <w:pPr>
        <w:widowControl/>
        <w:autoSpaceDE w:val="0"/>
        <w:autoSpaceDN w:val="0"/>
        <w:adjustRightInd w:val="0"/>
        <w:ind w:firstLine="720"/>
        <w:rPr>
          <w:rFonts w:eastAsia="Calibri"/>
          <w:kern w:val="0"/>
          <w:lang w:eastAsia="en-US"/>
        </w:rPr>
      </w:pPr>
    </w:p>
    <w:p w:rsidR="005C5C2C" w:rsidRDefault="005C5C2C" w:rsidP="005C5C2C">
      <w:pPr>
        <w:widowControl/>
        <w:autoSpaceDE w:val="0"/>
        <w:autoSpaceDN w:val="0"/>
        <w:adjustRightInd w:val="0"/>
        <w:ind w:left="720" w:firstLine="720"/>
        <w:rPr>
          <w:rFonts w:eastAsia="Calibri"/>
          <w:kern w:val="0"/>
          <w:lang w:eastAsia="en-US"/>
        </w:rPr>
      </w:pPr>
      <w:r>
        <w:rPr>
          <w:rFonts w:eastAsia="Calibri"/>
          <w:kern w:val="0"/>
          <w:lang w:eastAsia="en-US"/>
        </w:rPr>
        <w:t xml:space="preserve">Then the Delta of a put option </w:t>
      </w:r>
      <w:r>
        <w:rPr>
          <w:rFonts w:eastAsia="Calibri"/>
          <w:kern w:val="0"/>
          <w:lang w:eastAsia="en-US"/>
        </w:rPr>
        <w:t xml:space="preserve">on stock with dividend </w:t>
      </w:r>
      <w:r>
        <w:rPr>
          <w:rFonts w:eastAsia="Calibri"/>
          <w:kern w:val="0"/>
          <w:lang w:eastAsia="en-US"/>
        </w:rPr>
        <w:t>can be represented as the formula below in terms of the Delta of a call option</w:t>
      </w:r>
      <w:r w:rsidRPr="005C5C2C">
        <w:rPr>
          <w:rFonts w:eastAsia="Calibri"/>
          <w:kern w:val="0"/>
          <w:lang w:eastAsia="en-US"/>
        </w:rPr>
        <w:t xml:space="preserve"> </w:t>
      </w:r>
      <w:r>
        <w:rPr>
          <w:rFonts w:eastAsia="Calibri"/>
          <w:kern w:val="0"/>
          <w:lang w:eastAsia="en-US"/>
        </w:rPr>
        <w:t>with dividend:</w:t>
      </w:r>
    </w:p>
    <w:p w:rsidR="005C5C2C" w:rsidRDefault="005C5C2C" w:rsidP="005C5C2C">
      <w:pPr>
        <w:widowControl/>
        <w:autoSpaceDE w:val="0"/>
        <w:autoSpaceDN w:val="0"/>
        <w:adjustRightInd w:val="0"/>
        <w:ind w:firstLine="720"/>
      </w:pPr>
      <w:r w:rsidRPr="002F60A5">
        <w:rPr>
          <w:position w:val="-30"/>
        </w:rPr>
        <w:object w:dxaOrig="8199" w:dyaOrig="720">
          <v:shape id="_x0000_i1063" type="#_x0000_t75" style="width:410.1pt;height:36.3pt" o:ole="">
            <v:imagedata r:id="rId76" o:title=""/>
          </v:shape>
          <o:OLEObject Type="Embed" ProgID="Equation.DSMT4" ShapeID="_x0000_i1063" DrawAspect="Content" ObjectID="_1405864393" r:id="rId77"/>
        </w:object>
      </w:r>
    </w:p>
    <w:p w:rsidR="00696ACF" w:rsidRDefault="00696ACF" w:rsidP="00696ACF">
      <w:pPr>
        <w:pStyle w:val="ListParagraph"/>
        <w:spacing w:line="360" w:lineRule="auto"/>
        <w:ind w:left="1080"/>
      </w:pPr>
    </w:p>
    <w:p w:rsidR="005C5C2C" w:rsidRDefault="009B656A" w:rsidP="005C5C2C">
      <w:pPr>
        <w:pStyle w:val="ListParagraph"/>
        <w:numPr>
          <w:ilvl w:val="0"/>
          <w:numId w:val="7"/>
        </w:numPr>
        <w:spacing w:line="360" w:lineRule="auto"/>
      </w:pPr>
      <w:r>
        <w:t xml:space="preserve">Use the relationship between the delta of put option and delta of call option from previous question (#8), we can get </w:t>
      </w:r>
    </w:p>
    <w:p w:rsidR="009B656A" w:rsidRDefault="009B656A" w:rsidP="009B656A">
      <w:pPr>
        <w:spacing w:line="360" w:lineRule="auto"/>
        <w:ind w:left="1080"/>
      </w:pPr>
      <w:r w:rsidRPr="009B656A">
        <w:rPr>
          <w:position w:val="-64"/>
        </w:rPr>
        <w:object w:dxaOrig="6460" w:dyaOrig="1400">
          <v:shape id="_x0000_i1064" type="#_x0000_t75" style="width:323.05pt;height:70.1pt" o:ole="">
            <v:imagedata r:id="rId78" o:title=""/>
          </v:shape>
          <o:OLEObject Type="Embed" ProgID="Equation.DSMT4" ShapeID="_x0000_i1064" DrawAspect="Content" ObjectID="_1405864394" r:id="rId79"/>
        </w:object>
      </w:r>
    </w:p>
    <w:p w:rsidR="009B656A" w:rsidRDefault="009B656A" w:rsidP="009B656A">
      <w:pPr>
        <w:spacing w:line="360" w:lineRule="auto"/>
        <w:ind w:left="360"/>
      </w:pPr>
      <w:r>
        <w:t xml:space="preserve">The Gamma is defined </w:t>
      </w:r>
      <w:proofErr w:type="gramStart"/>
      <w:r>
        <w:t xml:space="preserve">as </w:t>
      </w:r>
      <w:r w:rsidRPr="00527DF8">
        <w:rPr>
          <w:position w:val="-24"/>
        </w:rPr>
        <w:object w:dxaOrig="760" w:dyaOrig="620">
          <v:shape id="_x0000_i1065" type="#_x0000_t75" style="width:38.2pt;height:31.95pt" o:ole="">
            <v:imagedata r:id="rId80" o:title=""/>
          </v:shape>
          <o:OLEObject Type="Embed" ProgID="Equation.DSMT4" ShapeID="_x0000_i1065" DrawAspect="Content" ObjectID="_1405864395" r:id="rId81"/>
        </w:object>
      </w:r>
      <w:r w:rsidRPr="009B656A">
        <w:t xml:space="preserve"> </w:t>
      </w:r>
      <w:r>
        <w:t xml:space="preserve">, </w:t>
      </w:r>
      <w:r>
        <w:t>then the gamma of put option can be derived as follows</w:t>
      </w:r>
      <w:r>
        <w:t>:</w:t>
      </w:r>
    </w:p>
    <w:p w:rsidR="009B656A" w:rsidRDefault="0021123B" w:rsidP="009B656A">
      <w:pPr>
        <w:spacing w:line="360" w:lineRule="auto"/>
        <w:ind w:left="360"/>
        <w:rPr>
          <w:position w:val="-24"/>
        </w:rPr>
      </w:pPr>
      <w:r w:rsidRPr="009B656A">
        <w:rPr>
          <w:position w:val="-60"/>
        </w:rPr>
        <w:object w:dxaOrig="6800" w:dyaOrig="1320">
          <v:shape id="_x0000_i1066" type="#_x0000_t75" style="width:339.95pt;height:67.6pt" o:ole="">
            <v:imagedata r:id="rId82" o:title=""/>
          </v:shape>
          <o:OLEObject Type="Embed" ProgID="Equation.DSMT4" ShapeID="_x0000_i1066" DrawAspect="Content" ObjectID="_1405864396" r:id="rId83"/>
        </w:object>
      </w:r>
    </w:p>
    <w:p w:rsidR="0021123B" w:rsidRDefault="0021123B" w:rsidP="009B656A">
      <w:pPr>
        <w:spacing w:line="360" w:lineRule="auto"/>
        <w:ind w:left="360"/>
        <w:rPr>
          <w:position w:val="-24"/>
        </w:rPr>
      </w:pPr>
    </w:p>
    <w:p w:rsidR="0021123B" w:rsidRDefault="0021123B" w:rsidP="009B656A">
      <w:pPr>
        <w:spacing w:line="360" w:lineRule="auto"/>
        <w:ind w:left="360"/>
        <w:rPr>
          <w:position w:val="-24"/>
        </w:rPr>
      </w:pPr>
      <w:r>
        <w:rPr>
          <w:position w:val="-24"/>
        </w:rPr>
        <w:t>Therefore, for European options, the Gamma of put option is the same as the Gamma of call option whether the underlying asset pays dividends or not.</w:t>
      </w:r>
    </w:p>
    <w:p w:rsidR="0021123B" w:rsidRDefault="0021123B" w:rsidP="009B656A">
      <w:pPr>
        <w:spacing w:line="360" w:lineRule="auto"/>
        <w:ind w:left="360"/>
        <w:rPr>
          <w:position w:val="-24"/>
        </w:rPr>
      </w:pPr>
    </w:p>
    <w:p w:rsidR="0021123B" w:rsidRDefault="004D6CEE" w:rsidP="0021123B">
      <w:pPr>
        <w:pStyle w:val="ListParagraph"/>
        <w:numPr>
          <w:ilvl w:val="0"/>
          <w:numId w:val="7"/>
        </w:numPr>
        <w:spacing w:line="360" w:lineRule="auto"/>
        <w:rPr>
          <w:position w:val="-24"/>
        </w:rPr>
      </w:pPr>
      <w:r>
        <w:rPr>
          <w:position w:val="-24"/>
        </w:rPr>
        <w:t xml:space="preserve"> The traded option with Delta=0.8, Gamma = 2.0, Vega=0.8, we want to compute </w:t>
      </w:r>
    </w:p>
    <w:p w:rsidR="004D6CEE" w:rsidRDefault="004D6CEE" w:rsidP="004D6CEE">
      <w:pPr>
        <w:pStyle w:val="ListParagraph"/>
        <w:numPr>
          <w:ilvl w:val="1"/>
          <w:numId w:val="7"/>
        </w:numPr>
        <w:spacing w:line="360" w:lineRule="auto"/>
        <w:rPr>
          <w:position w:val="-24"/>
        </w:rPr>
      </w:pPr>
      <w:r>
        <w:rPr>
          <w:position w:val="-24"/>
        </w:rPr>
        <w:t>Delta neutral portfolio,</w:t>
      </w:r>
    </w:p>
    <w:p w:rsidR="00C970AB" w:rsidRDefault="00C970AB" w:rsidP="004D6CEE">
      <w:pPr>
        <w:pStyle w:val="ListParagraph"/>
        <w:spacing w:line="360" w:lineRule="auto"/>
        <w:ind w:left="1800"/>
        <w:rPr>
          <w:position w:val="-24"/>
        </w:rPr>
      </w:pPr>
      <w:r>
        <w:rPr>
          <w:position w:val="-24"/>
        </w:rPr>
        <w:t>If we set x as the number of put options with delta, -0.5, to make a delta neutral portfolio, then</w:t>
      </w:r>
    </w:p>
    <w:p w:rsidR="004D6CEE" w:rsidRDefault="00C970AB" w:rsidP="004D6CEE">
      <w:pPr>
        <w:pStyle w:val="ListParagraph"/>
        <w:spacing w:line="360" w:lineRule="auto"/>
        <w:ind w:left="1800"/>
        <w:rPr>
          <w:position w:val="-24"/>
        </w:rPr>
      </w:pPr>
      <w:r>
        <w:rPr>
          <w:position w:val="-24"/>
        </w:rPr>
        <w:t>(-0.5</w:t>
      </w:r>
      <w:proofErr w:type="gramStart"/>
      <w:r>
        <w:rPr>
          <w:position w:val="-24"/>
        </w:rPr>
        <w:t>)x</w:t>
      </w:r>
      <w:proofErr w:type="gramEnd"/>
      <w:r>
        <w:rPr>
          <w:position w:val="-24"/>
        </w:rPr>
        <w:t>+0.8=0</w:t>
      </w:r>
      <w:r w:rsidR="00B55966">
        <w:rPr>
          <w:position w:val="-24"/>
        </w:rPr>
        <w:t xml:space="preserve">, </w:t>
      </w:r>
      <w:r>
        <w:rPr>
          <w:position w:val="-24"/>
        </w:rPr>
        <w:t xml:space="preserve"> </w:t>
      </w:r>
      <w:r w:rsidR="00B55966">
        <w:rPr>
          <w:position w:val="-24"/>
        </w:rPr>
        <w:t>x</w:t>
      </w:r>
      <w:r>
        <w:rPr>
          <w:position w:val="-24"/>
        </w:rPr>
        <w:t>=0.8/0.5=1.6</w:t>
      </w:r>
    </w:p>
    <w:p w:rsidR="00C970AB" w:rsidRDefault="00C970AB" w:rsidP="004D6CEE">
      <w:pPr>
        <w:pStyle w:val="ListParagraph"/>
        <w:spacing w:line="360" w:lineRule="auto"/>
        <w:ind w:left="1800"/>
        <w:rPr>
          <w:position w:val="-24"/>
        </w:rPr>
      </w:pPr>
      <w:r>
        <w:rPr>
          <w:position w:val="-24"/>
        </w:rPr>
        <w:t>Therefore, we can buy 1.6 put options with delta (-0.5) and the traded option with delta (0.8) to make a delta neutral portfolio.</w:t>
      </w:r>
    </w:p>
    <w:p w:rsidR="004D6CEE" w:rsidRDefault="004D6CEE" w:rsidP="004D6CEE">
      <w:pPr>
        <w:pStyle w:val="ListParagraph"/>
        <w:numPr>
          <w:ilvl w:val="1"/>
          <w:numId w:val="7"/>
        </w:numPr>
        <w:spacing w:line="360" w:lineRule="auto"/>
        <w:rPr>
          <w:position w:val="-24"/>
        </w:rPr>
      </w:pPr>
      <w:r>
        <w:rPr>
          <w:position w:val="-24"/>
        </w:rPr>
        <w:t>Gamma neutral portfolio,</w:t>
      </w:r>
    </w:p>
    <w:p w:rsidR="004D6CEE" w:rsidRDefault="00C970AB" w:rsidP="004D6CEE">
      <w:pPr>
        <w:pStyle w:val="ListParagraph"/>
        <w:spacing w:line="360" w:lineRule="auto"/>
        <w:ind w:left="1800"/>
        <w:rPr>
          <w:position w:val="-24"/>
        </w:rPr>
      </w:pPr>
      <w:r>
        <w:rPr>
          <w:position w:val="-24"/>
        </w:rPr>
        <w:t xml:space="preserve">If we choose x call options with gamma 0.4 to make a gamma neutral portfolio, then  </w:t>
      </w:r>
    </w:p>
    <w:p w:rsidR="00C970AB" w:rsidRDefault="00C970AB" w:rsidP="004D6CEE">
      <w:pPr>
        <w:pStyle w:val="ListParagraph"/>
        <w:spacing w:line="360" w:lineRule="auto"/>
        <w:ind w:left="1800"/>
        <w:rPr>
          <w:position w:val="-24"/>
        </w:rPr>
      </w:pPr>
      <w:r>
        <w:rPr>
          <w:position w:val="-24"/>
        </w:rPr>
        <w:t>(0.4</w:t>
      </w:r>
      <w:proofErr w:type="gramStart"/>
      <w:r>
        <w:rPr>
          <w:position w:val="-24"/>
        </w:rPr>
        <w:t>)x</w:t>
      </w:r>
      <w:proofErr w:type="gramEnd"/>
      <w:r>
        <w:rPr>
          <w:position w:val="-24"/>
        </w:rPr>
        <w:t>+2.0=0,  x=-5</w:t>
      </w:r>
    </w:p>
    <w:p w:rsidR="00C970AB" w:rsidRDefault="00C970AB" w:rsidP="004D6CEE">
      <w:pPr>
        <w:pStyle w:val="ListParagraph"/>
        <w:spacing w:line="360" w:lineRule="auto"/>
        <w:ind w:left="1800"/>
        <w:rPr>
          <w:position w:val="-24"/>
        </w:rPr>
      </w:pPr>
      <w:r>
        <w:rPr>
          <w:position w:val="-24"/>
        </w:rPr>
        <w:t>Therefore, we can sell 5 call options with gamma (0.4) and buy the traded option with gamma (2.0) to make a gamma neutral portfolio.</w:t>
      </w:r>
    </w:p>
    <w:p w:rsidR="004D6CEE" w:rsidRDefault="004D6CEE" w:rsidP="004D6CEE">
      <w:pPr>
        <w:pStyle w:val="ListParagraph"/>
        <w:numPr>
          <w:ilvl w:val="1"/>
          <w:numId w:val="7"/>
        </w:numPr>
        <w:spacing w:line="360" w:lineRule="auto"/>
        <w:rPr>
          <w:position w:val="-24"/>
        </w:rPr>
      </w:pPr>
      <w:r>
        <w:rPr>
          <w:position w:val="-24"/>
        </w:rPr>
        <w:t>Both Delta and Gamma neutral portfolio,</w:t>
      </w:r>
    </w:p>
    <w:p w:rsidR="0066406D" w:rsidRDefault="006B1340" w:rsidP="006B1340">
      <w:pPr>
        <w:pStyle w:val="ListParagraph"/>
        <w:spacing w:line="360" w:lineRule="auto"/>
        <w:ind w:left="1800"/>
        <w:rPr>
          <w:position w:val="-24"/>
        </w:rPr>
      </w:pPr>
      <w:r>
        <w:rPr>
          <w:position w:val="-24"/>
        </w:rPr>
        <w:t xml:space="preserve">If we buy </w:t>
      </w:r>
      <w:r w:rsidR="00D1373A">
        <w:rPr>
          <w:position w:val="-24"/>
        </w:rPr>
        <w:t>3</w:t>
      </w:r>
      <w:r>
        <w:rPr>
          <w:position w:val="-24"/>
        </w:rPr>
        <w:t xml:space="preserve"> call options with d</w:t>
      </w:r>
      <w:r w:rsidR="00D1373A">
        <w:rPr>
          <w:position w:val="-24"/>
        </w:rPr>
        <w:t>elta (0.3) and gamma (0.4), sell 1.5</w:t>
      </w:r>
      <w:r>
        <w:rPr>
          <w:position w:val="-24"/>
        </w:rPr>
        <w:t xml:space="preserve"> call options </w:t>
      </w:r>
      <w:r>
        <w:rPr>
          <w:position w:val="-24"/>
        </w:rPr>
        <w:lastRenderedPageBreak/>
        <w:t>w</w:t>
      </w:r>
      <w:r w:rsidR="00D1373A">
        <w:rPr>
          <w:position w:val="-24"/>
        </w:rPr>
        <w:t xml:space="preserve">ith delta (0.9) and gamma (1.3), sell 0.5 call potions with delta (0.7) and gamma (2.5), and buy the traded option with delta (0.8) and gamma (2.0), then </w:t>
      </w:r>
    </w:p>
    <w:p w:rsidR="00D1373A" w:rsidRDefault="00D1373A" w:rsidP="006B1340">
      <w:pPr>
        <w:pStyle w:val="ListParagraph"/>
        <w:spacing w:line="360" w:lineRule="auto"/>
        <w:ind w:left="1800"/>
        <w:rPr>
          <w:position w:val="-24"/>
        </w:rPr>
      </w:pPr>
      <w:r>
        <w:rPr>
          <w:position w:val="-24"/>
        </w:rPr>
        <w:t>(0.3)(3)</w:t>
      </w:r>
      <w:proofErr w:type="gramStart"/>
      <w:r>
        <w:rPr>
          <w:position w:val="-24"/>
        </w:rPr>
        <w:t>-(</w:t>
      </w:r>
      <w:proofErr w:type="gramEnd"/>
      <w:r>
        <w:rPr>
          <w:position w:val="-24"/>
        </w:rPr>
        <w:t>1.5)(0.9)-(0.5)(0.7)+0.8=0 for delta of the portfolio</w:t>
      </w:r>
    </w:p>
    <w:p w:rsidR="00D1373A" w:rsidRDefault="00D1373A" w:rsidP="00D1373A">
      <w:pPr>
        <w:pStyle w:val="ListParagraph"/>
        <w:spacing w:line="360" w:lineRule="auto"/>
        <w:ind w:left="1800"/>
        <w:rPr>
          <w:position w:val="-24"/>
        </w:rPr>
      </w:pPr>
      <w:r>
        <w:rPr>
          <w:position w:val="-24"/>
        </w:rPr>
        <w:t>(3)(0.4)</w:t>
      </w:r>
      <w:proofErr w:type="gramStart"/>
      <w:r>
        <w:rPr>
          <w:position w:val="-24"/>
        </w:rPr>
        <w:t>-(</w:t>
      </w:r>
      <w:proofErr w:type="gramEnd"/>
      <w:r>
        <w:rPr>
          <w:position w:val="-24"/>
        </w:rPr>
        <w:t>1.5)(1.3)-(0.5)(2.5)+2.0=0 for gamma of the portfolio</w:t>
      </w:r>
    </w:p>
    <w:p w:rsidR="00D1373A" w:rsidRDefault="00D1373A" w:rsidP="00D1373A">
      <w:pPr>
        <w:pStyle w:val="ListParagraph"/>
        <w:spacing w:line="360" w:lineRule="auto"/>
        <w:ind w:left="1800"/>
        <w:rPr>
          <w:position w:val="-24"/>
        </w:rPr>
      </w:pPr>
    </w:p>
    <w:p w:rsidR="00D1373A" w:rsidRPr="00D1373A" w:rsidRDefault="00D1373A" w:rsidP="00D1373A">
      <w:pPr>
        <w:pStyle w:val="ListParagraph"/>
        <w:spacing w:line="360" w:lineRule="auto"/>
        <w:ind w:left="1800"/>
        <w:rPr>
          <w:position w:val="-24"/>
        </w:rPr>
      </w:pPr>
      <w:r>
        <w:rPr>
          <w:position w:val="-24"/>
        </w:rPr>
        <w:t xml:space="preserve">Therefore, we can obtain a delta and gamma neutral portfolio by the combination of  buying 3 call options </w:t>
      </w:r>
      <w:r>
        <w:rPr>
          <w:position w:val="-24"/>
        </w:rPr>
        <w:t>with delta (0.3) and gamma (0.4)</w:t>
      </w:r>
      <w:r>
        <w:rPr>
          <w:position w:val="-24"/>
        </w:rPr>
        <w:t xml:space="preserve"> and buying a traded option with the </w:t>
      </w:r>
      <w:r w:rsidR="009209DC">
        <w:rPr>
          <w:position w:val="-24"/>
        </w:rPr>
        <w:t>sale</w:t>
      </w:r>
      <w:bookmarkStart w:id="0" w:name="_GoBack"/>
      <w:bookmarkEnd w:id="0"/>
      <w:r>
        <w:rPr>
          <w:position w:val="-24"/>
        </w:rPr>
        <w:t xml:space="preserve"> of 1.5</w:t>
      </w:r>
      <w:r w:rsidRPr="00D1373A">
        <w:rPr>
          <w:position w:val="-24"/>
        </w:rPr>
        <w:t xml:space="preserve"> </w:t>
      </w:r>
      <w:r>
        <w:rPr>
          <w:position w:val="-24"/>
        </w:rPr>
        <w:t>call options with delta (0.9) and gamma (1.3)</w:t>
      </w:r>
      <w:r>
        <w:rPr>
          <w:position w:val="-24"/>
        </w:rPr>
        <w:t xml:space="preserve"> and </w:t>
      </w:r>
      <w:r>
        <w:rPr>
          <w:position w:val="-24"/>
        </w:rPr>
        <w:t>0.5 call potions with delta (0.7) and gamma (2.5)</w:t>
      </w:r>
      <w:r>
        <w:rPr>
          <w:position w:val="-24"/>
        </w:rPr>
        <w:t>.</w:t>
      </w:r>
    </w:p>
    <w:p w:rsidR="0021123B" w:rsidRDefault="0021123B" w:rsidP="009B656A">
      <w:pPr>
        <w:spacing w:line="360" w:lineRule="auto"/>
        <w:ind w:left="360"/>
        <w:rPr>
          <w:position w:val="-24"/>
        </w:rPr>
      </w:pPr>
    </w:p>
    <w:p w:rsidR="0021123B" w:rsidRDefault="0021123B" w:rsidP="009B656A">
      <w:pPr>
        <w:spacing w:line="360" w:lineRule="auto"/>
        <w:ind w:left="360"/>
      </w:pPr>
    </w:p>
    <w:sectPr w:rsidR="00211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421A"/>
    <w:multiLevelType w:val="hybridMultilevel"/>
    <w:tmpl w:val="363AB5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AF08B6"/>
    <w:multiLevelType w:val="hybridMultilevel"/>
    <w:tmpl w:val="EE90C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6E043F"/>
    <w:multiLevelType w:val="hybridMultilevel"/>
    <w:tmpl w:val="E9FC0F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C05661"/>
    <w:multiLevelType w:val="hybridMultilevel"/>
    <w:tmpl w:val="E0605D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8568A5"/>
    <w:multiLevelType w:val="hybridMultilevel"/>
    <w:tmpl w:val="857E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4507BA"/>
    <w:multiLevelType w:val="hybridMultilevel"/>
    <w:tmpl w:val="0CD007EE"/>
    <w:lvl w:ilvl="0" w:tplc="F39C7100">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565AC4"/>
    <w:multiLevelType w:val="hybridMultilevel"/>
    <w:tmpl w:val="5992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A4"/>
    <w:rsid w:val="000320B4"/>
    <w:rsid w:val="00115AA7"/>
    <w:rsid w:val="001A1CAC"/>
    <w:rsid w:val="0021123B"/>
    <w:rsid w:val="002E2CC6"/>
    <w:rsid w:val="00331EF0"/>
    <w:rsid w:val="00377463"/>
    <w:rsid w:val="00385333"/>
    <w:rsid w:val="003B7CF3"/>
    <w:rsid w:val="003C2774"/>
    <w:rsid w:val="003D6D61"/>
    <w:rsid w:val="004A2423"/>
    <w:rsid w:val="004D6CEE"/>
    <w:rsid w:val="004E24D3"/>
    <w:rsid w:val="00511974"/>
    <w:rsid w:val="0052347E"/>
    <w:rsid w:val="005C5C2C"/>
    <w:rsid w:val="005D58A4"/>
    <w:rsid w:val="0066406D"/>
    <w:rsid w:val="00696ACF"/>
    <w:rsid w:val="006B1340"/>
    <w:rsid w:val="00710BA9"/>
    <w:rsid w:val="007C3CDD"/>
    <w:rsid w:val="007E3CF3"/>
    <w:rsid w:val="00806327"/>
    <w:rsid w:val="00825BDD"/>
    <w:rsid w:val="00833E0F"/>
    <w:rsid w:val="00854893"/>
    <w:rsid w:val="0085767A"/>
    <w:rsid w:val="009209DC"/>
    <w:rsid w:val="0096664F"/>
    <w:rsid w:val="009B656A"/>
    <w:rsid w:val="009F14C5"/>
    <w:rsid w:val="00A63061"/>
    <w:rsid w:val="00A95EF1"/>
    <w:rsid w:val="00AD3397"/>
    <w:rsid w:val="00AF6A1C"/>
    <w:rsid w:val="00B34FE4"/>
    <w:rsid w:val="00B55966"/>
    <w:rsid w:val="00B61798"/>
    <w:rsid w:val="00C61236"/>
    <w:rsid w:val="00C67A2D"/>
    <w:rsid w:val="00C76BCD"/>
    <w:rsid w:val="00C90293"/>
    <w:rsid w:val="00C970AB"/>
    <w:rsid w:val="00C974BE"/>
    <w:rsid w:val="00CF144C"/>
    <w:rsid w:val="00D032AE"/>
    <w:rsid w:val="00D1373A"/>
    <w:rsid w:val="00D752E2"/>
    <w:rsid w:val="00DF4455"/>
    <w:rsid w:val="00E3009A"/>
    <w:rsid w:val="00E30D5A"/>
    <w:rsid w:val="00EF6445"/>
    <w:rsid w:val="00F625AC"/>
    <w:rsid w:val="00FC34B0"/>
    <w:rsid w:val="00FD0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A4"/>
    <w:pPr>
      <w:widowControl w:val="0"/>
    </w:pPr>
    <w:rPr>
      <w:rFonts w:ascii="Times New Roman" w:eastAsia="PMingLiU" w:hAnsi="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3CF3"/>
    <w:pPr>
      <w:widowControl/>
      <w:ind w:left="540" w:hanging="540"/>
    </w:pPr>
    <w:rPr>
      <w:kern w:val="0"/>
      <w:lang w:eastAsia="en-US"/>
    </w:rPr>
  </w:style>
  <w:style w:type="character" w:customStyle="1" w:styleId="BodyTextIndentChar">
    <w:name w:val="Body Text Indent Char"/>
    <w:link w:val="BodyTextIndent"/>
    <w:rsid w:val="007E3CF3"/>
    <w:rPr>
      <w:rFonts w:ascii="Times New Roman" w:eastAsia="PMingLiU" w:hAnsi="Times New Roman"/>
      <w:sz w:val="24"/>
      <w:szCs w:val="24"/>
    </w:rPr>
  </w:style>
  <w:style w:type="paragraph" w:customStyle="1" w:styleId="Style7">
    <w:name w:val="Style7"/>
    <w:basedOn w:val="Normal"/>
    <w:rsid w:val="00DF4455"/>
    <w:pPr>
      <w:widowControl/>
      <w:shd w:val="clear" w:color="auto" w:fill="FFFFFF"/>
      <w:spacing w:line="259" w:lineRule="exact"/>
      <w:ind w:left="2098" w:firstLine="267"/>
      <w:jc w:val="both"/>
    </w:pPr>
    <w:rPr>
      <w:color w:val="000000"/>
      <w:kern w:val="0"/>
      <w:sz w:val="22"/>
      <w:szCs w:val="22"/>
      <w:lang w:eastAsia="en-US"/>
    </w:rPr>
  </w:style>
  <w:style w:type="paragraph" w:styleId="CommentText">
    <w:name w:val="annotation text"/>
    <w:basedOn w:val="Normal"/>
    <w:link w:val="CommentTextChar"/>
    <w:rsid w:val="00E3009A"/>
  </w:style>
  <w:style w:type="character" w:customStyle="1" w:styleId="CommentTextChar">
    <w:name w:val="Comment Text Char"/>
    <w:link w:val="CommentText"/>
    <w:rsid w:val="00E3009A"/>
    <w:rPr>
      <w:rFonts w:ascii="Times New Roman" w:eastAsia="PMingLiU" w:hAnsi="Times New Roman"/>
      <w:kern w:val="2"/>
      <w:sz w:val="24"/>
      <w:szCs w:val="24"/>
      <w:lang w:eastAsia="zh-TW"/>
    </w:rPr>
  </w:style>
  <w:style w:type="character" w:styleId="CommentReference">
    <w:name w:val="annotation reference"/>
    <w:rsid w:val="00E3009A"/>
    <w:rPr>
      <w:sz w:val="18"/>
      <w:szCs w:val="18"/>
    </w:rPr>
  </w:style>
  <w:style w:type="paragraph" w:styleId="BalloonText">
    <w:name w:val="Balloon Text"/>
    <w:basedOn w:val="Normal"/>
    <w:link w:val="BalloonTextChar"/>
    <w:uiPriority w:val="99"/>
    <w:semiHidden/>
    <w:unhideWhenUsed/>
    <w:rsid w:val="00E3009A"/>
    <w:rPr>
      <w:rFonts w:ascii="Tahoma" w:hAnsi="Tahoma" w:cs="Tahoma"/>
      <w:sz w:val="16"/>
      <w:szCs w:val="16"/>
    </w:rPr>
  </w:style>
  <w:style w:type="character" w:customStyle="1" w:styleId="BalloonTextChar">
    <w:name w:val="Balloon Text Char"/>
    <w:link w:val="BalloonText"/>
    <w:uiPriority w:val="99"/>
    <w:semiHidden/>
    <w:rsid w:val="00E3009A"/>
    <w:rPr>
      <w:rFonts w:ascii="Tahoma" w:eastAsia="PMingLiU" w:hAnsi="Tahoma" w:cs="Tahoma"/>
      <w:kern w:val="2"/>
      <w:sz w:val="16"/>
      <w:szCs w:val="16"/>
      <w:lang w:eastAsia="zh-TW"/>
    </w:rPr>
  </w:style>
  <w:style w:type="character" w:styleId="PlaceholderText">
    <w:name w:val="Placeholder Text"/>
    <w:basedOn w:val="DefaultParagraphFont"/>
    <w:uiPriority w:val="99"/>
    <w:semiHidden/>
    <w:rsid w:val="001A1CAC"/>
    <w:rPr>
      <w:color w:val="808080"/>
    </w:rPr>
  </w:style>
  <w:style w:type="paragraph" w:styleId="ListParagraph">
    <w:name w:val="List Paragraph"/>
    <w:basedOn w:val="Normal"/>
    <w:uiPriority w:val="34"/>
    <w:qFormat/>
    <w:rsid w:val="00C67A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8A4"/>
    <w:pPr>
      <w:widowControl w:val="0"/>
    </w:pPr>
    <w:rPr>
      <w:rFonts w:ascii="Times New Roman" w:eastAsia="PMingLiU" w:hAnsi="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E3CF3"/>
    <w:pPr>
      <w:widowControl/>
      <w:ind w:left="540" w:hanging="540"/>
    </w:pPr>
    <w:rPr>
      <w:kern w:val="0"/>
      <w:lang w:eastAsia="en-US"/>
    </w:rPr>
  </w:style>
  <w:style w:type="character" w:customStyle="1" w:styleId="BodyTextIndentChar">
    <w:name w:val="Body Text Indent Char"/>
    <w:link w:val="BodyTextIndent"/>
    <w:rsid w:val="007E3CF3"/>
    <w:rPr>
      <w:rFonts w:ascii="Times New Roman" w:eastAsia="PMingLiU" w:hAnsi="Times New Roman"/>
      <w:sz w:val="24"/>
      <w:szCs w:val="24"/>
    </w:rPr>
  </w:style>
  <w:style w:type="paragraph" w:customStyle="1" w:styleId="Style7">
    <w:name w:val="Style7"/>
    <w:basedOn w:val="Normal"/>
    <w:rsid w:val="00DF4455"/>
    <w:pPr>
      <w:widowControl/>
      <w:shd w:val="clear" w:color="auto" w:fill="FFFFFF"/>
      <w:spacing w:line="259" w:lineRule="exact"/>
      <w:ind w:left="2098" w:firstLine="267"/>
      <w:jc w:val="both"/>
    </w:pPr>
    <w:rPr>
      <w:color w:val="000000"/>
      <w:kern w:val="0"/>
      <w:sz w:val="22"/>
      <w:szCs w:val="22"/>
      <w:lang w:eastAsia="en-US"/>
    </w:rPr>
  </w:style>
  <w:style w:type="paragraph" w:styleId="CommentText">
    <w:name w:val="annotation text"/>
    <w:basedOn w:val="Normal"/>
    <w:link w:val="CommentTextChar"/>
    <w:rsid w:val="00E3009A"/>
  </w:style>
  <w:style w:type="character" w:customStyle="1" w:styleId="CommentTextChar">
    <w:name w:val="Comment Text Char"/>
    <w:link w:val="CommentText"/>
    <w:rsid w:val="00E3009A"/>
    <w:rPr>
      <w:rFonts w:ascii="Times New Roman" w:eastAsia="PMingLiU" w:hAnsi="Times New Roman"/>
      <w:kern w:val="2"/>
      <w:sz w:val="24"/>
      <w:szCs w:val="24"/>
      <w:lang w:eastAsia="zh-TW"/>
    </w:rPr>
  </w:style>
  <w:style w:type="character" w:styleId="CommentReference">
    <w:name w:val="annotation reference"/>
    <w:rsid w:val="00E3009A"/>
    <w:rPr>
      <w:sz w:val="18"/>
      <w:szCs w:val="18"/>
    </w:rPr>
  </w:style>
  <w:style w:type="paragraph" w:styleId="BalloonText">
    <w:name w:val="Balloon Text"/>
    <w:basedOn w:val="Normal"/>
    <w:link w:val="BalloonTextChar"/>
    <w:uiPriority w:val="99"/>
    <w:semiHidden/>
    <w:unhideWhenUsed/>
    <w:rsid w:val="00E3009A"/>
    <w:rPr>
      <w:rFonts w:ascii="Tahoma" w:hAnsi="Tahoma" w:cs="Tahoma"/>
      <w:sz w:val="16"/>
      <w:szCs w:val="16"/>
    </w:rPr>
  </w:style>
  <w:style w:type="character" w:customStyle="1" w:styleId="BalloonTextChar">
    <w:name w:val="Balloon Text Char"/>
    <w:link w:val="BalloonText"/>
    <w:uiPriority w:val="99"/>
    <w:semiHidden/>
    <w:rsid w:val="00E3009A"/>
    <w:rPr>
      <w:rFonts w:ascii="Tahoma" w:eastAsia="PMingLiU" w:hAnsi="Tahoma" w:cs="Tahoma"/>
      <w:kern w:val="2"/>
      <w:sz w:val="16"/>
      <w:szCs w:val="16"/>
      <w:lang w:eastAsia="zh-TW"/>
    </w:rPr>
  </w:style>
  <w:style w:type="character" w:styleId="PlaceholderText">
    <w:name w:val="Placeholder Text"/>
    <w:basedOn w:val="DefaultParagraphFont"/>
    <w:uiPriority w:val="99"/>
    <w:semiHidden/>
    <w:rsid w:val="001A1CAC"/>
    <w:rPr>
      <w:color w:val="808080"/>
    </w:rPr>
  </w:style>
  <w:style w:type="paragraph" w:styleId="ListParagraph">
    <w:name w:val="List Paragraph"/>
    <w:basedOn w:val="Normal"/>
    <w:uiPriority w:val="34"/>
    <w:qFormat/>
    <w:rsid w:val="00C67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3.wmf"/><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9.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17.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Rutgers Business School</dc:creator>
  <cp:keywords/>
  <dc:description/>
  <cp:lastModifiedBy>Rutgers Business School</cp:lastModifiedBy>
  <cp:revision>14</cp:revision>
  <dcterms:created xsi:type="dcterms:W3CDTF">2012-08-07T15:35:00Z</dcterms:created>
  <dcterms:modified xsi:type="dcterms:W3CDTF">2012-08-07T20:58:00Z</dcterms:modified>
</cp:coreProperties>
</file>