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54" w:rsidRPr="00D629E0" w:rsidRDefault="00B87D54" w:rsidP="00B87D54">
      <w:pPr>
        <w:jc w:val="center"/>
        <w:rPr>
          <w:rFonts w:ascii="Times New Roman" w:hAnsi="Times New Roman" w:cs="Times New Roman" w:hint="eastAsia"/>
          <w:b/>
          <w:sz w:val="40"/>
          <w:szCs w:val="40"/>
        </w:rPr>
      </w:pPr>
      <w:r w:rsidRPr="00D629E0">
        <w:rPr>
          <w:rFonts w:ascii="Times New Roman" w:hAnsi="Times New Roman" w:cs="Times New Roman"/>
          <w:b/>
          <w:sz w:val="40"/>
          <w:szCs w:val="40"/>
        </w:rPr>
        <w:t xml:space="preserve">Chapter </w:t>
      </w:r>
      <w:r w:rsidR="00EF7433">
        <w:rPr>
          <w:rFonts w:ascii="Times New Roman" w:hAnsi="Times New Roman" w:cs="Times New Roman"/>
          <w:b/>
          <w:sz w:val="40"/>
          <w:szCs w:val="40"/>
        </w:rPr>
        <w:t>21</w:t>
      </w:r>
      <w:r w:rsidRPr="00D629E0">
        <w:rPr>
          <w:rFonts w:ascii="Times New Roman" w:hAnsi="Times New Roman" w:cs="Times New Roman"/>
          <w:b/>
          <w:sz w:val="40"/>
          <w:szCs w:val="40"/>
        </w:rPr>
        <w:t xml:space="preserve"> Solutions</w:t>
      </w:r>
    </w:p>
    <w:p w:rsidR="007053F7" w:rsidRPr="005A2B35" w:rsidRDefault="007053F7" w:rsidP="005A2B35">
      <w:pPr>
        <w:spacing w:line="360" w:lineRule="auto"/>
        <w:rPr>
          <w:rFonts w:ascii="Times New Roman" w:hAnsi="Times New Roman" w:cs="Times New Roman"/>
        </w:rPr>
      </w:pPr>
    </w:p>
    <w:p w:rsidR="00494517" w:rsidRPr="005A2B35" w:rsidRDefault="00494517" w:rsidP="005A2B35">
      <w:pPr>
        <w:spacing w:line="360" w:lineRule="auto"/>
        <w:rPr>
          <w:rFonts w:ascii="Times New Roman" w:hAnsi="Times New Roman" w:cs="Times New Roman"/>
        </w:rPr>
      </w:pPr>
    </w:p>
    <w:p w:rsidR="00494517" w:rsidRDefault="00494517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1.</w:t>
      </w:r>
      <w:r w:rsidR="005A2B35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  <w:u w:val="single"/>
        </w:rPr>
        <w:t>Technical</w:t>
      </w:r>
      <w:r w:rsidR="005A2B35">
        <w:rPr>
          <w:rFonts w:ascii="Times New Roman" w:hAnsi="Times New Roman" w:cs="Times New Roman"/>
          <w:snapToGrid/>
          <w:u w:val="single"/>
        </w:rPr>
        <w:t xml:space="preserve"> </w:t>
      </w:r>
      <w:r w:rsidRPr="005A2B35">
        <w:rPr>
          <w:rFonts w:ascii="Times New Roman" w:hAnsi="Times New Roman" w:cs="Times New Roman"/>
          <w:snapToGrid/>
          <w:u w:val="single"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charts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(data)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aggregate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attempt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determine trends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market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influences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 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Fundamental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firm's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earnings management,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competition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condition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along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with macroeconomic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activity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determine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correct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 w:hint="eastAsia"/>
          <w:snapToGrid/>
        </w:rPr>
        <w:t xml:space="preserve"> s</w:t>
      </w:r>
      <w:r w:rsidR="00494517" w:rsidRPr="005A2B35">
        <w:rPr>
          <w:rFonts w:ascii="Times New Roman" w:hAnsi="Times New Roman" w:cs="Times New Roman"/>
          <w:snapToGrid/>
        </w:rPr>
        <w:t>ecurity.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stock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divided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accounting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earnings.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indication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markets assessment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worth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stock.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Dow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Theory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tool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used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technical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analysts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measure 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supply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demand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security.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According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theory,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three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movements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market: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1) 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fluctuations;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2)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secondary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movements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(short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run); 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3)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primary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trends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(long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run).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fluctuations are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meaningless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but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secondary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primary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trends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can be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discovered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plotting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daily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over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time.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Market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Anomalies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pricing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related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to certain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events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(January,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Monday,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P/E)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cannot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explained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economic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ter</w:t>
      </w:r>
      <w:r>
        <w:rPr>
          <w:rFonts w:ascii="Times New Roman" w:hAnsi="Times New Roman" w:cs="Times New Roman" w:hint="eastAsia"/>
          <w:snapToGrid/>
        </w:rPr>
        <w:t>m</w:t>
      </w:r>
      <w:r w:rsidR="00494517" w:rsidRPr="005A2B35">
        <w:rPr>
          <w:rFonts w:ascii="Times New Roman" w:hAnsi="Times New Roman" w:cs="Times New Roman"/>
          <w:snapToGrid/>
        </w:rPr>
        <w:t>s.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Selectivity</w:t>
      </w:r>
      <w:r w:rsidR="00494517" w:rsidRPr="005A2B35">
        <w:rPr>
          <w:rFonts w:ascii="Times New Roman" w:hAnsi="Times New Roman" w:cs="Times New Roman"/>
          <w:snapToGrid/>
        </w:rPr>
        <w:t xml:space="preserve"> - the ability of a portfolio manager to pick securities so that the return </w:t>
      </w:r>
      <w:r w:rsidR="00494517" w:rsidRPr="005A2B35">
        <w:rPr>
          <w:rFonts w:ascii="Times New Roman" w:hAnsi="Times New Roman" w:cs="Times New Roman"/>
          <w:snapToGrid/>
        </w:rPr>
        <w:lastRenderedPageBreak/>
        <w:t>on the portfolio is better than the return on a naively selected portfolio with the same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level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risk.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Time</w:t>
      </w:r>
      <w:r>
        <w:rPr>
          <w:rFonts w:ascii="Times New Roman" w:hAnsi="Times New Roman" w:cs="Times New Roman"/>
          <w:snapToGrid/>
          <w:u w:val="single"/>
        </w:rPr>
        <w:t xml:space="preserve"> </w:t>
      </w:r>
      <w:r w:rsidR="00494517" w:rsidRPr="005A2B35">
        <w:rPr>
          <w:rFonts w:ascii="Times New Roman" w:hAnsi="Times New Roman" w:cs="Times New Roman"/>
          <w:snapToGrid/>
          <w:u w:val="single"/>
        </w:rPr>
        <w:t>Series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set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some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event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(prices)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through time.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napToGrid/>
        </w:rPr>
        <w:tab/>
      </w:r>
      <w:r w:rsidR="00494517" w:rsidRPr="005A2B35">
        <w:rPr>
          <w:rFonts w:ascii="Times New Roman" w:hAnsi="Times New Roman" w:cs="Times New Roman"/>
          <w:snapToGrid/>
          <w:u w:val="single"/>
        </w:rPr>
        <w:t>ARIMA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integrated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Average.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 difference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between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successive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(prices)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 stationary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mixed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process. It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combination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autoregressive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process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(a weighted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past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values)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plus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moving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 process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(a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weighted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average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past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error</w:t>
      </w:r>
      <w:r>
        <w:rPr>
          <w:rFonts w:ascii="Times New Roman" w:hAnsi="Times New Roman" w:cs="Times New Roman"/>
          <w:snapToGrid/>
        </w:rPr>
        <w:t xml:space="preserve"> </w:t>
      </w:r>
      <w:r w:rsidR="00494517" w:rsidRPr="005A2B35">
        <w:rPr>
          <w:rFonts w:ascii="Times New Roman" w:hAnsi="Times New Roman" w:cs="Times New Roman"/>
          <w:snapToGrid/>
        </w:rPr>
        <w:t>terms).</w:t>
      </w:r>
    </w:p>
    <w:p w:rsidR="00494517" w:rsidRDefault="00494517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</w:p>
    <w:p w:rsid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ab/>
      </w:r>
    </w:p>
    <w:p w:rsidR="005A2B35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C34D3C">
        <w:rPr>
          <w:rFonts w:ascii="Times New Roman" w:hAnsi="Times New Roman" w:cs="Times New Roman"/>
          <w:position w:val="-68"/>
        </w:rPr>
        <w:object w:dxaOrig="2120" w:dyaOrig="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93.9pt" o:ole="">
            <v:imagedata r:id="rId7" o:title=""/>
          </v:shape>
          <o:OLEObject Type="Embed" ProgID="Equation.DSMT4" ShapeID="_x0000_i1025" DrawAspect="Content" ObjectID="_1410343590" r:id="rId8"/>
        </w:object>
      </w:r>
    </w:p>
    <w:p w:rsidR="00C34D3C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C34D3C">
        <w:rPr>
          <w:rFonts w:ascii="Times New Roman" w:hAnsi="Times New Roman" w:cs="Times New Roman"/>
          <w:position w:val="-24"/>
        </w:rPr>
        <w:object w:dxaOrig="2100" w:dyaOrig="620">
          <v:shape id="_x0000_i1026" type="#_x0000_t75" style="width:105.1pt;height:30.85pt" o:ole="">
            <v:imagedata r:id="rId9" o:title=""/>
          </v:shape>
          <o:OLEObject Type="Embed" ProgID="Equation.DSMT4" ShapeID="_x0000_i1026" DrawAspect="Content" ObjectID="_1410343591" r:id="rId10"/>
        </w:object>
      </w:r>
    </w:p>
    <w:p w:rsidR="00C34D3C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</w:p>
    <w:p w:rsid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ab/>
      </w:r>
    </w:p>
    <w:p w:rsidR="00C34D3C" w:rsidRDefault="00C34D3C" w:rsidP="00C34D3C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C34D3C">
        <w:rPr>
          <w:rFonts w:ascii="Times New Roman" w:hAnsi="Times New Roman" w:cs="Times New Roman"/>
          <w:position w:val="-68"/>
        </w:rPr>
        <w:object w:dxaOrig="1960" w:dyaOrig="1880">
          <v:shape id="_x0000_i1027" type="#_x0000_t75" style="width:97.95pt;height:93.9pt" o:ole="">
            <v:imagedata r:id="rId11" o:title=""/>
          </v:shape>
          <o:OLEObject Type="Embed" ProgID="Equation.DSMT4" ShapeID="_x0000_i1027" DrawAspect="Content" ObjectID="_1410343592" r:id="rId12"/>
        </w:object>
      </w:r>
    </w:p>
    <w:p w:rsidR="00C34D3C" w:rsidRDefault="00C34D3C" w:rsidP="00C34D3C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 w:rsidRPr="00C34D3C">
        <w:rPr>
          <w:rFonts w:ascii="Times New Roman" w:hAnsi="Times New Roman" w:cs="Times New Roman"/>
          <w:position w:val="-24"/>
        </w:rPr>
        <w:object w:dxaOrig="1900" w:dyaOrig="620">
          <v:shape id="_x0000_i1028" type="#_x0000_t75" style="width:94.8pt;height:30.85pt" o:ole="">
            <v:imagedata r:id="rId13" o:title=""/>
          </v:shape>
          <o:OLEObject Type="Embed" ProgID="Equation.DSMT4" ShapeID="_x0000_i1028" DrawAspect="Content" ObjectID="_1410343593" r:id="rId14"/>
        </w:object>
      </w:r>
    </w:p>
    <w:p w:rsidR="00C34D3C" w:rsidRDefault="00C34D3C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he </w:t>
      </w:r>
      <w:r w:rsidR="000E06CE">
        <w:rPr>
          <w:rFonts w:ascii="Times New Roman" w:hAnsi="Times New Roman" w:cs="Times New Roman" w:hint="eastAsia"/>
        </w:rPr>
        <w:t>price and the P/E ra</w:t>
      </w:r>
      <w:r w:rsidR="007F7815">
        <w:rPr>
          <w:rFonts w:ascii="Times New Roman" w:hAnsi="Times New Roman" w:cs="Times New Roman" w:hint="eastAsia"/>
        </w:rPr>
        <w:t>tio</w:t>
      </w:r>
      <w:r w:rsidR="007332C4">
        <w:rPr>
          <w:rFonts w:ascii="Times New Roman" w:hAnsi="Times New Roman" w:cs="Times New Roman" w:hint="eastAsia"/>
        </w:rPr>
        <w:t xml:space="preserve"> are approximately halved with a halving of the growth </w:t>
      </w:r>
      <w:r w:rsidR="007332C4">
        <w:rPr>
          <w:rFonts w:ascii="Times New Roman" w:hAnsi="Times New Roman" w:cs="Times New Roman" w:hint="eastAsia"/>
        </w:rPr>
        <w:lastRenderedPageBreak/>
        <w:t>rate.</w:t>
      </w:r>
    </w:p>
    <w:p w:rsidR="007332C4" w:rsidRDefault="007332C4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</w:rPr>
      </w:pPr>
    </w:p>
    <w:p w:rsidR="005A2B35" w:rsidRPr="005A2B35" w:rsidRDefault="007332C4" w:rsidP="007332C4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 w:hint="eastAsia"/>
        </w:rPr>
        <w:tab/>
      </w:r>
      <w:r w:rsidR="005A2B35" w:rsidRPr="005A2B35">
        <w:rPr>
          <w:rFonts w:ascii="Times New Roman" w:hAnsi="Times New Roman" w:cs="Times New Roman"/>
          <w:snapToGrid/>
        </w:rPr>
        <w:t>1)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You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could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use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methodology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Aeilly,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Griggs 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Wong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(1983).</w:t>
      </w:r>
    </w:p>
    <w:p w:rsidR="005A2B35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2)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Take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approach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Schiller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(1984).</w:t>
      </w:r>
    </w:p>
    <w:p w:rsid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3)</w:t>
      </w: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Perform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direct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test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Gordon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Dividend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Model.</w:t>
      </w: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494517" w:rsidRPr="005A2B35" w:rsidRDefault="005A2B35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5A2B35">
        <w:rPr>
          <w:rFonts w:ascii="Times New Roman" w:hAnsi="Times New Roman" w:cs="Times New Roman"/>
          <w:snapToGrid/>
        </w:rPr>
        <w:t>5.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Technical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historic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(volume)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about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objective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predicting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future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movements.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Fundamental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 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study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macroeconomic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specific 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aim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finding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under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valued securities.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From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economic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perspective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fundamental 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seems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make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sense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because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 identifiable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relationships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(i.e.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Gordon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Model)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whereas technical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theoretical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backing.</w:t>
      </w:r>
    </w:p>
    <w:p w:rsidR="00494517" w:rsidRPr="007332C4" w:rsidRDefault="00494517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bCs/>
          <w:snapToGrid/>
        </w:rPr>
      </w:pPr>
      <w:r w:rsidRPr="005A2B35">
        <w:rPr>
          <w:rFonts w:ascii="Times New Roman" w:hAnsi="Times New Roman" w:cs="Times New Roman"/>
          <w:snapToGrid/>
        </w:rPr>
        <w:t>6.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Basu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found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that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outperformed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middle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high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adjusted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basis.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result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 consistent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view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that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ratio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not fully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reflected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rapid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manner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 postulated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semistrong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form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Therefore, publicly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available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P/E</w:t>
      </w:r>
      <w:r>
        <w:rPr>
          <w:rFonts w:ascii="Times New Roman" w:hAnsi="Times New Roman" w:cs="Times New Roman"/>
          <w:snapToGrid/>
        </w:rPr>
        <w:t xml:space="preserve"> </w:t>
      </w:r>
      <w:r w:rsidRPr="007332C4">
        <w:rPr>
          <w:rFonts w:ascii="Times New Roman" w:hAnsi="Times New Roman" w:cs="Times New Roman"/>
          <w:snapToGrid/>
        </w:rPr>
        <w:t xml:space="preserve">ratios seem to possess information </w:t>
      </w:r>
      <w:r w:rsidRPr="007332C4">
        <w:rPr>
          <w:rFonts w:ascii="Times New Roman" w:hAnsi="Times New Roman" w:cs="Times New Roman"/>
          <w:bCs/>
          <w:snapToGrid/>
        </w:rPr>
        <w:t xml:space="preserve">content that is not reflected </w:t>
      </w:r>
      <w:r w:rsidRPr="007332C4">
        <w:rPr>
          <w:rFonts w:ascii="Times New Roman" w:hAnsi="Times New Roman" w:cs="Times New Roman"/>
          <w:snapToGrid/>
        </w:rPr>
        <w:t xml:space="preserve">in </w:t>
      </w:r>
      <w:r w:rsidRPr="007332C4">
        <w:rPr>
          <w:rFonts w:ascii="Times New Roman" w:hAnsi="Times New Roman" w:cs="Times New Roman"/>
          <w:bCs/>
          <w:snapToGrid/>
        </w:rPr>
        <w:t>security prices.</w:t>
      </w:r>
    </w:p>
    <w:p w:rsidR="007332C4" w:rsidRP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7332C4">
        <w:rPr>
          <w:rFonts w:ascii="Times New Roman" w:hAnsi="Times New Roman" w:cs="Times New Roman"/>
          <w:bCs/>
          <w:snapToGrid/>
        </w:rPr>
        <w:t>7.</w:t>
      </w:r>
      <w:r w:rsidR="007332C4" w:rsidRPr="007332C4">
        <w:rPr>
          <w:rFonts w:ascii="Times New Roman" w:hAnsi="Times New Roman" w:cs="Times New Roman" w:hint="eastAsia"/>
          <w:snapToGrid/>
        </w:rPr>
        <w:tab/>
      </w:r>
      <w:r w:rsidRPr="007332C4">
        <w:rPr>
          <w:rFonts w:ascii="Times New Roman" w:hAnsi="Times New Roman" w:cs="Times New Roman"/>
          <w:snapToGrid/>
        </w:rPr>
        <w:t>The two major approaches to time series analysis are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component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function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analysis.</w:t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Pr="005A2B35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Component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regards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time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series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being composed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several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influences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components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which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 trend-XXX,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seasonal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random.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component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analysis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 seasonal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modeled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deterministic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lastRenderedPageBreak/>
        <w:t>manner.</w:t>
      </w: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850" w:hangingChars="177" w:hanging="425"/>
        <w:rPr>
          <w:rFonts w:ascii="Times New Roman" w:hAnsi="Times New Roman" w:cs="Times New Roman" w:hint="eastAsia"/>
          <w:snapToGrid/>
        </w:rPr>
      </w:pPr>
    </w:p>
    <w:p w:rsidR="005A2B35" w:rsidRDefault="005A2B35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6" w:left="423" w:hanging="1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Function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analysis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regards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series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observed sample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function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representing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realization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 underlying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stochastic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process.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Procedures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ARIMA can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identify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properties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data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series</w:t>
      </w:r>
    </w:p>
    <w:p w:rsidR="007332C4" w:rsidRPr="005A2B35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Chars="177" w:left="850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8.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By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two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(timeliness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safety),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line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shows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expectations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about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securities.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Timeliness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scaled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from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with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timely.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Safety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measure 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avoidance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1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least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5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 risky.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publicly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available information.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context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ranking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based 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public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information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should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effective. Value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line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success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provides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further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evidence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refutes 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its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semistrong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firm.</w:t>
      </w:r>
    </w:p>
    <w:p w:rsidR="007332C4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7332C4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9.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8F2631">
        <w:rPr>
          <w:rFonts w:ascii="Times New Roman" w:hAnsi="Times New Roman" w:cs="Times New Roman"/>
          <w:snapToGrid/>
          <w:u w:val="single"/>
        </w:rPr>
        <w:t>Growth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well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diversified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holding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common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</w:p>
    <w:p w:rsid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8F2631">
        <w:rPr>
          <w:rFonts w:ascii="Times New Roman" w:hAnsi="Times New Roman" w:cs="Times New Roman"/>
          <w:snapToGrid/>
          <w:u w:val="single"/>
        </w:rPr>
        <w:t>Income &amp; Growth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mixture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fixed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(bonds)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stock</w:t>
      </w:r>
      <w:r>
        <w:rPr>
          <w:rFonts w:ascii="Times New Roman" w:hAnsi="Times New Roman" w:cs="Times New Roman" w:hint="eastAsia"/>
          <w:snapToGrid/>
        </w:rPr>
        <w:t xml:space="preserve"> </w:t>
      </w:r>
    </w:p>
    <w:p w:rsidR="007332C4" w:rsidRPr="005A2B35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Pr="008F2631">
        <w:rPr>
          <w:rFonts w:ascii="Times New Roman" w:hAnsi="Times New Roman" w:cs="Times New Roman" w:hint="eastAsia"/>
          <w:snapToGrid/>
          <w:u w:val="single"/>
        </w:rPr>
        <w:tab/>
      </w:r>
      <w:r w:rsidR="005A2B35" w:rsidRPr="008F2631">
        <w:rPr>
          <w:rFonts w:ascii="Times New Roman" w:hAnsi="Times New Roman" w:cs="Times New Roman"/>
          <w:snapToGrid/>
          <w:u w:val="single"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-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fixed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income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 xml:space="preserve">securities </w:t>
      </w:r>
    </w:p>
    <w:p w:rsidR="007332C4" w:rsidRDefault="007332C4" w:rsidP="007332C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Pr="005A2B35" w:rsidRDefault="005A2B35" w:rsidP="007332C4">
      <w:pPr>
        <w:shd w:val="clear" w:color="auto" w:fill="FFFFFF"/>
        <w:autoSpaceDE w:val="0"/>
        <w:autoSpaceDN w:val="0"/>
        <w:adjustRightInd w:val="0"/>
        <w:spacing w:line="360" w:lineRule="auto"/>
        <w:ind w:leftChars="177" w:left="2974" w:hangingChars="1062" w:hanging="2549"/>
        <w:rPr>
          <w:rFonts w:ascii="Times New Roman" w:hAnsi="Times New Roman" w:cs="Times New Roman"/>
        </w:rPr>
      </w:pPr>
      <w:r w:rsidRPr="008F2631">
        <w:rPr>
          <w:rFonts w:ascii="Times New Roman" w:hAnsi="Times New Roman" w:cs="Times New Roman"/>
          <w:snapToGrid/>
          <w:u w:val="single"/>
        </w:rPr>
        <w:t>Income, growth, stability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-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depending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emphasis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growth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income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portfolio 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bonds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weighted toward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appropriate objective.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p w:rsidR="007332C4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10.</w:t>
      </w:r>
      <w:r w:rsidR="007332C4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Fama's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Overall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Measure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7332C4" w:rsidRDefault="003115F9" w:rsidP="0088556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jc w:val="center"/>
        <w:rPr>
          <w:rFonts w:ascii="Times New Roman" w:hAnsi="Times New Roman" w:cs="Times New Roman" w:hint="eastAsia"/>
          <w:snapToGrid/>
        </w:rPr>
      </w:pPr>
      <w:r>
        <w:rPr>
          <w:noProof/>
          <w:snapToGrid/>
        </w:rPr>
        <w:lastRenderedPageBreak/>
        <w:drawing>
          <wp:inline distT="0" distB="0" distL="0" distR="0">
            <wp:extent cx="4686300" cy="3667125"/>
            <wp:effectExtent l="19050" t="0" r="0" b="0"/>
            <wp:docPr id="6" name="圖片 6" descr="p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6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42000" contrast="78000"/>
                    </a:blip>
                    <a:srcRect l="6522" t="12480" r="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C4" w:rsidRDefault="007332C4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Overall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Performance</w:t>
      </w:r>
      <w:r w:rsidR="005A2B35">
        <w:rPr>
          <w:rFonts w:ascii="Times New Roman" w:hAnsi="Times New Roman" w:cs="Times New Roman"/>
          <w:snapToGrid/>
        </w:rPr>
        <w:t xml:space="preserve"> </w:t>
      </w:r>
      <w:r>
        <w:rPr>
          <w:rFonts w:ascii="Times New Roman" w:hAnsi="Times New Roman" w:cs="Times New Roman" w:hint="eastAsia"/>
          <w:snapToGrid/>
        </w:rPr>
        <w:t>=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Selectivity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+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Risk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</w:p>
    <w:p w:rsidR="005A2B35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Selectivity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how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well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does relative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naively</w:t>
      </w:r>
      <w:r w:rsidR="007332C4"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portfolio.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very 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Treynor's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P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88556B">
        <w:rPr>
          <w:rFonts w:ascii="Times New Roman" w:hAnsi="Times New Roman" w:cs="Times New Roman"/>
          <w:snapToGrid/>
        </w:rPr>
        <w:tab/>
      </w:r>
      <w:r w:rsidR="005A2B35" w:rsidRPr="0088556B">
        <w:rPr>
          <w:rFonts w:ascii="Times New Roman" w:hAnsi="Times New Roman" w:cs="Times New Roman"/>
          <w:snapToGrid/>
        </w:rPr>
        <w:t xml:space="preserve">The difference between Treynor's and Sharpe's measures is that Treynor uses </w:t>
      </w:r>
      <w:r w:rsidRPr="0088556B">
        <w:rPr>
          <w:rFonts w:ascii="Times New Roman" w:hAnsi="Times New Roman" w:cs="Times New Roman"/>
          <w:snapToGrid/>
        </w:rPr>
        <w:t>β</w:t>
      </w:r>
      <w:r w:rsidR="005A2B35" w:rsidRPr="0088556B">
        <w:rPr>
          <w:rFonts w:ascii="Times New Roman" w:hAnsi="Times New Roman" w:cs="Times New Roman"/>
          <w:i/>
          <w:iCs/>
          <w:snapToGrid/>
        </w:rPr>
        <w:t xml:space="preserve"> </w:t>
      </w:r>
      <w:r w:rsidR="005A2B35" w:rsidRPr="0088556B">
        <w:rPr>
          <w:rFonts w:ascii="Times New Roman" w:hAnsi="Times New Roman" w:cs="Times New Roman"/>
          <w:snapToGrid/>
        </w:rPr>
        <w:t xml:space="preserve">and Sharpe uses </w:t>
      </w:r>
      <w:r w:rsidRPr="0088556B">
        <w:rPr>
          <w:rFonts w:ascii="Times New Roman" w:hAnsi="Times New Roman" w:cs="Times New Roman"/>
          <w:iCs/>
          <w:snapToGrid/>
        </w:rPr>
        <w:t>σ</w:t>
      </w:r>
      <w:r w:rsidR="005A2B35" w:rsidRPr="0088556B">
        <w:rPr>
          <w:rFonts w:ascii="Times New Roman" w:hAnsi="Times New Roman" w:cs="Times New Roman"/>
          <w:i/>
          <w:iCs/>
          <w:snapToGrid/>
        </w:rPr>
        <w:t xml:space="preserve">. </w:t>
      </w:r>
      <w:r w:rsidR="005A2B35" w:rsidRPr="0088556B">
        <w:rPr>
          <w:rFonts w:ascii="Times New Roman" w:hAnsi="Times New Roman" w:cs="Times New Roman"/>
          <w:snapToGrid/>
        </w:rPr>
        <w:t>If a portfolio is completely diversified it does not have any unsystematic risk, then total risk is equal to systematic risk and Treynor's and Sharpe's measures are equal.</w:t>
      </w:r>
    </w:p>
    <w:p w:rsidR="0088556B" w:rsidRDefault="0088556B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Pr="005A2B35" w:rsidRDefault="0088556B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Jensen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like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Treynor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interested in</w:t>
      </w:r>
      <w:r>
        <w:rPr>
          <w:rFonts w:ascii="Times New Roman" w:hAnsi="Times New Roman" w:cs="Times New Roman" w:hint="eastAsia"/>
          <w:snapToGrid/>
        </w:rPr>
        <w:t xml:space="preserve"> </w:t>
      </w:r>
      <w:r w:rsidRPr="0088556B">
        <w:rPr>
          <w:rFonts w:ascii="Times New Roman" w:hAnsi="Times New Roman" w:cs="Times New Roman"/>
          <w:snapToGrid/>
        </w:rPr>
        <w:t>β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risk.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Hence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does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not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manager's ability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diversify.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concerned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with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manager's ability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under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valued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securities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and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therefore similar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Fama's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measure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selectivity.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5A2B35">
        <w:rPr>
          <w:rFonts w:ascii="Times New Roman" w:hAnsi="Times New Roman" w:cs="Times New Roman"/>
          <w:snapToGrid/>
        </w:rPr>
        <w:t>11.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Micro forecasting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involves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identification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which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under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over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valued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relative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index for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equities.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microforecastor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interested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 nonsystematic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non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market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component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A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macroforecastor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attempts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identify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when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equities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general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under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over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valued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relative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to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other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types</w:t>
      </w:r>
      <w:r>
        <w:rPr>
          <w:rFonts w:ascii="Times New Roman" w:hAnsi="Times New Roman" w:cs="Times New Roman" w:hint="eastAsia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of</w:t>
      </w:r>
      <w:r w:rsidR="005A2B35">
        <w:rPr>
          <w:rFonts w:ascii="Times New Roman" w:hAnsi="Times New Roman" w:cs="Times New Roman"/>
          <w:snapToGrid/>
        </w:rPr>
        <w:t xml:space="preserve"> </w:t>
      </w:r>
      <w:r>
        <w:rPr>
          <w:rFonts w:ascii="Times New Roman" w:hAnsi="Times New Roman" w:cs="Times New Roman"/>
          <w:snapToGrid/>
        </w:rPr>
        <w:t>s</w:t>
      </w:r>
      <w:r w:rsidR="005A2B35" w:rsidRPr="005A2B35">
        <w:rPr>
          <w:rFonts w:ascii="Times New Roman" w:hAnsi="Times New Roman" w:cs="Times New Roman"/>
          <w:snapToGrid/>
        </w:rPr>
        <w:t>ecurities.</w:t>
      </w:r>
    </w:p>
    <w:p w:rsidR="0088556B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  <w:r w:rsidRPr="005A2B35">
        <w:rPr>
          <w:rFonts w:ascii="Times New Roman" w:hAnsi="Times New Roman" w:cs="Times New Roman"/>
          <w:snapToGrid/>
        </w:rPr>
        <w:t>12.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It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depends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how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achieved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superior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risky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if 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did,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would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outperform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averages. Did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success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selecting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individual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securities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or timing?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finally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can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expected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repent 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performance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future.</w:t>
      </w:r>
    </w:p>
    <w:p w:rsidR="0088556B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</w:p>
    <w:p w:rsidR="005A2B35" w:rsidRPr="005A2B35" w:rsidRDefault="005A2B35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 w:rsidRPr="005A2B35">
        <w:rPr>
          <w:rFonts w:ascii="Times New Roman" w:hAnsi="Times New Roman" w:cs="Times New Roman"/>
          <w:snapToGrid/>
        </w:rPr>
        <w:t>13.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month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are</w:t>
      </w:r>
      <w:r w:rsidR="0088556B">
        <w:rPr>
          <w:rFonts w:ascii="Times New Roman" w:hAnsi="Times New Roman" w:cs="Times New Roman" w:hint="eastAsia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statistically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highest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returns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expressed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month.</w:t>
      </w:r>
    </w:p>
    <w:p w:rsidR="0088556B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 w:hint="eastAsia"/>
          <w:snapToGrid/>
        </w:rPr>
      </w:pPr>
    </w:p>
    <w:p w:rsidR="005A2B35" w:rsidRPr="005A2B35" w:rsidRDefault="0088556B" w:rsidP="005A2B3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425" w:hangingChars="177" w:hanging="425"/>
        <w:rPr>
          <w:rFonts w:ascii="Times New Roman" w:hAnsi="Times New Roman" w:cs="Times New Roman"/>
          <w:snapToGrid/>
          <w:color w:val="auto"/>
        </w:rPr>
      </w:pPr>
      <w:r>
        <w:rPr>
          <w:rFonts w:ascii="Times New Roman" w:hAnsi="Times New Roman" w:cs="Times New Roman" w:hint="eastAsia"/>
          <w:snapToGrid/>
        </w:rPr>
        <w:tab/>
      </w:r>
      <w:r w:rsidR="005A2B35" w:rsidRPr="005A2B35">
        <w:rPr>
          <w:rFonts w:ascii="Times New Roman" w:hAnsi="Times New Roman" w:cs="Times New Roman"/>
          <w:snapToGrid/>
        </w:rPr>
        <w:t>Explanations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for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this</w:t>
      </w:r>
      <w:r w:rsidR="005A2B35">
        <w:rPr>
          <w:rFonts w:ascii="Times New Roman" w:hAnsi="Times New Roman" w:cs="Times New Roman"/>
          <w:snapToGrid/>
        </w:rPr>
        <w:t xml:space="preserve"> </w:t>
      </w:r>
      <w:r w:rsidR="005A2B35" w:rsidRPr="005A2B35">
        <w:rPr>
          <w:rFonts w:ascii="Times New Roman" w:hAnsi="Times New Roman" w:cs="Times New Roman"/>
          <w:snapToGrid/>
        </w:rPr>
        <w:t>are:</w:t>
      </w:r>
    </w:p>
    <w:p w:rsidR="005A2B35" w:rsidRP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1.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Tax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loss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selling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effect.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Investors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sell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stocks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 December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advantage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tax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losses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thereby depressing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(returns)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January.</w:t>
      </w:r>
    </w:p>
    <w:p w:rsidR="005A2B35" w:rsidRP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5A2B35" w:rsidRDefault="005A2B35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  <w:r w:rsidRPr="005A2B35">
        <w:rPr>
          <w:rFonts w:ascii="Times New Roman" w:hAnsi="Times New Roman" w:cs="Times New Roman"/>
          <w:snapToGrid/>
        </w:rPr>
        <w:t>2.</w:t>
      </w:r>
      <w:r w:rsidR="0088556B">
        <w:rPr>
          <w:rFonts w:ascii="Times New Roman" w:hAnsi="Times New Roman" w:cs="Times New Roman" w:hint="eastAsia"/>
          <w:snapToGrid/>
        </w:rPr>
        <w:tab/>
      </w:r>
      <w:r w:rsidRPr="005A2B35">
        <w:rPr>
          <w:rFonts w:ascii="Times New Roman" w:hAnsi="Times New Roman" w:cs="Times New Roman"/>
          <w:snapToGrid/>
        </w:rPr>
        <w:t>Professional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Management.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Most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mutual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managers are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hired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evaluated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calendar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basis.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Hence when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begin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period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they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have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lot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interest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and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funds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put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into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equities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during January.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This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raises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the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prices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(returns)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of equities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during</w:t>
      </w:r>
      <w:r>
        <w:rPr>
          <w:rFonts w:ascii="Times New Roman" w:hAnsi="Times New Roman" w:cs="Times New Roman"/>
          <w:snapToGrid/>
        </w:rPr>
        <w:t xml:space="preserve"> </w:t>
      </w:r>
      <w:r w:rsidRPr="005A2B35">
        <w:rPr>
          <w:rFonts w:ascii="Times New Roman" w:hAnsi="Times New Roman" w:cs="Times New Roman"/>
          <w:snapToGrid/>
        </w:rPr>
        <w:t>January.</w:t>
      </w:r>
    </w:p>
    <w:p w:rsidR="00446271" w:rsidRDefault="00446271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446271" w:rsidRPr="005A2B35" w:rsidRDefault="00446271" w:rsidP="0088556B">
      <w:pPr>
        <w:tabs>
          <w:tab w:val="left" w:pos="993"/>
        </w:tabs>
        <w:spacing w:line="360" w:lineRule="auto"/>
        <w:ind w:leftChars="236" w:left="991" w:hangingChars="177" w:hanging="425"/>
        <w:rPr>
          <w:rFonts w:ascii="Times New Roman" w:hAnsi="Times New Roman" w:cs="Times New Roman"/>
          <w:snapToGrid/>
        </w:rPr>
      </w:pPr>
    </w:p>
    <w:p w:rsidR="005A2B35" w:rsidRPr="005A2B35" w:rsidRDefault="00D53D69" w:rsidP="00EF7433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snapToGrid/>
        </w:rPr>
      </w:pPr>
      <w:r w:rsidRPr="0030267A">
        <w:lastRenderedPageBreak/>
        <w:t>Discuss how the timing and selectivity of a mutual fund’s performance can be tested empirically</w:t>
      </w:r>
    </w:p>
    <w:p w:rsidR="00D53D69" w:rsidRDefault="00D07874" w:rsidP="00D53D69">
      <w:pPr>
        <w:spacing w:line="360" w:lineRule="auto"/>
        <w:jc w:val="both"/>
      </w:pPr>
      <w:r>
        <w:t xml:space="preserve">The forecasting skills of </w:t>
      </w:r>
      <w:r w:rsidRPr="005A2B35">
        <w:rPr>
          <w:rFonts w:ascii="Times New Roman" w:hAnsi="Times New Roman" w:cs="Times New Roman"/>
          <w:snapToGrid/>
        </w:rPr>
        <w:t>Fama's</w:t>
      </w:r>
      <w:r>
        <w:rPr>
          <w:rFonts w:ascii="Times New Roman" w:hAnsi="Times New Roman" w:cs="Times New Roman"/>
          <w:snapToGrid/>
        </w:rPr>
        <w:t xml:space="preserve"> (1972) o</w:t>
      </w:r>
      <w:r w:rsidRPr="005A2B35">
        <w:rPr>
          <w:rFonts w:ascii="Times New Roman" w:hAnsi="Times New Roman" w:cs="Times New Roman"/>
          <w:snapToGrid/>
        </w:rPr>
        <w:t>verall</w:t>
      </w:r>
      <w:r>
        <w:rPr>
          <w:rFonts w:ascii="Times New Roman" w:hAnsi="Times New Roman" w:cs="Times New Roman"/>
          <w:snapToGrid/>
        </w:rPr>
        <w:t xml:space="preserve"> p</w:t>
      </w:r>
      <w:r w:rsidRPr="005A2B35">
        <w:rPr>
          <w:rFonts w:ascii="Times New Roman" w:hAnsi="Times New Roman" w:cs="Times New Roman"/>
          <w:snapToGrid/>
        </w:rPr>
        <w:t>erformance</w:t>
      </w:r>
      <w:r>
        <w:rPr>
          <w:rFonts w:ascii="Times New Roman" w:hAnsi="Times New Roman" w:cs="Times New Roman"/>
          <w:snapToGrid/>
        </w:rPr>
        <w:t xml:space="preserve"> m</w:t>
      </w:r>
      <w:r w:rsidRPr="005A2B35">
        <w:rPr>
          <w:rFonts w:ascii="Times New Roman" w:hAnsi="Times New Roman" w:cs="Times New Roman"/>
          <w:snapToGrid/>
        </w:rPr>
        <w:t>easure</w:t>
      </w:r>
      <w:r>
        <w:rPr>
          <w:rFonts w:ascii="Times New Roman" w:hAnsi="Times New Roman" w:cs="Times New Roman"/>
          <w:snapToGrid/>
        </w:rPr>
        <w:t xml:space="preserve"> </w:t>
      </w:r>
      <w:r w:rsidRPr="0030267A">
        <w:t xml:space="preserve">can be partitioned into two distinct components: (1) </w:t>
      </w:r>
      <w:r>
        <w:t xml:space="preserve">selectivity which </w:t>
      </w:r>
      <w:r w:rsidRPr="0030267A">
        <w:t>forecasts of price movements of selected individual stocks (</w:t>
      </w:r>
      <w:r w:rsidRPr="0030267A">
        <w:rPr>
          <w:b/>
          <w:bCs/>
        </w:rPr>
        <w:t>microforecasting)</w:t>
      </w:r>
      <w:r w:rsidRPr="0030267A">
        <w:t xml:space="preserve">, and (2) </w:t>
      </w:r>
      <w:r>
        <w:t xml:space="preserve">market timing which </w:t>
      </w:r>
      <w:r w:rsidRPr="0030267A">
        <w:t xml:space="preserve">forecasts of price movements of the general stock market as a whole </w:t>
      </w:r>
      <w:r w:rsidRPr="0030267A">
        <w:rPr>
          <w:b/>
          <w:bCs/>
        </w:rPr>
        <w:t>(macroforecasting)</w:t>
      </w:r>
      <w:r w:rsidRPr="0030267A">
        <w:t>.</w:t>
      </w:r>
    </w:p>
    <w:p w:rsidR="00446271" w:rsidRPr="0030267A" w:rsidRDefault="00446271" w:rsidP="00446271">
      <w:pPr>
        <w:spacing w:line="360" w:lineRule="auto"/>
        <w:jc w:val="both"/>
      </w:pPr>
      <w:r>
        <w:t xml:space="preserve">The first component, selectivity of </w:t>
      </w:r>
      <w:r w:rsidRPr="0030267A">
        <w:t>a mutual fund’s performance</w:t>
      </w:r>
      <w:r>
        <w:t xml:space="preserve"> can be test empirically by t</w:t>
      </w:r>
      <w:r w:rsidRPr="0030267A">
        <w:t>he CAPM as a framework</w:t>
      </w:r>
      <w:r>
        <w:t xml:space="preserve">. </w:t>
      </w:r>
      <w:r w:rsidRPr="0030267A">
        <w:t>The microforecaster</w:t>
      </w:r>
      <w:r>
        <w:t xml:space="preserve"> (selectivity)</w:t>
      </w:r>
      <w:r w:rsidRPr="0030267A">
        <w:t xml:space="preserve">, in essence, forecasts the nonsystematic or nonmarket-explained component of the return on individual stocks. </w:t>
      </w:r>
      <w:r>
        <w:t xml:space="preserve">From equation (21.42), </w:t>
      </w:r>
      <w:r w:rsidRPr="0030267A">
        <w:t>the random variable return per dollar</w:t>
      </w:r>
      <w:r>
        <w:t xml:space="preserve"> </w:t>
      </w:r>
      <w:r w:rsidRPr="0030267A">
        <w:rPr>
          <w:position w:val="-14"/>
        </w:rPr>
        <w:object w:dxaOrig="560" w:dyaOrig="380">
          <v:shape id="_x0000_i1032" type="#_x0000_t75" style="width:28.15pt;height:18.8pt" o:ole="">
            <v:imagedata r:id="rId16" o:title=""/>
          </v:shape>
          <o:OLEObject Type="Embed" ProgID="Equation.DSMT4" ShapeID="_x0000_i1032" DrawAspect="Content" ObjectID="_1410343594" r:id="rId17"/>
        </w:object>
      </w:r>
      <w:r w:rsidRPr="0030267A">
        <w:t xml:space="preserve"> on security </w:t>
      </w:r>
      <w:r w:rsidRPr="0030267A">
        <w:rPr>
          <w:i/>
          <w:iCs/>
        </w:rPr>
        <w:t>j</w:t>
      </w:r>
      <w:r w:rsidRPr="0030267A">
        <w:t xml:space="preserve"> at time </w:t>
      </w:r>
      <w:r w:rsidRPr="0030267A">
        <w:rPr>
          <w:i/>
          <w:iCs/>
        </w:rPr>
        <w:t>t</w:t>
      </w:r>
      <w:r w:rsidRPr="0030267A">
        <w:t xml:space="preserve"> can be algebraically shown as</w:t>
      </w:r>
    </w:p>
    <w:p w:rsidR="00446271" w:rsidRPr="0030267A" w:rsidRDefault="00446271" w:rsidP="00446271">
      <w:pPr>
        <w:spacing w:line="360" w:lineRule="auto"/>
        <w:ind w:left="960" w:firstLine="480"/>
        <w:jc w:val="both"/>
      </w:pPr>
      <w:r w:rsidRPr="0030267A">
        <w:rPr>
          <w:position w:val="-14"/>
        </w:rPr>
        <w:object w:dxaOrig="3660" w:dyaOrig="380">
          <v:shape id="_x0000_i1033" type="#_x0000_t75" style="width:182.9pt;height:18.8pt" o:ole="">
            <v:imagedata r:id="rId18" o:title=""/>
          </v:shape>
          <o:OLEObject Type="Embed" ProgID="Equation.DSMT4" ShapeID="_x0000_i1033" DrawAspect="Content" ObjectID="_1410343595" r:id="rId19"/>
        </w:object>
      </w:r>
      <w:r>
        <w:t>.</w:t>
      </w:r>
      <w:r w:rsidRPr="0030267A">
        <w:tab/>
      </w:r>
      <w:r w:rsidRPr="0030267A">
        <w:tab/>
      </w:r>
      <w:r w:rsidRPr="0030267A">
        <w:tab/>
      </w:r>
      <w:r w:rsidRPr="0030267A">
        <w:tab/>
      </w:r>
      <w:r w:rsidRPr="0030267A">
        <w:tab/>
        <w:t>(</w:t>
      </w:r>
      <w:r>
        <w:t>21.</w:t>
      </w:r>
      <w:r w:rsidRPr="0030267A">
        <w:t>42)</w:t>
      </w:r>
    </w:p>
    <w:p w:rsidR="00446271" w:rsidRPr="0030267A" w:rsidRDefault="00446271" w:rsidP="00446271">
      <w:pPr>
        <w:spacing w:line="360" w:lineRule="auto"/>
        <w:jc w:val="both"/>
      </w:pPr>
      <w:r w:rsidRPr="0030267A">
        <w:tab/>
      </w:r>
      <w:r>
        <w:rPr>
          <w:rFonts w:hint="eastAsia"/>
        </w:rPr>
        <w:t>W</w:t>
      </w:r>
      <w:r>
        <w:t xml:space="preserve">here </w:t>
      </w:r>
      <w:r w:rsidRPr="0030267A">
        <w:rPr>
          <w:position w:val="-12"/>
        </w:rPr>
        <w:object w:dxaOrig="600" w:dyaOrig="360">
          <v:shape id="_x0000_i1034" type="#_x0000_t75" style="width:29.95pt;height:17.9pt" o:ole="">
            <v:imagedata r:id="rId20" o:title=""/>
          </v:shape>
          <o:OLEObject Type="Embed" ProgID="Equation.DSMT4" ShapeID="_x0000_i1034" DrawAspect="Content" ObjectID="_1410343596" r:id="rId21"/>
        </w:object>
      </w:r>
      <w:r w:rsidRPr="0030267A">
        <w:t xml:space="preserve"> is the return on the market, </w:t>
      </w:r>
      <w:r w:rsidRPr="0030267A">
        <w:rPr>
          <w:position w:val="-10"/>
        </w:rPr>
        <w:object w:dxaOrig="480" w:dyaOrig="320">
          <v:shape id="_x0000_i1035" type="#_x0000_t75" style="width:24.15pt;height:16.1pt" o:ole="">
            <v:imagedata r:id="rId22" o:title=""/>
          </v:shape>
          <o:OLEObject Type="Embed" ProgID="Equation.DSMT4" ShapeID="_x0000_i1035" DrawAspect="Content" ObjectID="_1410343597" r:id="rId23"/>
        </w:object>
      </w:r>
      <w:r w:rsidRPr="0030267A">
        <w:t xml:space="preserve"> is the return on the riskless asset, and</w:t>
      </w:r>
      <w:r>
        <w:rPr>
          <w:rFonts w:hint="eastAsia"/>
        </w:rPr>
        <w:t xml:space="preserve"> </w:t>
      </w:r>
      <w:r w:rsidRPr="0030267A">
        <w:rPr>
          <w:position w:val="-14"/>
        </w:rPr>
        <w:object w:dxaOrig="600" w:dyaOrig="380">
          <v:shape id="_x0000_i1036" type="#_x0000_t75" style="width:29.95pt;height:18.8pt" o:ole="">
            <v:imagedata r:id="rId24" o:title=""/>
          </v:shape>
          <o:OLEObject Type="Embed" ProgID="Equation.DSMT4" ShapeID="_x0000_i1036" DrawAspect="Content" ObjectID="_1410343598" r:id="rId25"/>
        </w:object>
      </w:r>
      <w:r w:rsidRPr="0030267A">
        <w:t xml:space="preserve"> is the error term with the property that its expectation is conditional on knowing that the outcome of</w:t>
      </w:r>
      <w:r>
        <w:rPr>
          <w:rFonts w:hint="eastAsia"/>
        </w:rPr>
        <w:t xml:space="preserve"> </w:t>
      </w:r>
      <w:r w:rsidRPr="0030267A">
        <w:rPr>
          <w:position w:val="-12"/>
        </w:rPr>
        <w:object w:dxaOrig="600" w:dyaOrig="360">
          <v:shape id="_x0000_i1037" type="#_x0000_t75" style="width:29.95pt;height:17.9pt" o:ole="">
            <v:imagedata r:id="rId26" o:title=""/>
          </v:shape>
          <o:OLEObject Type="Embed" ProgID="Equation.DSMT4" ShapeID="_x0000_i1037" DrawAspect="Content" ObjectID="_1410343599" r:id="rId27"/>
        </w:object>
      </w:r>
      <w:r w:rsidRPr="0030267A">
        <w:t xml:space="preserve"> is equal to its unconditional expectation </w:t>
      </w:r>
      <w:r>
        <w:t>(</w:t>
      </w:r>
      <w:r w:rsidRPr="0030267A">
        <w:rPr>
          <w:position w:val="-14"/>
        </w:rPr>
        <w:object w:dxaOrig="600" w:dyaOrig="380">
          <v:shape id="_x0000_i1038" type="#_x0000_t75" style="width:29.95pt;height:18.8pt" o:ole="">
            <v:imagedata r:id="rId28" o:title=""/>
          </v:shape>
          <o:OLEObject Type="Embed" ProgID="Equation.DSMT4" ShapeID="_x0000_i1038" DrawAspect="Content" ObjectID="_1410343600" r:id="rId29"/>
        </w:object>
      </w:r>
      <w:r w:rsidRPr="0030267A">
        <w:t xml:space="preserve"> follows a martingale process</w:t>
      </w:r>
      <w:r>
        <w:t>)</w:t>
      </w:r>
      <w:r w:rsidRPr="0030267A">
        <w:t>. Given such a model, a microforecaster</w:t>
      </w:r>
      <w:r>
        <w:t xml:space="preserve"> (selectivity)</w:t>
      </w:r>
      <w:r w:rsidRPr="0030267A">
        <w:t xml:space="preserve"> would be interested in forecasting based on the properties of</w:t>
      </w:r>
      <w:r>
        <w:rPr>
          <w:rFonts w:hint="eastAsia"/>
        </w:rPr>
        <w:t xml:space="preserve"> </w:t>
      </w:r>
      <w:r w:rsidRPr="0030267A">
        <w:rPr>
          <w:position w:val="-14"/>
        </w:rPr>
        <w:object w:dxaOrig="600" w:dyaOrig="380">
          <v:shape id="_x0000_i1039" type="#_x0000_t75" style="width:29.95pt;height:18.8pt" o:ole="">
            <v:imagedata r:id="rId30" o:title=""/>
          </v:shape>
          <o:OLEObject Type="Embed" ProgID="Equation.DSMT4" ShapeID="_x0000_i1039" DrawAspect="Content" ObjectID="_1410343601" r:id="rId31"/>
        </w:object>
      </w:r>
      <w:r w:rsidRPr="0030267A">
        <w:t>.</w:t>
      </w:r>
    </w:p>
    <w:p w:rsidR="00D53D69" w:rsidRPr="0030267A" w:rsidRDefault="00446271" w:rsidP="00446271">
      <w:pPr>
        <w:spacing w:line="360" w:lineRule="auto"/>
        <w:ind w:firstLine="480"/>
        <w:jc w:val="both"/>
      </w:pPr>
      <w:r>
        <w:t xml:space="preserve">The second component, </w:t>
      </w:r>
      <w:r w:rsidRPr="0030267A">
        <w:t>macroforecaster</w:t>
      </w:r>
      <w:r>
        <w:t xml:space="preserve"> (market timing of </w:t>
      </w:r>
      <w:r w:rsidRPr="0030267A">
        <w:t>a mutual fund’s performance</w:t>
      </w:r>
      <w:r>
        <w:t>)</w:t>
      </w:r>
      <w:r w:rsidR="00D53D69" w:rsidRPr="0030267A">
        <w:tab/>
      </w:r>
      <w:r>
        <w:t xml:space="preserve">can be identified </w:t>
      </w:r>
      <w:r w:rsidR="00D53D69" w:rsidRPr="0030267A">
        <w:t>when equities in general are undervalued or overvalued relative to other types of security, such as fixed-income securities. Therefore, a microforecaster tries to forecast</w:t>
      </w:r>
      <w:r w:rsidR="00D53D69">
        <w:t xml:space="preserve"> </w:t>
      </w:r>
      <w:r w:rsidR="00D53D69" w:rsidRPr="0030267A">
        <w:rPr>
          <w:position w:val="-12"/>
        </w:rPr>
        <w:object w:dxaOrig="600" w:dyaOrig="360">
          <v:shape id="_x0000_i1029" type="#_x0000_t75" style="width:29.95pt;height:17.9pt" o:ole="">
            <v:imagedata r:id="rId26" o:title=""/>
          </v:shape>
          <o:OLEObject Type="Embed" ProgID="Equation.DSMT4" ShapeID="_x0000_i1029" DrawAspect="Content" ObjectID="_1410343602" r:id="rId32"/>
        </w:object>
      </w:r>
      <w:r w:rsidR="00D53D69" w:rsidRPr="0030267A">
        <w:t>–</w:t>
      </w:r>
      <w:r w:rsidR="00D53D69" w:rsidRPr="0030267A">
        <w:rPr>
          <w:position w:val="-10"/>
        </w:rPr>
        <w:object w:dxaOrig="480" w:dyaOrig="320">
          <v:shape id="_x0000_i1030" type="#_x0000_t75" style="width:24.15pt;height:16.1pt" o:ole="">
            <v:imagedata r:id="rId22" o:title=""/>
          </v:shape>
          <o:OLEObject Type="Embed" ProgID="Equation.DSMT4" ShapeID="_x0000_i1030" DrawAspect="Content" ObjectID="_1410343603" r:id="rId33"/>
        </w:object>
      </w:r>
      <w:r>
        <w:t xml:space="preserve">and can be tested empirically by </w:t>
      </w:r>
      <w:r w:rsidR="00D53D69" w:rsidRPr="0030267A">
        <w:t>{</w:t>
      </w:r>
      <w:r w:rsidR="00D53D69" w:rsidRPr="0030267A">
        <w:rPr>
          <w:position w:val="-14"/>
        </w:rPr>
        <w:object w:dxaOrig="2220" w:dyaOrig="380">
          <v:shape id="_x0000_i1031" type="#_x0000_t75" style="width:110.9pt;height:18.8pt" o:ole="">
            <v:imagedata r:id="rId34" o:title=""/>
          </v:shape>
          <o:OLEObject Type="Embed" ProgID="Equation.DSMT4" ShapeID="_x0000_i1031" DrawAspect="Content" ObjectID="_1410343604" r:id="rId35"/>
        </w:object>
      </w:r>
      <w:r w:rsidR="00D53D69" w:rsidRPr="0030267A">
        <w:t>}</w:t>
      </w:r>
      <w:r>
        <w:t xml:space="preserve"> in CAPM framework.</w:t>
      </w:r>
    </w:p>
    <w:p w:rsidR="005A2B35" w:rsidRPr="005A2B35" w:rsidRDefault="005A2B35" w:rsidP="005A2B35">
      <w:pPr>
        <w:tabs>
          <w:tab w:val="left" w:pos="426"/>
        </w:tabs>
        <w:spacing w:line="360" w:lineRule="auto"/>
        <w:ind w:left="425" w:hangingChars="177" w:hanging="425"/>
        <w:rPr>
          <w:rFonts w:ascii="Times New Roman" w:hAnsi="Times New Roman" w:cs="Times New Roman"/>
        </w:rPr>
      </w:pPr>
    </w:p>
    <w:sectPr w:rsidR="005A2B35" w:rsidRPr="005A2B35" w:rsidSect="00705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D98" w:rsidRDefault="00362D98" w:rsidP="008F2631">
      <w:r>
        <w:separator/>
      </w:r>
    </w:p>
  </w:endnote>
  <w:endnote w:type="continuationSeparator" w:id="1">
    <w:p w:rsidR="00362D98" w:rsidRDefault="00362D98" w:rsidP="008F2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D98" w:rsidRDefault="00362D98" w:rsidP="008F2631">
      <w:r>
        <w:separator/>
      </w:r>
    </w:p>
  </w:footnote>
  <w:footnote w:type="continuationSeparator" w:id="1">
    <w:p w:rsidR="00362D98" w:rsidRDefault="00362D98" w:rsidP="008F2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1275F"/>
    <w:multiLevelType w:val="hybridMultilevel"/>
    <w:tmpl w:val="4FF82B34"/>
    <w:lvl w:ilvl="0" w:tplc="5218EA3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54"/>
    <w:rsid w:val="000E06CE"/>
    <w:rsid w:val="003115F9"/>
    <w:rsid w:val="00362D98"/>
    <w:rsid w:val="00446271"/>
    <w:rsid w:val="00494517"/>
    <w:rsid w:val="005A2B35"/>
    <w:rsid w:val="005D6592"/>
    <w:rsid w:val="007053F7"/>
    <w:rsid w:val="007332C4"/>
    <w:rsid w:val="007F7815"/>
    <w:rsid w:val="0088556B"/>
    <w:rsid w:val="008F2631"/>
    <w:rsid w:val="00B87D54"/>
    <w:rsid w:val="00C34D3C"/>
    <w:rsid w:val="00C45D8B"/>
    <w:rsid w:val="00D07874"/>
    <w:rsid w:val="00D53D69"/>
    <w:rsid w:val="00E343F2"/>
    <w:rsid w:val="00E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54"/>
    <w:pPr>
      <w:widowControl w:val="0"/>
    </w:pPr>
    <w:rPr>
      <w:rFonts w:ascii="timesnewromanpsmt" w:hAnsi="timesnewromanpsmt" w:cs="timesnewromanpsmt"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8F2631"/>
    <w:rPr>
      <w:rFonts w:ascii="timesnewromanpsmt" w:hAnsi="timesnewromanpsmt" w:cs="timesnewromanpsmt"/>
      <w:snapToGrid w:val="0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8F2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8F2631"/>
    <w:rPr>
      <w:rFonts w:ascii="timesnewromanpsmt" w:hAnsi="timesnewromanpsmt" w:cs="timesnewromanpsmt"/>
      <w:snapToGrid w:val="0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3115F9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3115F9"/>
    <w:rPr>
      <w:rFonts w:asciiTheme="majorHAnsi" w:eastAsiaTheme="majorEastAsia" w:hAnsiTheme="majorHAnsi" w:cstheme="majorBidi"/>
      <w:snapToGrid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Tzu Tai</cp:lastModifiedBy>
  <cp:revision>5</cp:revision>
  <dcterms:created xsi:type="dcterms:W3CDTF">2012-09-28T17:02:00Z</dcterms:created>
  <dcterms:modified xsi:type="dcterms:W3CDTF">2012-09-28T17:20:00Z</dcterms:modified>
</cp:coreProperties>
</file>