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16" w:rsidRPr="00004177" w:rsidRDefault="00296516" w:rsidP="00296516">
      <w:pPr>
        <w:pStyle w:val="Heading1"/>
        <w:jc w:val="center"/>
        <w:rPr>
          <w:sz w:val="28"/>
        </w:rPr>
      </w:pPr>
      <w:bookmarkStart w:id="0" w:name="_GoBack"/>
      <w:bookmarkEnd w:id="0"/>
      <w:r w:rsidRPr="00004177">
        <w:rPr>
          <w:sz w:val="28"/>
        </w:rPr>
        <w:t>Supplement Chapter 4</w:t>
      </w:r>
    </w:p>
    <w:p w:rsidR="00296516" w:rsidRDefault="00296516" w:rsidP="00296516">
      <w:pPr>
        <w:pStyle w:val="Heading1"/>
        <w:jc w:val="center"/>
        <w:rPr>
          <w:sz w:val="28"/>
        </w:rPr>
      </w:pPr>
      <w:r w:rsidRPr="00004177">
        <w:rPr>
          <w:sz w:val="28"/>
        </w:rPr>
        <w:t>Implied Variance</w:t>
      </w:r>
      <w:r w:rsidR="007F0B5A">
        <w:rPr>
          <w:sz w:val="28"/>
        </w:rPr>
        <w:t xml:space="preserve">, </w:t>
      </w:r>
      <w:r w:rsidRPr="00004177">
        <w:rPr>
          <w:sz w:val="28"/>
        </w:rPr>
        <w:t>Volatility Smile</w:t>
      </w:r>
      <w:r w:rsidR="007F0B5A">
        <w:rPr>
          <w:sz w:val="28"/>
        </w:rPr>
        <w:t>, and CEV Option Pricing Model</w:t>
      </w:r>
    </w:p>
    <w:p w:rsidR="001E64CE" w:rsidRDefault="001E64CE" w:rsidP="001E64CE"/>
    <w:p w:rsidR="001E64CE" w:rsidRDefault="001E64CE" w:rsidP="001E64CE">
      <w:pPr>
        <w:pStyle w:val="ListParagraph"/>
        <w:numPr>
          <w:ilvl w:val="0"/>
          <w:numId w:val="1"/>
        </w:numPr>
        <w:rPr>
          <w:b/>
        </w:rPr>
      </w:pPr>
      <w:r>
        <w:rPr>
          <w:b/>
        </w:rPr>
        <w:t>Introduction</w:t>
      </w:r>
    </w:p>
    <w:p w:rsidR="001E64CE" w:rsidRDefault="001E64CE" w:rsidP="001E64CE">
      <w:pPr>
        <w:pStyle w:val="ListParagraph"/>
        <w:numPr>
          <w:ilvl w:val="0"/>
          <w:numId w:val="1"/>
        </w:numPr>
        <w:rPr>
          <w:b/>
        </w:rPr>
      </w:pPr>
      <w:r>
        <w:rPr>
          <w:b/>
        </w:rPr>
        <w:t>An Exact Closed-form Solution for the Implied Standard Deviation: A Special Case</w:t>
      </w:r>
    </w:p>
    <w:p w:rsidR="001E64CE" w:rsidRDefault="001E64CE" w:rsidP="001E64CE">
      <w:pPr>
        <w:pStyle w:val="ListParagraph"/>
        <w:numPr>
          <w:ilvl w:val="0"/>
          <w:numId w:val="1"/>
        </w:numPr>
        <w:outlineLvl w:val="0"/>
        <w:rPr>
          <w:b/>
          <w:bCs/>
        </w:rPr>
      </w:pPr>
      <w:r w:rsidRPr="001E64CE">
        <w:rPr>
          <w:b/>
          <w:bCs/>
        </w:rPr>
        <w:t xml:space="preserve">An Implied Standard Deviation Formula under a Single Call Option </w:t>
      </w:r>
    </w:p>
    <w:p w:rsidR="001E64CE" w:rsidRDefault="001E64CE" w:rsidP="001E64CE">
      <w:pPr>
        <w:pStyle w:val="ListParagraph"/>
        <w:numPr>
          <w:ilvl w:val="0"/>
          <w:numId w:val="1"/>
        </w:numPr>
        <w:outlineLvl w:val="0"/>
        <w:rPr>
          <w:b/>
          <w:bCs/>
        </w:rPr>
      </w:pPr>
      <w:r>
        <w:rPr>
          <w:b/>
          <w:bCs/>
        </w:rPr>
        <w:t>Formulas for Implied Standard Deviation under Different Exercise Prices</w:t>
      </w:r>
    </w:p>
    <w:p w:rsidR="001E64CE" w:rsidRPr="003B0F72" w:rsidRDefault="001E64CE" w:rsidP="001E64CE">
      <w:pPr>
        <w:pStyle w:val="ListParagraph"/>
        <w:numPr>
          <w:ilvl w:val="0"/>
          <w:numId w:val="1"/>
        </w:numPr>
        <w:outlineLvl w:val="0"/>
        <w:rPr>
          <w:b/>
          <w:bCs/>
        </w:rPr>
      </w:pPr>
      <w:r w:rsidRPr="005F424A">
        <w:rPr>
          <w:b/>
        </w:rPr>
        <w:t>Volatility Smile</w:t>
      </w:r>
    </w:p>
    <w:p w:rsidR="003B0F72" w:rsidRPr="001E64CE" w:rsidRDefault="003B0F72" w:rsidP="003B0F72">
      <w:pPr>
        <w:pStyle w:val="ListParagraph"/>
        <w:ind w:left="360"/>
        <w:outlineLvl w:val="0"/>
        <w:rPr>
          <w:b/>
          <w:bCs/>
        </w:rPr>
      </w:pPr>
      <w:r>
        <w:rPr>
          <w:b/>
          <w:bCs/>
        </w:rPr>
        <w:t>5.1 Foreign Currency Options</w:t>
      </w:r>
    </w:p>
    <w:p w:rsidR="001E64CE" w:rsidRPr="001E64CE" w:rsidRDefault="001E64CE" w:rsidP="001E64CE">
      <w:pPr>
        <w:pStyle w:val="ListParagraph"/>
        <w:numPr>
          <w:ilvl w:val="1"/>
          <w:numId w:val="1"/>
        </w:numPr>
        <w:outlineLvl w:val="0"/>
        <w:rPr>
          <w:b/>
          <w:bCs/>
        </w:rPr>
      </w:pPr>
      <w:r w:rsidRPr="001E64CE">
        <w:rPr>
          <w:b/>
          <w:bCs/>
        </w:rPr>
        <w:t>Equity Options</w:t>
      </w:r>
    </w:p>
    <w:p w:rsidR="001E64CE" w:rsidRPr="001E64CE" w:rsidRDefault="001E64CE" w:rsidP="001E64CE">
      <w:pPr>
        <w:pStyle w:val="ListParagraph"/>
        <w:numPr>
          <w:ilvl w:val="1"/>
          <w:numId w:val="1"/>
        </w:numPr>
        <w:outlineLvl w:val="0"/>
        <w:rPr>
          <w:b/>
          <w:bCs/>
        </w:rPr>
      </w:pPr>
      <w:r>
        <w:rPr>
          <w:rFonts w:eastAsiaTheme="minorEastAsia"/>
          <w:b/>
        </w:rPr>
        <w:t>The Volatility Term Structure and Volatility Surfaces</w:t>
      </w:r>
    </w:p>
    <w:p w:rsidR="001E64CE" w:rsidRDefault="001E64CE" w:rsidP="001E64CE">
      <w:pPr>
        <w:ind w:left="360"/>
        <w:contextualSpacing/>
        <w:rPr>
          <w:rFonts w:eastAsiaTheme="minorEastAsia"/>
          <w:b/>
        </w:rPr>
      </w:pPr>
      <w:r w:rsidRPr="001E64CE">
        <w:rPr>
          <w:rFonts w:eastAsiaTheme="minorEastAsia"/>
          <w:b/>
        </w:rPr>
        <w:t xml:space="preserve">5.4 When a Single Large Jump is </w:t>
      </w:r>
      <w:r w:rsidR="004569D6" w:rsidRPr="001E64CE">
        <w:rPr>
          <w:rFonts w:eastAsiaTheme="minorEastAsia"/>
          <w:b/>
        </w:rPr>
        <w:t>anticipated</w:t>
      </w:r>
    </w:p>
    <w:p w:rsidR="00B55E59" w:rsidRDefault="00B55E59" w:rsidP="001E64CE">
      <w:pPr>
        <w:ind w:left="360"/>
        <w:contextualSpacing/>
        <w:rPr>
          <w:rFonts w:eastAsiaTheme="minorEastAsia"/>
          <w:b/>
        </w:rPr>
      </w:pPr>
      <w:r>
        <w:rPr>
          <w:rFonts w:eastAsiaTheme="minorEastAsia"/>
          <w:b/>
        </w:rPr>
        <w:t xml:space="preserve">6. </w:t>
      </w:r>
      <w:r w:rsidR="009E015E">
        <w:rPr>
          <w:rFonts w:eastAsiaTheme="minorEastAsia"/>
          <w:b/>
        </w:rPr>
        <w:t>MATLAB Approach for Calculating Implied Variance</w:t>
      </w:r>
    </w:p>
    <w:p w:rsidR="001E64CE" w:rsidRPr="001E64CE" w:rsidRDefault="00B55E59" w:rsidP="001E64CE">
      <w:pPr>
        <w:ind w:left="360"/>
        <w:contextualSpacing/>
        <w:rPr>
          <w:rFonts w:eastAsiaTheme="minorEastAsia"/>
          <w:b/>
        </w:rPr>
      </w:pPr>
      <w:r>
        <w:rPr>
          <w:rFonts w:eastAsiaTheme="minorEastAsia"/>
          <w:b/>
        </w:rPr>
        <w:t>7.</w:t>
      </w:r>
      <w:r w:rsidR="001E64CE">
        <w:rPr>
          <w:rFonts w:eastAsiaTheme="minorEastAsia"/>
          <w:b/>
        </w:rPr>
        <w:t xml:space="preserve"> Summary</w:t>
      </w:r>
    </w:p>
    <w:p w:rsidR="001E64CE" w:rsidRPr="005107B1" w:rsidRDefault="005107B1" w:rsidP="005107B1">
      <w:pPr>
        <w:ind w:left="360"/>
        <w:contextualSpacing/>
        <w:rPr>
          <w:b/>
          <w:bCs/>
        </w:rPr>
      </w:pPr>
      <w:r w:rsidRPr="005107B1">
        <w:rPr>
          <w:b/>
          <w:bCs/>
        </w:rPr>
        <w:t>Appendix 4A: Corrado and Miller’s Approach to Estimate Implied Standard Deviation</w:t>
      </w:r>
      <w:r>
        <w:rPr>
          <w:b/>
          <w:bCs/>
        </w:rPr>
        <w:t xml:space="preserve">  </w:t>
      </w:r>
      <w:r w:rsidR="001E64CE" w:rsidRPr="001E64CE">
        <w:rPr>
          <w:b/>
        </w:rPr>
        <w:t xml:space="preserve">Appendix </w:t>
      </w:r>
      <w:r w:rsidR="00003F93">
        <w:rPr>
          <w:b/>
        </w:rPr>
        <w:t>4</w:t>
      </w:r>
      <w:r w:rsidR="001E64CE" w:rsidRPr="001E64CE">
        <w:rPr>
          <w:b/>
        </w:rPr>
        <w:t>B</w:t>
      </w:r>
      <w:r w:rsidR="001E64CE">
        <w:rPr>
          <w:b/>
        </w:rPr>
        <w:t>:</w:t>
      </w:r>
      <w:r w:rsidR="001E64CE" w:rsidRPr="001E64CE">
        <w:rPr>
          <w:b/>
        </w:rPr>
        <w:t xml:space="preserve">  MATLAB approach to estimate implied variance</w:t>
      </w:r>
    </w:p>
    <w:p w:rsidR="005107B1" w:rsidRDefault="005107B1" w:rsidP="005107B1">
      <w:pPr>
        <w:pStyle w:val="EndnoteText"/>
        <w:ind w:firstLine="360"/>
        <w:contextualSpacing/>
        <w:rPr>
          <w:b/>
          <w:bCs/>
          <w:color w:val="000000"/>
          <w:sz w:val="24"/>
          <w:szCs w:val="24"/>
        </w:rPr>
      </w:pPr>
      <w:r w:rsidRPr="001E64CE">
        <w:rPr>
          <w:b/>
          <w:sz w:val="24"/>
          <w:szCs w:val="24"/>
        </w:rPr>
        <w:t xml:space="preserve">Appendix </w:t>
      </w:r>
      <w:r>
        <w:rPr>
          <w:b/>
          <w:sz w:val="24"/>
          <w:szCs w:val="24"/>
        </w:rPr>
        <w:t>4C</w:t>
      </w:r>
      <w:r w:rsidRPr="001E64CE">
        <w:rPr>
          <w:b/>
          <w:sz w:val="24"/>
          <w:szCs w:val="24"/>
        </w:rPr>
        <w:t xml:space="preserve">: </w:t>
      </w:r>
      <w:r w:rsidRPr="001E64CE">
        <w:rPr>
          <w:b/>
          <w:bCs/>
          <w:color w:val="000000"/>
          <w:sz w:val="24"/>
          <w:szCs w:val="24"/>
        </w:rPr>
        <w:t>Noncentral χ</w:t>
      </w:r>
      <w:r w:rsidRPr="001E64CE">
        <w:rPr>
          <w:b/>
          <w:bCs/>
          <w:color w:val="000000"/>
          <w:sz w:val="24"/>
          <w:szCs w:val="24"/>
          <w:vertAlign w:val="superscript"/>
        </w:rPr>
        <w:t>2</w:t>
      </w:r>
      <w:r w:rsidRPr="001E64CE">
        <w:rPr>
          <w:b/>
          <w:bCs/>
          <w:color w:val="000000"/>
          <w:sz w:val="24"/>
          <w:szCs w:val="24"/>
        </w:rPr>
        <w:t xml:space="preserve"> and the Option Pricing Model</w:t>
      </w:r>
    </w:p>
    <w:p w:rsidR="005107B1" w:rsidRPr="001E64CE" w:rsidRDefault="005107B1" w:rsidP="001E64CE">
      <w:pPr>
        <w:pStyle w:val="EndnoteText"/>
        <w:spacing w:line="360" w:lineRule="auto"/>
        <w:ind w:firstLine="360"/>
        <w:contextualSpacing/>
        <w:rPr>
          <w:b/>
          <w:sz w:val="24"/>
          <w:szCs w:val="24"/>
        </w:rPr>
      </w:pPr>
    </w:p>
    <w:p w:rsidR="001E64CE" w:rsidRPr="001E64CE" w:rsidRDefault="001E64CE" w:rsidP="001E64CE">
      <w:pPr>
        <w:pStyle w:val="EndnoteText"/>
        <w:spacing w:line="360" w:lineRule="auto"/>
        <w:rPr>
          <w:b/>
          <w:sz w:val="24"/>
          <w:szCs w:val="24"/>
        </w:rPr>
      </w:pPr>
    </w:p>
    <w:p w:rsidR="001E64CE" w:rsidRPr="001E64CE" w:rsidRDefault="001E64CE" w:rsidP="001E64CE">
      <w:pPr>
        <w:pStyle w:val="EndnoteText"/>
        <w:ind w:firstLine="360"/>
        <w:rPr>
          <w:b/>
          <w:sz w:val="24"/>
          <w:szCs w:val="24"/>
        </w:rPr>
      </w:pPr>
    </w:p>
    <w:p w:rsidR="001E64CE" w:rsidRPr="005F424A" w:rsidRDefault="001E64CE" w:rsidP="001E64CE">
      <w:pPr>
        <w:outlineLvl w:val="0"/>
        <w:rPr>
          <w:b/>
          <w:bCs/>
        </w:rPr>
      </w:pPr>
    </w:p>
    <w:p w:rsidR="00810743" w:rsidRPr="001E64CE" w:rsidRDefault="00810743" w:rsidP="001E64CE">
      <w:pPr>
        <w:pStyle w:val="ListParagraph"/>
        <w:numPr>
          <w:ilvl w:val="0"/>
          <w:numId w:val="8"/>
        </w:numPr>
        <w:spacing w:line="360" w:lineRule="auto"/>
        <w:rPr>
          <w:b/>
        </w:rPr>
      </w:pPr>
      <w:r w:rsidRPr="001E64CE">
        <w:rPr>
          <w:b/>
        </w:rPr>
        <w:t xml:space="preserve">Introduction </w:t>
      </w:r>
    </w:p>
    <w:p w:rsidR="00810743" w:rsidRDefault="00810743" w:rsidP="00810743">
      <w:pPr>
        <w:pStyle w:val="ListParagraph"/>
        <w:spacing w:line="360" w:lineRule="auto"/>
        <w:ind w:left="0"/>
      </w:pPr>
      <w:r w:rsidRPr="003F4582">
        <w:t>Implied variance is very important information in financial derivative. For example, the VIX, which is traded in future exchange, is implied variance of S&amp;P 500 index option. There are two approaches to estimate impl</w:t>
      </w:r>
      <w:r w:rsidR="00820830">
        <w:t>ied variance, the non-closed-for</w:t>
      </w:r>
      <w:r w:rsidRPr="003F4582">
        <w:t>m solution method, which needs to rely upon complicated computer program to so</w:t>
      </w:r>
      <w:r w:rsidR="00E82699">
        <w:t xml:space="preserve">lve it, and the linearized approximation method. </w:t>
      </w:r>
    </w:p>
    <w:p w:rsidR="00810743" w:rsidRPr="003F4582" w:rsidRDefault="00810743" w:rsidP="00810743">
      <w:pPr>
        <w:pStyle w:val="ListParagraph"/>
        <w:spacing w:line="360" w:lineRule="auto"/>
        <w:ind w:left="0"/>
      </w:pPr>
    </w:p>
    <w:p w:rsidR="00C15829" w:rsidRPr="005F424A" w:rsidRDefault="00810743" w:rsidP="00820830">
      <w:pPr>
        <w:pStyle w:val="EndnoteText"/>
        <w:spacing w:line="360" w:lineRule="auto"/>
        <w:rPr>
          <w:b/>
          <w:sz w:val="24"/>
        </w:rPr>
      </w:pPr>
      <w:r w:rsidRPr="005F424A">
        <w:rPr>
          <w:sz w:val="24"/>
          <w:szCs w:val="24"/>
        </w:rPr>
        <w:t xml:space="preserve">In section 2, we will discuss an Exact Closed-form Solution for </w:t>
      </w:r>
      <w:r w:rsidR="001E0BFD">
        <w:rPr>
          <w:sz w:val="24"/>
          <w:szCs w:val="24"/>
        </w:rPr>
        <w:t xml:space="preserve">the Implied Standard Deviation, which use Tailor Expansion Method to linearize option pricing model. </w:t>
      </w:r>
      <w:r w:rsidRPr="005F424A">
        <w:rPr>
          <w:sz w:val="24"/>
          <w:szCs w:val="24"/>
        </w:rPr>
        <w:t xml:space="preserve">In section 3, we will discuss </w:t>
      </w:r>
      <w:r w:rsidR="00BF2279">
        <w:rPr>
          <w:sz w:val="24"/>
          <w:szCs w:val="24"/>
        </w:rPr>
        <w:t xml:space="preserve">the Implied Standard Deviation formula under a single call option. Excel programs are also presented in this section for calculating implied standard deviation. </w:t>
      </w:r>
      <w:r w:rsidRPr="005F424A">
        <w:rPr>
          <w:sz w:val="24"/>
          <w:szCs w:val="24"/>
        </w:rPr>
        <w:t xml:space="preserve"> In section 4, we will discuss </w:t>
      </w:r>
      <w:r w:rsidRPr="005F424A">
        <w:rPr>
          <w:bCs/>
          <w:sz w:val="24"/>
          <w:szCs w:val="24"/>
        </w:rPr>
        <w:t xml:space="preserve">formulas for Implied Standard Deviation under Different Exercise Prices. In section 5, we will discuss the volatility smile. In section 6, we will </w:t>
      </w:r>
      <w:r w:rsidR="00CC7FE1">
        <w:rPr>
          <w:bCs/>
          <w:sz w:val="24"/>
          <w:szCs w:val="24"/>
        </w:rPr>
        <w:t xml:space="preserve">briefly </w:t>
      </w:r>
      <w:r w:rsidRPr="005F424A">
        <w:rPr>
          <w:bCs/>
          <w:sz w:val="24"/>
          <w:szCs w:val="24"/>
        </w:rPr>
        <w:t xml:space="preserve">discuss how </w:t>
      </w:r>
      <w:r w:rsidR="00CC7FE1">
        <w:rPr>
          <w:bCs/>
          <w:sz w:val="24"/>
          <w:szCs w:val="24"/>
        </w:rPr>
        <w:t xml:space="preserve">MATLAB program can be used </w:t>
      </w:r>
      <w:r w:rsidRPr="005F424A">
        <w:rPr>
          <w:bCs/>
          <w:sz w:val="24"/>
          <w:szCs w:val="24"/>
        </w:rPr>
        <w:t>to calculate implied variance for</w:t>
      </w:r>
      <w:r w:rsidR="00CC7FE1">
        <w:rPr>
          <w:bCs/>
          <w:sz w:val="24"/>
          <w:szCs w:val="24"/>
        </w:rPr>
        <w:t xml:space="preserve"> both the Black Scholes model and</w:t>
      </w:r>
      <w:r w:rsidRPr="005F424A">
        <w:rPr>
          <w:bCs/>
          <w:sz w:val="24"/>
          <w:szCs w:val="24"/>
        </w:rPr>
        <w:t xml:space="preserve"> constant elasticity volatility (CEV) of option pricing model. Finally, in section 7, we summarize the results of this Chapter. </w:t>
      </w:r>
      <w:r w:rsidR="00820830">
        <w:rPr>
          <w:bCs/>
          <w:sz w:val="24"/>
          <w:szCs w:val="24"/>
        </w:rPr>
        <w:t xml:space="preserve">In </w:t>
      </w:r>
      <w:r w:rsidR="00C15829" w:rsidRPr="005F424A">
        <w:rPr>
          <w:bCs/>
          <w:sz w:val="24"/>
          <w:szCs w:val="24"/>
        </w:rPr>
        <w:t xml:space="preserve">Appendix A </w:t>
      </w:r>
      <w:r w:rsidR="00820830">
        <w:rPr>
          <w:bCs/>
          <w:sz w:val="24"/>
          <w:szCs w:val="24"/>
        </w:rPr>
        <w:t xml:space="preserve">we will discuss Corrado and Miller’s linearized method. </w:t>
      </w:r>
      <w:r w:rsidR="00820830">
        <w:rPr>
          <w:bCs/>
          <w:color w:val="000000"/>
          <w:sz w:val="24"/>
          <w:szCs w:val="24"/>
        </w:rPr>
        <w:lastRenderedPageBreak/>
        <w:t xml:space="preserve">Appendix B discusses the </w:t>
      </w:r>
      <w:r w:rsidR="00820830" w:rsidRPr="005F424A">
        <w:rPr>
          <w:sz w:val="24"/>
        </w:rPr>
        <w:t>MATLAB approach to estimate implied variance</w:t>
      </w:r>
      <w:r w:rsidR="00820830">
        <w:rPr>
          <w:sz w:val="24"/>
        </w:rPr>
        <w:t xml:space="preserve">. </w:t>
      </w:r>
      <w:r w:rsidR="00820830">
        <w:rPr>
          <w:bCs/>
          <w:sz w:val="24"/>
          <w:szCs w:val="24"/>
        </w:rPr>
        <w:t xml:space="preserve">Appendix C </w:t>
      </w:r>
      <w:r w:rsidR="00C15829" w:rsidRPr="005F424A">
        <w:rPr>
          <w:bCs/>
          <w:sz w:val="24"/>
          <w:szCs w:val="24"/>
        </w:rPr>
        <w:t>discusses</w:t>
      </w:r>
      <w:r w:rsidR="00C15829" w:rsidRPr="005F424A">
        <w:rPr>
          <w:bCs/>
          <w:color w:val="000000"/>
          <w:sz w:val="24"/>
          <w:szCs w:val="24"/>
        </w:rPr>
        <w:t xml:space="preserve"> Noncentral χ</w:t>
      </w:r>
      <w:r w:rsidR="00C15829" w:rsidRPr="005F424A">
        <w:rPr>
          <w:bCs/>
          <w:color w:val="000000"/>
          <w:sz w:val="24"/>
          <w:szCs w:val="24"/>
          <w:vertAlign w:val="superscript"/>
        </w:rPr>
        <w:t>2</w:t>
      </w:r>
      <w:r w:rsidR="00C15829" w:rsidRPr="005F424A">
        <w:rPr>
          <w:bCs/>
          <w:color w:val="000000"/>
          <w:sz w:val="24"/>
          <w:szCs w:val="24"/>
        </w:rPr>
        <w:t xml:space="preserve"> and the Option Pricing Model</w:t>
      </w:r>
      <w:r w:rsidR="00C15829">
        <w:rPr>
          <w:bCs/>
          <w:color w:val="000000"/>
          <w:sz w:val="24"/>
          <w:szCs w:val="24"/>
        </w:rPr>
        <w:t xml:space="preserve"> and </w:t>
      </w:r>
    </w:p>
    <w:p w:rsidR="00810743" w:rsidRPr="003F4582" w:rsidRDefault="00810743" w:rsidP="00810743">
      <w:pPr>
        <w:pStyle w:val="ListParagraph"/>
        <w:spacing w:line="360" w:lineRule="auto"/>
        <w:ind w:left="0"/>
      </w:pPr>
    </w:p>
    <w:p w:rsidR="00296516" w:rsidRPr="00296516" w:rsidRDefault="00296516" w:rsidP="00296516">
      <w:pPr>
        <w:pStyle w:val="ListParagraph"/>
        <w:rPr>
          <w:b/>
        </w:rPr>
      </w:pPr>
    </w:p>
    <w:p w:rsidR="00684F0A" w:rsidRDefault="003D2657" w:rsidP="00684F0A">
      <w:pPr>
        <w:pStyle w:val="Heading1"/>
      </w:pPr>
      <w:r>
        <w:t xml:space="preserve">2. </w:t>
      </w:r>
      <w:r w:rsidR="00684F0A">
        <w:t xml:space="preserve"> An Exact Closed-form Solution for the Implied Standard Deviation: A Special Case </w:t>
      </w:r>
    </w:p>
    <w:p w:rsidR="003D2657" w:rsidRPr="003D2657" w:rsidRDefault="003D2657" w:rsidP="003D2657">
      <w:r>
        <w:t xml:space="preserve">2.1 Overview </w:t>
      </w:r>
    </w:p>
    <w:p w:rsidR="003D2657" w:rsidRDefault="003D2657" w:rsidP="00296516">
      <w:pPr>
        <w:ind w:firstLine="240"/>
        <w:jc w:val="both"/>
      </w:pPr>
    </w:p>
    <w:p w:rsidR="00296516" w:rsidRDefault="00296516" w:rsidP="00004177">
      <w:pPr>
        <w:jc w:val="both"/>
      </w:pPr>
      <w:r>
        <w:t xml:space="preserve">Black and Scholes’ call option formula can be defined as </w:t>
      </w:r>
    </w:p>
    <w:p w:rsidR="00296516" w:rsidRDefault="005E1205" w:rsidP="00296516">
      <w:pPr>
        <w:ind w:left="2160" w:firstLine="720"/>
        <w:jc w:val="both"/>
        <w:rPr>
          <w:b/>
          <w:bCs/>
        </w:rPr>
      </w:pPr>
      <w:r w:rsidRPr="005E1205">
        <w:rPr>
          <w:position w:val="-12"/>
        </w:rPr>
        <w:object w:dxaOrig="29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1.75pt" o:ole="" filled="t">
            <v:fill color2="black"/>
            <v:imagedata r:id="rId9" o:title=""/>
          </v:shape>
          <o:OLEObject Type="Embed" ProgID="Equation.DSMT4" ShapeID="_x0000_i1025" DrawAspect="Content" ObjectID="_1520259961" r:id="rId10"/>
        </w:object>
      </w:r>
      <w:r w:rsidR="00296516">
        <w:t>,</w:t>
      </w:r>
      <w:r w:rsidR="00296516">
        <w:rPr>
          <w:b/>
          <w:bCs/>
        </w:rPr>
        <w:t xml:space="preserve">     </w:t>
      </w:r>
      <w:r w:rsidR="00AD7FFC">
        <w:rPr>
          <w:b/>
          <w:bCs/>
        </w:rPr>
        <w:t xml:space="preserve">                             </w:t>
      </w:r>
      <w:r w:rsidR="00AD7FFC" w:rsidRPr="00004177">
        <w:rPr>
          <w:bCs/>
        </w:rPr>
        <w:t>(4.1)</w:t>
      </w:r>
    </w:p>
    <w:p w:rsidR="00296516" w:rsidRDefault="00296516" w:rsidP="00296516">
      <w:pPr>
        <w:jc w:val="both"/>
      </w:pPr>
    </w:p>
    <w:p w:rsidR="00296516" w:rsidRDefault="00296516" w:rsidP="00296516">
      <w:pPr>
        <w:autoSpaceDE w:val="0"/>
        <w:jc w:val="both"/>
      </w:pPr>
      <w:r>
        <w:t xml:space="preserve">where </w:t>
      </w:r>
      <w:r w:rsidR="005E1205">
        <w:t>C</w:t>
      </w:r>
      <w:r>
        <w:t xml:space="preserve"> = value of option; </w:t>
      </w:r>
      <w:r w:rsidR="005E1205">
        <w:rPr>
          <w:i/>
          <w:iCs/>
        </w:rPr>
        <w:t>S</w:t>
      </w:r>
      <w:r>
        <w:rPr>
          <w:i/>
          <w:iCs/>
        </w:rPr>
        <w:t xml:space="preserve"> </w:t>
      </w:r>
      <w:r>
        <w:t xml:space="preserve">= current price of stock; </w:t>
      </w:r>
      <w:r>
        <w:rPr>
          <w:i/>
          <w:iCs/>
        </w:rPr>
        <w:t xml:space="preserve">r </w:t>
      </w:r>
      <w:r>
        <w:t xml:space="preserve">= continuously compounded annual risk-free interest rate; </w:t>
      </w:r>
      <w:r w:rsidR="00AD7FFC">
        <w:rPr>
          <w:i/>
          <w:iCs/>
        </w:rPr>
        <w:t xml:space="preserve">T </w:t>
      </w:r>
      <w:r>
        <w:t xml:space="preserve">= time in years to expiration date; </w:t>
      </w:r>
      <w:r>
        <w:rPr>
          <w:i/>
        </w:rPr>
        <w:t>E</w:t>
      </w:r>
      <w:r>
        <w:t xml:space="preserve"> = exercise price; </w:t>
      </w:r>
      <w:r>
        <w:rPr>
          <w:i/>
          <w:iCs/>
        </w:rPr>
        <w:t xml:space="preserve">e </w:t>
      </w:r>
      <w:r>
        <w:t xml:space="preserve">= 2.71828 is a constant; and </w:t>
      </w:r>
      <w:r>
        <w:rPr>
          <w:position w:val="-6"/>
        </w:rPr>
        <w:object w:dxaOrig="639" w:dyaOrig="360">
          <v:shape id="_x0000_i1026" type="#_x0000_t75" style="width:28.5pt;height:21.75pt" o:ole="" filled="t">
            <v:fill color2="black"/>
            <v:imagedata r:id="rId11" o:title=""/>
          </v:shape>
          <o:OLEObject Type="Embed" ProgID="Equation.DSMT4" ShapeID="_x0000_i1026" DrawAspect="Content" ObjectID="_1520259962" r:id="rId12"/>
        </w:object>
      </w:r>
      <w:r>
        <w:rPr>
          <w:i/>
          <w:iCs/>
        </w:rPr>
        <w:t xml:space="preserve"> </w:t>
      </w:r>
      <w:r>
        <w:t xml:space="preserve">= probability that a standard normal random variable is less than or equal to </w:t>
      </w:r>
      <w:r>
        <w:rPr>
          <w:position w:val="-6"/>
        </w:rPr>
        <w:object w:dxaOrig="1100" w:dyaOrig="360">
          <v:shape id="_x0000_i1027" type="#_x0000_t75" style="width:57.75pt;height:21.75pt" o:ole="" filled="t">
            <v:fill color2="black"/>
            <v:imagedata r:id="rId13" o:title=""/>
          </v:shape>
          <o:OLEObject Type="Embed" ProgID="Equation.DSMT4" ShapeID="_x0000_i1027" DrawAspect="Content" ObjectID="_1520259963" r:id="rId14"/>
        </w:object>
      </w:r>
      <w:r>
        <w:t>, with</w:t>
      </w:r>
    </w:p>
    <w:p w:rsidR="00296516" w:rsidRDefault="005E1205" w:rsidP="00296516">
      <w:pPr>
        <w:ind w:left="2880"/>
        <w:jc w:val="both"/>
        <w:rPr>
          <w:b/>
          <w:bCs/>
        </w:rPr>
      </w:pPr>
      <w:r w:rsidRPr="005E1205">
        <w:rPr>
          <w:position w:val="-28"/>
        </w:rPr>
        <w:object w:dxaOrig="2480" w:dyaOrig="1060">
          <v:shape id="_x0000_i1028" type="#_x0000_t75" style="width:122.25pt;height:50.25pt" o:ole="" filled="t">
            <v:fill color2="black"/>
            <v:imagedata r:id="rId15" o:title=""/>
          </v:shape>
          <o:OLEObject Type="Embed" ProgID="Equation.DSMT4" ShapeID="_x0000_i1028" DrawAspect="Content" ObjectID="_1520259964" r:id="rId16"/>
        </w:object>
      </w:r>
      <w:r w:rsidR="00296516">
        <w:t xml:space="preserve">,                               </w:t>
      </w:r>
      <w:r w:rsidR="00AD7FFC">
        <w:rPr>
          <w:b/>
          <w:bCs/>
        </w:rPr>
        <w:t xml:space="preserve">   </w:t>
      </w:r>
      <w:r w:rsidR="00AD7FFC" w:rsidRPr="00004177">
        <w:rPr>
          <w:bCs/>
        </w:rPr>
        <w:t>(4.2</w:t>
      </w:r>
      <w:r w:rsidR="006E6C3E" w:rsidRPr="00004177">
        <w:rPr>
          <w:bCs/>
        </w:rPr>
        <w:t>a</w:t>
      </w:r>
      <w:r w:rsidR="00AD7FFC" w:rsidRPr="00004177">
        <w:rPr>
          <w:bCs/>
        </w:rPr>
        <w:t>)</w:t>
      </w:r>
    </w:p>
    <w:p w:rsidR="00296516" w:rsidRDefault="00296516" w:rsidP="00296516">
      <w:pPr>
        <w:jc w:val="both"/>
      </w:pPr>
      <w:r>
        <w:t>and</w:t>
      </w:r>
    </w:p>
    <w:p w:rsidR="00296516" w:rsidRDefault="005E1205" w:rsidP="00296516">
      <w:pPr>
        <w:ind w:left="2160"/>
        <w:jc w:val="both"/>
        <w:rPr>
          <w:b/>
          <w:bCs/>
        </w:rPr>
      </w:pPr>
      <w:r w:rsidRPr="005E1205">
        <w:rPr>
          <w:position w:val="-28"/>
        </w:rPr>
        <w:object w:dxaOrig="3640" w:dyaOrig="1060">
          <v:shape id="_x0000_i1029" type="#_x0000_t75" style="width:180pt;height:50.25pt" o:ole="" filled="t">
            <v:fill color2="black"/>
            <v:imagedata r:id="rId17" o:title=""/>
          </v:shape>
          <o:OLEObject Type="Embed" ProgID="Equation.DSMT4" ShapeID="_x0000_i1029" DrawAspect="Content" ObjectID="_1520259965" r:id="rId18"/>
        </w:object>
      </w:r>
      <w:r w:rsidR="00296516">
        <w:t xml:space="preserve">,                          </w:t>
      </w:r>
      <w:r w:rsidR="00AD7FFC" w:rsidRPr="00004177">
        <w:rPr>
          <w:bCs/>
        </w:rPr>
        <w:t>(4.</w:t>
      </w:r>
      <w:r w:rsidR="006E6C3E" w:rsidRPr="00004177">
        <w:rPr>
          <w:bCs/>
        </w:rPr>
        <w:t>2b</w:t>
      </w:r>
      <w:r w:rsidR="00AD7FFC" w:rsidRPr="00004177">
        <w:rPr>
          <w:bCs/>
        </w:rPr>
        <w:t>)</w:t>
      </w:r>
    </w:p>
    <w:p w:rsidR="00296516" w:rsidRDefault="00296516" w:rsidP="00296516">
      <w:pPr>
        <w:jc w:val="both"/>
        <w:rPr>
          <w:iCs/>
        </w:rPr>
      </w:pPr>
      <w:r>
        <w:t xml:space="preserve">where </w:t>
      </w:r>
      <w:r>
        <w:rPr>
          <w:position w:val="-4"/>
        </w:rPr>
        <w:object w:dxaOrig="320" w:dyaOrig="320">
          <v:shape id="_x0000_i1030" type="#_x0000_t75" style="width:14.25pt;height:14.25pt" o:ole="" filled="t">
            <v:fill color2="black"/>
            <v:imagedata r:id="rId19" o:title=""/>
          </v:shape>
          <o:OLEObject Type="Embed" ProgID="Equation.DSMT4" ShapeID="_x0000_i1030" DrawAspect="Content" ObjectID="_1520259966" r:id="rId20"/>
        </w:object>
      </w:r>
      <w:r>
        <w:t xml:space="preserve"> = variance of annual rate of return on the stock, continuously compounded; and logarithms are to base </w:t>
      </w:r>
      <w:r>
        <w:rPr>
          <w:i/>
          <w:iCs/>
        </w:rPr>
        <w:t>e.</w:t>
      </w:r>
      <w:r>
        <w:rPr>
          <w:iCs/>
        </w:rPr>
        <w:t>.</w:t>
      </w:r>
    </w:p>
    <w:p w:rsidR="00296516" w:rsidRPr="00296516" w:rsidRDefault="00296516" w:rsidP="00296516"/>
    <w:p w:rsidR="00684F0A" w:rsidRDefault="00AD7FFC" w:rsidP="00684F0A">
      <w:r>
        <w:t>d</w:t>
      </w:r>
      <w:r>
        <w:rPr>
          <w:vertAlign w:val="subscript"/>
        </w:rPr>
        <w:t>1</w:t>
      </w:r>
      <w:r>
        <w:t xml:space="preserve"> as defined in (4.2</w:t>
      </w:r>
      <w:r w:rsidR="006E6C3E">
        <w:t>a</w:t>
      </w:r>
      <w:r>
        <w:t xml:space="preserve">) can be rewritten as </w:t>
      </w:r>
    </w:p>
    <w:p w:rsidR="00AD7FFC" w:rsidRPr="006E6C3E" w:rsidRDefault="00C56419" w:rsidP="00684F0A">
      <m:oMathPara>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f>
            <m:fPr>
              <m:ctrlPr>
                <w:rPr>
                  <w:rFonts w:ascii="Cambria Math" w:hAnsi="Cambria Math"/>
                  <w:i/>
                </w:rPr>
              </m:ctrlPr>
            </m:fPr>
            <m:num>
              <m:r>
                <m:rPr>
                  <m:sty m:val="p"/>
                </m:rPr>
                <w:rPr>
                  <w:rFonts w:ascii="Cambria Math" w:hAnsi="Cambria Math"/>
                </w:rPr>
                <m:t>ln⁡</m:t>
              </m:r>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E</m:t>
                  </m:r>
                </m:den>
              </m:f>
              <m:r>
                <w:rPr>
                  <w:rFonts w:ascii="Cambria Math" w:hAnsi="Cambria Math"/>
                </w:rPr>
                <m:t>)</m:t>
              </m:r>
            </m:num>
            <m:den>
              <m:r>
                <w:rPr>
                  <w:rFonts w:ascii="Cambria Math" w:hAnsi="Cambria Math"/>
                </w:rPr>
                <m:t>σ</m:t>
              </m:r>
              <m:rad>
                <m:radPr>
                  <m:degHide m:val="1"/>
                  <m:ctrlPr>
                    <w:rPr>
                      <w:rFonts w:ascii="Cambria Math" w:hAnsi="Cambria Math"/>
                      <w:i/>
                    </w:rPr>
                  </m:ctrlPr>
                </m:radPr>
                <m:deg/>
                <m:e>
                  <m:r>
                    <w:rPr>
                      <w:rFonts w:ascii="Cambria Math" w:hAnsi="Cambria Math"/>
                    </w:rPr>
                    <m:t>T</m:t>
                  </m:r>
                </m:e>
              </m:rad>
            </m:den>
          </m:f>
          <m:r>
            <w:rPr>
              <w:rFonts w:ascii="Cambria Math" w:hAnsi="Cambria Math"/>
            </w:rPr>
            <m: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ln</m:t>
                  </m:r>
                </m:fName>
                <m:e>
                  <m:d>
                    <m:dPr>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rT</m:t>
                          </m:r>
                        </m:sup>
                      </m:sSup>
                    </m:e>
                  </m:d>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T</m:t>
              </m:r>
            </m:num>
            <m:den>
              <m:r>
                <w:rPr>
                  <w:rFonts w:ascii="Cambria Math" w:hAnsi="Cambria Math"/>
                </w:rPr>
                <m:t>σ</m:t>
              </m:r>
              <m:rad>
                <m:radPr>
                  <m:degHide m:val="1"/>
                  <m:ctrlPr>
                    <w:rPr>
                      <w:rFonts w:ascii="Cambria Math" w:hAnsi="Cambria Math"/>
                      <w:i/>
                    </w:rPr>
                  </m:ctrlPr>
                </m:radPr>
                <m:deg/>
                <m:e>
                  <m:r>
                    <w:rPr>
                      <w:rFonts w:ascii="Cambria Math" w:hAnsi="Cambria Math"/>
                    </w:rPr>
                    <m:t>T</m:t>
                  </m:r>
                </m:e>
              </m:rad>
            </m:den>
          </m:f>
          <m:r>
            <w:rPr>
              <w:rFonts w:ascii="Cambria Math" w:hAnsi="Cambria Math"/>
            </w:rPr>
            <m:t>=</m:t>
          </m:r>
          <m:f>
            <m:fPr>
              <m:ctrlPr>
                <w:rPr>
                  <w:rFonts w:ascii="Cambria Math" w:hAnsi="Cambria Math"/>
                </w:rPr>
              </m:ctrlPr>
            </m:fPr>
            <m:num>
              <m:r>
                <m:rPr>
                  <m:sty m:val="p"/>
                </m:rPr>
                <w:rPr>
                  <w:rFonts w:ascii="Cambria Math" w:hAnsi="Cambria Math"/>
                </w:rPr>
                <m:t>ln⁡</m:t>
              </m:r>
              <m:r>
                <w:rPr>
                  <w:rFonts w:ascii="Cambria Math" w:hAnsi="Cambria Math"/>
                </w:rPr>
                <m:t>(</m:t>
              </m:r>
              <m:f>
                <m:fPr>
                  <m:ctrlPr>
                    <w:rPr>
                      <w:rFonts w:ascii="Cambria Math" w:hAnsi="Cambria Math"/>
                      <w:i/>
                    </w:rPr>
                  </m:ctrlPr>
                </m:fPr>
                <m:num>
                  <m:r>
                    <w:rPr>
                      <w:rFonts w:ascii="Cambria Math" w:hAnsi="Cambria Math"/>
                    </w:rPr>
                    <m:t>S</m:t>
                  </m:r>
                </m:num>
                <m:den>
                  <m:r>
                    <w:rPr>
                      <w:rFonts w:ascii="Cambria Math" w:hAnsi="Cambria Math"/>
                    </w:rPr>
                    <m:t>K</m:t>
                  </m:r>
                </m:den>
              </m:f>
              <m:r>
                <w:rPr>
                  <w:rFonts w:ascii="Cambria Math" w:hAnsi="Cambria Math"/>
                </w:rPr>
                <m:t>)</m:t>
              </m:r>
            </m:num>
            <m:den>
              <m:r>
                <w:rPr>
                  <w:rFonts w:ascii="Cambria Math" w:hAnsi="Cambria Math"/>
                </w:rPr>
                <m:t>σ</m:t>
              </m:r>
              <m:rad>
                <m:radPr>
                  <m:degHide m:val="1"/>
                  <m:ctrlPr>
                    <w:rPr>
                      <w:rFonts w:ascii="Cambria Math" w:hAnsi="Cambria Math"/>
                      <w:i/>
                    </w:rPr>
                  </m:ctrlPr>
                </m:radPr>
                <m:deg/>
                <m:e>
                  <m:r>
                    <w:rPr>
                      <w:rFonts w:ascii="Cambria Math" w:hAnsi="Cambria Math"/>
                    </w:rPr>
                    <m:t>T</m:t>
                  </m:r>
                </m:e>
              </m:rad>
            </m:den>
          </m:f>
          <m:r>
            <w:rPr>
              <w:rFonts w:ascii="Cambria Math" w:hAnsi="Cambria Math"/>
            </w:rPr>
            <m:t>+</m:t>
          </m:r>
          <m:f>
            <m:fPr>
              <m:ctrlPr>
                <w:rPr>
                  <w:rFonts w:ascii="Cambria Math" w:hAnsi="Cambria Math"/>
                  <w:i/>
                </w:rPr>
              </m:ctrlPr>
            </m:fPr>
            <m:num>
              <m:r>
                <w:rPr>
                  <w:rFonts w:ascii="Cambria Math" w:hAnsi="Cambria Math"/>
                </w:rPr>
                <m:t>σ</m:t>
              </m:r>
              <m:rad>
                <m:radPr>
                  <m:degHide m:val="1"/>
                  <m:ctrlPr>
                    <w:rPr>
                      <w:rFonts w:ascii="Cambria Math" w:hAnsi="Cambria Math"/>
                      <w:i/>
                    </w:rPr>
                  </m:ctrlPr>
                </m:radPr>
                <m:deg/>
                <m:e>
                  <m:r>
                    <w:rPr>
                      <w:rFonts w:ascii="Cambria Math" w:hAnsi="Cambria Math"/>
                    </w:rPr>
                    <m:t>T</m:t>
                  </m:r>
                </m:e>
              </m:rad>
            </m:num>
            <m:den>
              <m:r>
                <w:rPr>
                  <w:rFonts w:ascii="Cambria Math" w:hAnsi="Cambria Math"/>
                </w:rPr>
                <m:t>2</m:t>
              </m:r>
            </m:den>
          </m:f>
          <m:r>
            <w:rPr>
              <w:rFonts w:ascii="Cambria Math" w:hAnsi="Cambria Math"/>
            </w:rPr>
            <m:t xml:space="preserve">                       (4.3a)</m:t>
          </m:r>
        </m:oMath>
      </m:oMathPara>
    </w:p>
    <w:p w:rsidR="006E6C3E" w:rsidRPr="006E6C3E" w:rsidRDefault="006E6C3E" w:rsidP="00684F0A"/>
    <w:p w:rsidR="006E6C3E" w:rsidRDefault="006E6C3E" w:rsidP="00684F0A">
      <w:r>
        <w:t xml:space="preserve">Similarly </w:t>
      </w:r>
    </w:p>
    <w:p w:rsidR="006E6C3E" w:rsidRPr="006E6C3E" w:rsidRDefault="00C56419" w:rsidP="006E6C3E">
      <m:oMathPara>
        <m:oMath>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r>
            <w:rPr>
              <w:rFonts w:ascii="Cambria Math" w:hAnsi="Cambria Math"/>
              <w:i/>
              <w:position w:val="-12"/>
            </w:rPr>
            <w:object w:dxaOrig="980" w:dyaOrig="400">
              <v:shape id="_x0000_i1031" type="#_x0000_t75" style="width:50.25pt;height:21.75pt" o:ole="">
                <v:imagedata r:id="rId21" o:title=""/>
              </v:shape>
              <o:OLEObject Type="Embed" ProgID="Equation.DSMT4" ShapeID="_x0000_i1031" DrawAspect="Content" ObjectID="_1520259967" r:id="rId22"/>
            </w:object>
          </m:r>
          <m:r>
            <w:rPr>
              <w:rFonts w:ascii="Cambria Math" w:hAnsi="Cambria Math"/>
            </w:rPr>
            <m:t>=</m:t>
          </m:r>
          <m:r>
            <m:rPr>
              <m:sty m:val="b"/>
            </m:rPr>
            <w:rPr>
              <w:rFonts w:ascii="Cambria Math" w:hAnsi="Cambria Math"/>
              <w:b/>
              <w:bCs/>
              <w:position w:val="-10"/>
            </w:rPr>
            <w:object w:dxaOrig="1680" w:dyaOrig="380">
              <v:shape id="_x0000_i1032" type="#_x0000_t75" style="width:86.25pt;height:21.75pt" o:ole="" fillcolor="window">
                <v:imagedata r:id="rId23" o:title=""/>
              </v:shape>
              <o:OLEObject Type="Embed" ProgID="Equation.DSMT4" ShapeID="_x0000_i1032" DrawAspect="Content" ObjectID="_1520259968" r:id="rId24"/>
            </w:object>
          </m:r>
          <m:r>
            <m:rPr>
              <m:sty m:val="b"/>
            </m:rPr>
            <w:rPr>
              <w:rFonts w:ascii="Cambria Math" w:hAnsi="Cambria Math"/>
              <w:sz w:val="20"/>
              <w:szCs w:val="20"/>
            </w:rPr>
            <m:t>-</m:t>
          </m:r>
          <m:r>
            <m:rPr>
              <m:sty m:val="b"/>
            </m:rPr>
            <w:rPr>
              <w:rFonts w:ascii="Cambria Math" w:hAnsi="Cambria Math"/>
              <w:b/>
              <w:bCs/>
              <w:position w:val="-6"/>
            </w:rPr>
            <w:object w:dxaOrig="840" w:dyaOrig="340">
              <v:shape id="_x0000_i1033" type="#_x0000_t75" style="width:43.5pt;height:14.25pt" o:ole="" fillcolor="window">
                <v:imagedata r:id="rId25" o:title=""/>
              </v:shape>
              <o:OLEObject Type="Embed" ProgID="Equation.DSMT4" ShapeID="_x0000_i1033" DrawAspect="Content" ObjectID="_1520259969" r:id="rId26"/>
            </w:object>
          </m:r>
          <m:r>
            <w:rPr>
              <w:rFonts w:ascii="Cambria Math" w:hAnsi="Cambria Math"/>
            </w:rPr>
            <m:t xml:space="preserve">                        (4.3b)</m:t>
          </m:r>
        </m:oMath>
      </m:oMathPara>
    </w:p>
    <w:p w:rsidR="006E6C3E" w:rsidRPr="006E6C3E" w:rsidRDefault="006E6C3E" w:rsidP="006E6C3E">
      <w:r>
        <w:t xml:space="preserve">Substituting (4.3a) and (4.3b) into equation (4.1), we can obtain </w:t>
      </w:r>
    </w:p>
    <w:p w:rsidR="006E6C3E" w:rsidRPr="00AD7FFC" w:rsidRDefault="006E6C3E" w:rsidP="00684F0A"/>
    <w:p w:rsidR="00684F0A" w:rsidRDefault="00684F0A" w:rsidP="00684F0A">
      <w:pPr>
        <w:spacing w:line="480" w:lineRule="auto"/>
        <w:ind w:firstLine="720"/>
        <w:rPr>
          <w:b/>
          <w:bCs/>
          <w:sz w:val="20"/>
          <w:szCs w:val="20"/>
        </w:rPr>
      </w:pPr>
      <w:r>
        <w:rPr>
          <w:sz w:val="20"/>
          <w:szCs w:val="20"/>
        </w:rPr>
        <w:t>C = S[N</w:t>
      </w:r>
      <w:r>
        <w:rPr>
          <w:b/>
          <w:bCs/>
          <w:sz w:val="20"/>
          <w:szCs w:val="20"/>
        </w:rPr>
        <w:t>(</w:t>
      </w:r>
      <w:r w:rsidRPr="009B676E">
        <w:rPr>
          <w:b/>
          <w:bCs/>
          <w:position w:val="-10"/>
        </w:rPr>
        <w:object w:dxaOrig="1680" w:dyaOrig="380">
          <v:shape id="_x0000_i1034" type="#_x0000_t75" style="width:86.25pt;height:21.75pt" o:ole="" fillcolor="window">
            <v:imagedata r:id="rId27" o:title=""/>
          </v:shape>
          <o:OLEObject Type="Embed" ProgID="Equation.DSMT4" ShapeID="_x0000_i1034" DrawAspect="Content" ObjectID="_1520259970" r:id="rId28"/>
        </w:object>
      </w:r>
      <w:r>
        <w:rPr>
          <w:b/>
          <w:bCs/>
          <w:sz w:val="20"/>
          <w:szCs w:val="20"/>
        </w:rPr>
        <w:t>+</w:t>
      </w:r>
      <w:r w:rsidRPr="009B676E">
        <w:rPr>
          <w:b/>
          <w:bCs/>
          <w:position w:val="-6"/>
        </w:rPr>
        <w:object w:dxaOrig="840" w:dyaOrig="340">
          <v:shape id="_x0000_i1035" type="#_x0000_t75" style="width:43.5pt;height:14.25pt" o:ole="" fillcolor="window">
            <v:imagedata r:id="rId29" o:title=""/>
          </v:shape>
          <o:OLEObject Type="Embed" ProgID="Equation.DSMT4" ShapeID="_x0000_i1035" DrawAspect="Content" ObjectID="_1520259971" r:id="rId30"/>
        </w:object>
      </w:r>
      <w:r>
        <w:rPr>
          <w:b/>
          <w:bCs/>
          <w:sz w:val="20"/>
          <w:szCs w:val="20"/>
        </w:rPr>
        <w:t xml:space="preserve"> </w:t>
      </w:r>
      <w:r>
        <w:rPr>
          <w:sz w:val="20"/>
          <w:szCs w:val="20"/>
        </w:rPr>
        <w:t>)] - K[N(</w:t>
      </w:r>
      <w:r>
        <w:rPr>
          <w:b/>
          <w:bCs/>
          <w:sz w:val="20"/>
          <w:szCs w:val="20"/>
        </w:rPr>
        <w:t xml:space="preserve"> </w:t>
      </w:r>
      <w:r w:rsidRPr="009B676E">
        <w:rPr>
          <w:b/>
          <w:bCs/>
          <w:position w:val="-10"/>
        </w:rPr>
        <w:object w:dxaOrig="1680" w:dyaOrig="380">
          <v:shape id="_x0000_i1036" type="#_x0000_t75" style="width:86.25pt;height:21.75pt" o:ole="" fillcolor="window">
            <v:imagedata r:id="rId23" o:title=""/>
          </v:shape>
          <o:OLEObject Type="Embed" ProgID="Equation.DSMT4" ShapeID="_x0000_i1036" DrawAspect="Content" ObjectID="_1520259972" r:id="rId31"/>
        </w:object>
      </w:r>
      <w:r>
        <w:rPr>
          <w:b/>
          <w:bCs/>
          <w:sz w:val="20"/>
          <w:szCs w:val="20"/>
        </w:rPr>
        <w:t>-</w:t>
      </w:r>
      <w:r w:rsidRPr="009B676E">
        <w:rPr>
          <w:b/>
          <w:bCs/>
          <w:position w:val="-6"/>
        </w:rPr>
        <w:object w:dxaOrig="840" w:dyaOrig="340">
          <v:shape id="_x0000_i1037" type="#_x0000_t75" style="width:43.5pt;height:14.25pt" o:ole="" fillcolor="window">
            <v:imagedata r:id="rId25" o:title=""/>
          </v:shape>
          <o:OLEObject Type="Embed" ProgID="Equation.DSMT4" ShapeID="_x0000_i1037" DrawAspect="Content" ObjectID="_1520259973" r:id="rId32"/>
        </w:object>
      </w:r>
      <w:r>
        <w:rPr>
          <w:sz w:val="20"/>
          <w:szCs w:val="20"/>
        </w:rPr>
        <w:t>)] ,</w:t>
      </w:r>
      <w:r>
        <w:rPr>
          <w:sz w:val="20"/>
          <w:szCs w:val="20"/>
        </w:rPr>
        <w:tab/>
      </w:r>
      <w:r>
        <w:rPr>
          <w:sz w:val="20"/>
          <w:szCs w:val="20"/>
        </w:rPr>
        <w:tab/>
      </w:r>
      <w:r>
        <w:t>(</w:t>
      </w:r>
      <w:r w:rsidR="006E6C3E">
        <w:t>4.4</w:t>
      </w:r>
      <w:r>
        <w:t>)</w:t>
      </w:r>
    </w:p>
    <w:p w:rsidR="00684F0A" w:rsidRDefault="00684F0A" w:rsidP="00684F0A">
      <w:pPr>
        <w:spacing w:line="480" w:lineRule="auto"/>
        <w:jc w:val="both"/>
      </w:pPr>
      <w:r>
        <w:t>where, C is the call premium, S is the underlying asset value, the present value of the exercise price K is equal to Ee</w:t>
      </w:r>
      <w:r>
        <w:rPr>
          <w:vertAlign w:val="superscript"/>
        </w:rPr>
        <w:t>-rT</w:t>
      </w:r>
      <w:r>
        <w:t xml:space="preserve">.  E is the exercise price, r is the instantaneous risk-free rate, T is the time to the maturity, </w:t>
      </w:r>
      <w:r>
        <w:sym w:font="Symbol" w:char="F073"/>
      </w:r>
      <w:r>
        <w:t xml:space="preserve"> is the standard deviation of the underlying asset rate of return on annual basis, </w:t>
      </w:r>
      <w:r>
        <w:lastRenderedPageBreak/>
        <w:t>and N(x) is the standard cumulative normal distribution function up to x.</w:t>
      </w:r>
    </w:p>
    <w:p w:rsidR="003A3275" w:rsidRDefault="00684F0A" w:rsidP="00684F0A">
      <w:pPr>
        <w:spacing w:line="480" w:lineRule="auto"/>
        <w:ind w:firstLine="720"/>
        <w:sectPr w:rsidR="003A3275">
          <w:footnotePr>
            <w:numFmt w:val="lowerRoman"/>
          </w:footnotePr>
          <w:pgSz w:w="12240" w:h="15840"/>
          <w:pgMar w:top="1440" w:right="1440" w:bottom="1440" w:left="1440" w:header="720" w:footer="720" w:gutter="0"/>
          <w:cols w:space="720"/>
          <w:docGrid w:linePitch="360"/>
        </w:sectPr>
      </w:pPr>
      <w:r>
        <w:t>Under the condition that the stock price equals the present value of the exercise price (i.e., S=K=Ee</w:t>
      </w:r>
      <w:r>
        <w:rPr>
          <w:vertAlign w:val="superscript"/>
        </w:rPr>
        <w:t>-rT</w:t>
      </w:r>
      <w:r>
        <w:t xml:space="preserve"> ), Brenner and Subrahmanyam (1988) derive the following simple formula to </w:t>
      </w:r>
    </w:p>
    <w:p w:rsidR="00684F0A" w:rsidRDefault="003A3275" w:rsidP="00684F0A">
      <w:pPr>
        <w:spacing w:line="480" w:lineRule="auto"/>
        <w:ind w:firstLine="720"/>
      </w:pPr>
      <w:r>
        <w:rPr>
          <w:rStyle w:val="FootnoteReference"/>
        </w:rPr>
        <w:lastRenderedPageBreak/>
        <w:footnoteReference w:id="1"/>
      </w:r>
      <w:r w:rsidR="00684F0A">
        <w:t>compute the implied standard deviation.</w:t>
      </w:r>
      <w:r w:rsidR="00EC4BCB">
        <w:rPr>
          <w:rStyle w:val="FootnoteReference"/>
        </w:rPr>
        <w:footnoteReference w:id="2"/>
      </w:r>
    </w:p>
    <w:p w:rsidR="00684F0A" w:rsidRDefault="00684F0A" w:rsidP="00684F0A">
      <w:pPr>
        <w:pStyle w:val="Caption"/>
        <w:ind w:firstLine="720"/>
      </w:pPr>
      <w:r w:rsidRPr="007C72AD">
        <w:rPr>
          <w:position w:val="-8"/>
        </w:rPr>
        <w:object w:dxaOrig="1719" w:dyaOrig="360">
          <v:shape id="_x0000_i1038" type="#_x0000_t75" style="width:79.5pt;height:21.75pt" o:ole="" fillcolor="window">
            <v:imagedata r:id="rId33" o:title=""/>
          </v:shape>
          <o:OLEObject Type="Embed" ProgID="Equation.DSMT4" ShapeID="_x0000_i1038" DrawAspect="Content" ObjectID="_1520259974" r:id="rId34"/>
        </w:object>
      </w:r>
      <w:r>
        <w:t>.</w:t>
      </w:r>
      <w:r>
        <w:tab/>
      </w:r>
      <w:r>
        <w:tab/>
      </w:r>
      <w:r>
        <w:tab/>
      </w:r>
      <w:r>
        <w:tab/>
      </w:r>
      <w:r>
        <w:tab/>
      </w:r>
      <w:r>
        <w:tab/>
      </w:r>
      <w:r>
        <w:tab/>
      </w:r>
      <w:r>
        <w:tab/>
      </w:r>
      <w:r>
        <w:tab/>
      </w:r>
      <w:r w:rsidR="003D2657">
        <w:rPr>
          <w:b w:val="0"/>
          <w:bCs w:val="0"/>
        </w:rPr>
        <w:t>(4.5</w:t>
      </w:r>
      <w:r>
        <w:rPr>
          <w:b w:val="0"/>
          <w:bCs w:val="0"/>
        </w:rPr>
        <w:t>)</w:t>
      </w:r>
    </w:p>
    <w:p w:rsidR="00684F0A" w:rsidRDefault="00684F0A" w:rsidP="00684F0A">
      <w:pPr>
        <w:spacing w:line="480" w:lineRule="auto"/>
      </w:pPr>
      <w:r>
        <w:t>This formula is derived by applying Taylor series expansion at zero in the B/S model up to the first-order term, and the higher order terms are ignored.  Since the higher order t</w:t>
      </w:r>
      <w:r w:rsidR="00184DFA">
        <w:t>erms are omitted, equation (4.5</w:t>
      </w:r>
      <w:r>
        <w:t xml:space="preserve">) is an approximation rather than an exact solution.  The accuracy of the </w:t>
      </w:r>
      <w:r w:rsidR="00184DFA">
        <w:t>ISD calculated by equation (4.5</w:t>
      </w:r>
      <w:r>
        <w:t xml:space="preserve">) depends not only on the </w:t>
      </w:r>
      <w:r w:rsidR="00184DFA">
        <w:t xml:space="preserve">deviation of the stock price S </w:t>
      </w:r>
      <w:r>
        <w:t xml:space="preserve">from the present value of exercise price K but also on the magnitude of the standard deviation </w:t>
      </w:r>
      <w:r>
        <w:rPr>
          <w:rFonts w:ascii="PMingLiU" w:hAnsi="PMingLiU" w:cs="PMingLiU" w:hint="eastAsia"/>
        </w:rPr>
        <w:t>σ</w:t>
      </w:r>
      <w:r>
        <w:rPr>
          <w:rFonts w:ascii="PMingLiU" w:cs="PMingLiU"/>
        </w:rPr>
        <w:t>.</w:t>
      </w:r>
      <w:r>
        <w:t></w:t>
      </w:r>
    </w:p>
    <w:p w:rsidR="00684F0A" w:rsidRDefault="00684F0A" w:rsidP="00684F0A">
      <w:pPr>
        <w:spacing w:line="480" w:lineRule="auto"/>
        <w:ind w:firstLine="720"/>
      </w:pPr>
      <w:r>
        <w:t>However, when the underlying asset price equals the present value of the exercise price, the B/S model becomes</w:t>
      </w:r>
      <w:r>
        <w:rPr>
          <w:rStyle w:val="EndnoteReference"/>
        </w:rPr>
        <w:endnoteReference w:id="1"/>
      </w:r>
    </w:p>
    <w:p w:rsidR="00684F0A" w:rsidRDefault="00684F0A" w:rsidP="00684F0A">
      <w:pPr>
        <w:spacing w:line="480" w:lineRule="auto"/>
        <w:ind w:firstLine="720"/>
      </w:pPr>
      <w:r w:rsidRPr="007C72AD">
        <w:rPr>
          <w:position w:val="-52"/>
        </w:rPr>
        <w:object w:dxaOrig="3140" w:dyaOrig="1219">
          <v:shape id="_x0000_i1039" type="#_x0000_t75" style="width:151.5pt;height:57.75pt" o:ole="" fillcolor="window">
            <v:imagedata r:id="rId35" o:title=""/>
          </v:shape>
          <o:OLEObject Type="Embed" ProgID="Equation.DSMT4" ShapeID="_x0000_i1039" DrawAspect="Content" ObjectID="_1520259975" r:id="rId36"/>
        </w:obje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D2657">
        <w:t>(4.6</w:t>
      </w:r>
      <w:r>
        <w:t>)</w:t>
      </w:r>
    </w:p>
    <w:p w:rsidR="00684F0A" w:rsidRDefault="00684F0A" w:rsidP="00684F0A">
      <w:pPr>
        <w:spacing w:line="480" w:lineRule="auto"/>
      </w:pPr>
      <w:r>
        <w:t>Thus, an exact closed-form solution for the ISD</w:t>
      </w:r>
      <w:r>
        <w:rPr>
          <w:rStyle w:val="EndnoteReference"/>
        </w:rPr>
        <w:endnoteReference w:id="2"/>
      </w:r>
      <w:r>
        <w:t xml:space="preserve"> is</w:t>
      </w:r>
    </w:p>
    <w:p w:rsidR="00684F0A" w:rsidRDefault="00684F0A" w:rsidP="00684F0A">
      <w:pPr>
        <w:spacing w:line="480" w:lineRule="auto"/>
        <w:ind w:firstLine="720"/>
      </w:pPr>
      <w:r w:rsidRPr="007C72AD">
        <w:rPr>
          <w:position w:val="-32"/>
        </w:rPr>
        <w:object w:dxaOrig="2840" w:dyaOrig="760">
          <v:shape id="_x0000_i1040" type="#_x0000_t75" style="width:172.5pt;height:36pt" o:ole="" fillcolor="window">
            <v:imagedata r:id="rId37" o:title=""/>
          </v:shape>
          <o:OLEObject Type="Embed" ProgID="Equation.DSMT4" ShapeID="_x0000_i1040" DrawAspect="Content" ObjectID="_1520259976" r:id="rId38"/>
        </w:object>
      </w:r>
      <w:r>
        <w:tab/>
      </w:r>
      <w:r>
        <w:tab/>
      </w:r>
      <w:r>
        <w:tab/>
      </w:r>
      <w:r>
        <w:tab/>
      </w:r>
      <w:r>
        <w:tab/>
      </w:r>
      <w:r>
        <w:tab/>
      </w:r>
      <w:r>
        <w:tab/>
        <w:t>(</w:t>
      </w:r>
      <w:r w:rsidR="003D2657">
        <w:t>4.7</w:t>
      </w:r>
      <w:r>
        <w:t>)</w:t>
      </w:r>
    </w:p>
    <w:p w:rsidR="003A3275" w:rsidRDefault="00684F0A" w:rsidP="00684F0A">
      <w:pPr>
        <w:spacing w:line="480" w:lineRule="auto"/>
        <w:ind w:firstLine="480"/>
        <w:rPr>
          <w:b/>
          <w:bCs/>
        </w:rPr>
      </w:pPr>
      <w:r>
        <w:t>Since the cumulative normal distribution is a monotonic increasing function, its inverse cumulative no</w:t>
      </w:r>
      <w:r w:rsidR="00184DFA">
        <w:t>rmal functions in equation (4.7</w:t>
      </w:r>
      <w:r>
        <w:t xml:space="preserve">) must exist and be unique.  Therefore, equation </w:t>
      </w:r>
      <w:r w:rsidR="00184DFA">
        <w:t xml:space="preserve">(4.7) </w:t>
      </w:r>
      <w:r>
        <w:t xml:space="preserve">must be an exact and unique closed-form solution for the ISD if the present value of the exercise price equals the underlying asset price. </w:t>
      </w:r>
      <w:r w:rsidRPr="007825DD">
        <w:t xml:space="preserve">It is </w:t>
      </w:r>
      <w:r>
        <w:t>note</w:t>
      </w:r>
      <w:r w:rsidRPr="007825DD">
        <w:t xml:space="preserve">worthy that the Taylor expansion plays </w:t>
      </w:r>
      <w:r w:rsidRPr="007825DD">
        <w:lastRenderedPageBreak/>
        <w:t xml:space="preserve">no role in deriving equation </w:t>
      </w:r>
      <w:r w:rsidR="00184DFA">
        <w:t xml:space="preserve">(4.7) </w:t>
      </w:r>
      <w:r w:rsidRPr="007825DD">
        <w:t xml:space="preserve">and there is no truncation of the remainder terms. </w:t>
      </w:r>
      <w:r>
        <w:t xml:space="preserve"> </w:t>
      </w:r>
      <w:r w:rsidRPr="007825DD">
        <w:t xml:space="preserve">Hence, </w:t>
      </w:r>
      <w:r>
        <w:t>when the assumption S=K=Ee</w:t>
      </w:r>
      <w:r>
        <w:rPr>
          <w:vertAlign w:val="superscript"/>
        </w:rPr>
        <w:t>-rT</w:t>
      </w:r>
      <w:r>
        <w:t xml:space="preserve"> holds, </w:t>
      </w:r>
      <w:r w:rsidRPr="007825DD">
        <w:t xml:space="preserve">using equation </w:t>
      </w:r>
      <w:r w:rsidR="00184DFA">
        <w:t xml:space="preserve">(4.7) </w:t>
      </w:r>
      <w:r w:rsidRPr="007825DD">
        <w:t xml:space="preserve">to calculate the ISD results </w:t>
      </w:r>
      <w:r>
        <w:t xml:space="preserve">in </w:t>
      </w:r>
      <w:r w:rsidRPr="007825DD">
        <w:t xml:space="preserve">the true ISD and </w:t>
      </w:r>
      <w:r>
        <w:t xml:space="preserve">as </w:t>
      </w:r>
      <w:r w:rsidRPr="007825DD">
        <w:t xml:space="preserve">there is no estimation error. </w:t>
      </w:r>
      <w:r>
        <w:t xml:space="preserve"> </w:t>
      </w:r>
      <w:r w:rsidRPr="007825DD">
        <w:t xml:space="preserve">Previous formulas are approximate because they are derived </w:t>
      </w:r>
      <w:r w:rsidR="00D778E8">
        <w:rPr>
          <w:rStyle w:val="FootnoteReference"/>
        </w:rPr>
        <w:footnoteReference w:id="3"/>
      </w:r>
      <w:r w:rsidRPr="007825DD">
        <w:t>by truncat</w:t>
      </w:r>
      <w:r>
        <w:t>ing</w:t>
      </w:r>
      <w:r w:rsidRPr="007825DD">
        <w:t xml:space="preserve"> the remainder terms in the Taylor formula. </w:t>
      </w:r>
      <w:r>
        <w:t xml:space="preserve"> T</w:t>
      </w:r>
      <w:r w:rsidRPr="007825DD">
        <w:t xml:space="preserve">he estimate error always exists.  </w:t>
      </w:r>
      <w:r>
        <w:t xml:space="preserve"> </w:t>
      </w:r>
      <w:r w:rsidRPr="007825DD">
        <w:t xml:space="preserve">Equation </w:t>
      </w:r>
      <w:r w:rsidR="00184DFA">
        <w:t xml:space="preserve">(4.7) </w:t>
      </w:r>
      <w:r w:rsidRPr="007825DD">
        <w:t xml:space="preserve">is </w:t>
      </w:r>
      <w:r>
        <w:t>the best</w:t>
      </w:r>
      <w:r w:rsidRPr="007825DD">
        <w:t xml:space="preserve"> formula </w:t>
      </w:r>
      <w:r>
        <w:t>for</w:t>
      </w:r>
      <w:r w:rsidRPr="007825DD">
        <w:t xml:space="preserve"> ISD and dominates all </w:t>
      </w:r>
      <w:r>
        <w:t>other</w:t>
      </w:r>
      <w:r w:rsidRPr="007825DD">
        <w:t xml:space="preserve"> formulas if the S=K</w:t>
      </w:r>
      <w:r>
        <w:rPr>
          <w:b/>
          <w:bCs/>
        </w:rPr>
        <w:t xml:space="preserve">.   </w:t>
      </w:r>
    </w:p>
    <w:p w:rsidR="003A3275" w:rsidRPr="003A3275" w:rsidRDefault="003A3275" w:rsidP="003A3275">
      <w:pPr>
        <w:spacing w:line="480" w:lineRule="auto"/>
        <w:rPr>
          <w:bCs/>
          <w:u w:val="single"/>
        </w:rPr>
      </w:pPr>
      <w:r>
        <w:t>-(N(</w:t>
      </w:r>
      <w:r w:rsidRPr="00556293">
        <w:rPr>
          <w:b/>
          <w:bCs/>
          <w:kern w:val="0"/>
          <w:position w:val="-6"/>
        </w:rPr>
        <w:object w:dxaOrig="840" w:dyaOrig="340">
          <v:shape id="_x0000_i1041" type="#_x0000_t75" style="width:43.5pt;height:14.25pt" o:ole="" fillcolor="window">
            <v:imagedata r:id="rId39" o:title=""/>
          </v:shape>
          <o:OLEObject Type="Embed" ProgID="Equation.DSMT4" ShapeID="_x0000_i1041" DrawAspect="Content" ObjectID="_1520259977" r:id="rId40"/>
        </w:object>
      </w:r>
      <w:r>
        <w:t>))] = -S + 2 SN(</w:t>
      </w:r>
      <w:r w:rsidRPr="00556293">
        <w:rPr>
          <w:b/>
          <w:bCs/>
          <w:kern w:val="0"/>
          <w:position w:val="-6"/>
        </w:rPr>
        <w:object w:dxaOrig="840" w:dyaOrig="340">
          <v:shape id="_x0000_i1042" type="#_x0000_t75" style="width:43.5pt;height:14.25pt" o:ole="" fillcolor="window">
            <v:imagedata r:id="rId39" o:title=""/>
          </v:shape>
          <o:OLEObject Type="Embed" ProgID="Equation.DSMT4" ShapeID="_x0000_i1042" DrawAspect="Content" ObjectID="_1520259978" r:id="rId41"/>
        </w:object>
      </w:r>
      <w:r>
        <w:t xml:space="preserve">), solve the ISD yields equation (4.23).  </w:t>
      </w:r>
    </w:p>
    <w:p w:rsidR="00684F0A" w:rsidRDefault="00684F0A" w:rsidP="00684F0A">
      <w:pPr>
        <w:spacing w:line="480" w:lineRule="auto"/>
        <w:ind w:firstLine="480"/>
      </w:pPr>
      <w:r>
        <w:t xml:space="preserve">Equation </w:t>
      </w:r>
      <w:r w:rsidR="00184DFA">
        <w:t xml:space="preserve">(4.7) </w:t>
      </w:r>
      <w:r>
        <w:t>is useful to calculate the exact ISD in this special case because the popularity of the Excel, in which the inverse standard cumulative normal function is imbedded.</w:t>
      </w:r>
      <w:r>
        <w:rPr>
          <w:rStyle w:val="EndnoteReference"/>
        </w:rPr>
        <w:endnoteReference w:id="3"/>
      </w:r>
    </w:p>
    <w:p w:rsidR="00684F0A" w:rsidRDefault="00684F0A" w:rsidP="00684F0A">
      <w:pPr>
        <w:spacing w:line="480" w:lineRule="auto"/>
      </w:pPr>
      <w:r>
        <w:tab/>
        <w:t>Given equation (</w:t>
      </w:r>
      <w:r w:rsidR="00184DFA">
        <w:t>4.6</w:t>
      </w:r>
      <w:r>
        <w:t xml:space="preserve">), the sensitivity of the call option of the exercise price and the hedge ratio at the S=K are determined by </w:t>
      </w:r>
    </w:p>
    <w:p w:rsidR="00684F0A" w:rsidRDefault="00684F0A" w:rsidP="00684F0A">
      <w:pPr>
        <w:spacing w:line="480" w:lineRule="auto"/>
        <w:ind w:firstLine="720"/>
      </w:pPr>
      <w:r w:rsidRPr="007C72AD">
        <w:rPr>
          <w:position w:val="-10"/>
        </w:rPr>
        <w:object w:dxaOrig="4160" w:dyaOrig="380">
          <v:shape id="_x0000_i1043" type="#_x0000_t75" style="width:208.5pt;height:21.75pt" o:ole="" fillcolor="window">
            <v:imagedata r:id="rId42" o:title=""/>
          </v:shape>
          <o:OLEObject Type="Embed" ProgID="Equation.DSMT4" ShapeID="_x0000_i1043" DrawAspect="Content" ObjectID="_1520259979" r:id="rId43"/>
        </w:object>
      </w:r>
      <w:r w:rsidR="003D2657">
        <w:t>,</w:t>
      </w:r>
      <w:r w:rsidR="003D2657">
        <w:tab/>
      </w:r>
      <w:r w:rsidR="003D2657">
        <w:tab/>
      </w:r>
      <w:r w:rsidR="003D2657">
        <w:tab/>
        <w:t xml:space="preserve"> </w:t>
      </w:r>
      <w:r w:rsidR="003D2657">
        <w:tab/>
      </w:r>
      <w:r w:rsidR="003D2657">
        <w:tab/>
      </w:r>
      <w:r w:rsidR="003D2657">
        <w:tab/>
        <w:t>(4.8</w:t>
      </w:r>
      <w:r>
        <w:t>)</w:t>
      </w:r>
    </w:p>
    <w:p w:rsidR="00684F0A" w:rsidRDefault="00684F0A" w:rsidP="00684F0A">
      <w:pPr>
        <w:spacing w:line="480" w:lineRule="auto"/>
        <w:ind w:firstLine="720"/>
      </w:pPr>
      <w:r w:rsidRPr="004D77B7">
        <w:rPr>
          <w:position w:val="-10"/>
        </w:rPr>
        <w:object w:dxaOrig="3680" w:dyaOrig="380">
          <v:shape id="_x0000_i1044" type="#_x0000_t75" style="width:180pt;height:21.75pt" o:ole="" fillcolor="window">
            <v:imagedata r:id="rId44" o:title=""/>
          </v:shape>
          <o:OLEObject Type="Embed" ProgID="Equation.DSMT4" ShapeID="_x0000_i1044" DrawAspect="Content" ObjectID="_1520259980" r:id="rId45"/>
        </w:object>
      </w:r>
      <w:r w:rsidR="003D2657">
        <w:t>.</w:t>
      </w:r>
      <w:r w:rsidR="003D2657">
        <w:tab/>
      </w:r>
      <w:r w:rsidR="003D2657">
        <w:tab/>
      </w:r>
      <w:r w:rsidR="003D2657">
        <w:tab/>
      </w:r>
      <w:r w:rsidR="003D2657">
        <w:tab/>
      </w:r>
      <w:r w:rsidR="003D2657">
        <w:tab/>
      </w:r>
      <w:r w:rsidR="003D2657">
        <w:tab/>
        <w:t>(4.9</w:t>
      </w:r>
      <w:r>
        <w:t>)</w:t>
      </w:r>
    </w:p>
    <w:p w:rsidR="00684F0A" w:rsidRDefault="00684F0A" w:rsidP="00684F0A">
      <w:pPr>
        <w:spacing w:line="480" w:lineRule="auto"/>
      </w:pPr>
      <w:r>
        <w:t>Equation (</w:t>
      </w:r>
      <w:r w:rsidR="00184DFA">
        <w:t>4.8</w:t>
      </w:r>
      <w:r>
        <w:t>) is the sensitivity of the call option value from the striking price at K=Ee</w:t>
      </w:r>
      <w:r>
        <w:rPr>
          <w:vertAlign w:val="superscript"/>
        </w:rPr>
        <w:t>-rT</w:t>
      </w:r>
      <w:r w:rsidR="00184DFA">
        <w:t>=S Equation (4.9</w:t>
      </w:r>
      <w:r>
        <w:t>) is the hedge ratio (delta) at the underlying asset price S equals the present value K o</w:t>
      </w:r>
      <w:r w:rsidR="00184DFA">
        <w:t>f exercise price. Equation (4.8</w:t>
      </w:r>
      <w:r>
        <w:t xml:space="preserve">) shows that the </w:t>
      </w:r>
      <w:r>
        <w:sym w:font="Symbol" w:char="F0B6"/>
      </w:r>
      <w:r>
        <w:t>C/</w:t>
      </w:r>
      <w:r>
        <w:sym w:font="Symbol" w:char="F0B6"/>
      </w:r>
      <w:r>
        <w:t>K must be greater</w:t>
      </w:r>
      <w:r w:rsidR="00184DFA">
        <w:t xml:space="preserve"> than -1/2, while equation (4.9</w:t>
      </w:r>
      <w:r>
        <w:t>) demonstrates that the delta must be g</w:t>
      </w:r>
      <w:r w:rsidR="00184DFA">
        <w:t>reater than 1/2. Equations (4.8) and (4.9</w:t>
      </w:r>
      <w:r>
        <w:t xml:space="preserve">) provide a closed-form and exact solutions for the </w:t>
      </w:r>
      <w:r>
        <w:sym w:font="Symbol" w:char="F0B6"/>
      </w:r>
      <w:r>
        <w:t>C/</w:t>
      </w:r>
      <w:r>
        <w:sym w:font="Symbol" w:char="F0B6"/>
      </w:r>
      <w:r>
        <w:t>K and delta. Given the closed-form and ex</w:t>
      </w:r>
      <w:r w:rsidR="00184DFA">
        <w:t>act solution of the ISD in (4.7</w:t>
      </w:r>
      <w:r>
        <w:t>), it is possible to find all of the closed-form and exact solutions for all of the Greeks of options at S=K. The following theorem summarize</w:t>
      </w:r>
      <w:r w:rsidR="00184DFA">
        <w:t>s the results of equations (4.7)-(4.9</w:t>
      </w:r>
      <w:r>
        <w:t>).</w:t>
      </w:r>
    </w:p>
    <w:p w:rsidR="00684F0A" w:rsidRDefault="00684F0A" w:rsidP="00684F0A">
      <w:r>
        <w:rPr>
          <w:i/>
          <w:iCs/>
        </w:rPr>
        <w:t xml:space="preserve">Theorem: Under the Black and Scholes call option pricing model, if underlying asset price S </w:t>
      </w:r>
      <w:r>
        <w:rPr>
          <w:i/>
          <w:iCs/>
        </w:rPr>
        <w:lastRenderedPageBreak/>
        <w:t>equals to the present value K of exercise price, then there is an exact closed-form solution f</w:t>
      </w:r>
      <w:r w:rsidR="005D46DC">
        <w:rPr>
          <w:i/>
          <w:iCs/>
        </w:rPr>
        <w:t>or the ISD and is given by (4.7</w:t>
      </w:r>
      <w:r>
        <w:rPr>
          <w:i/>
          <w:iCs/>
        </w:rPr>
        <w:t xml:space="preserve">). Further, </w:t>
      </w:r>
      <w:r>
        <w:sym w:font="Symbol" w:char="F0B6"/>
      </w:r>
      <w:r>
        <w:t>C/</w:t>
      </w:r>
      <w:r>
        <w:sym w:font="Symbol" w:char="F0B6"/>
      </w:r>
      <w:r>
        <w:rPr>
          <w:i/>
          <w:iCs/>
        </w:rPr>
        <w:t>K and the hedge</w:t>
      </w:r>
      <w:r w:rsidR="005D46DC">
        <w:rPr>
          <w:i/>
          <w:iCs/>
        </w:rPr>
        <w:t xml:space="preserve"> ratio at S=K are given by (4.8) and (4.9</w:t>
      </w:r>
      <w:r>
        <w:rPr>
          <w:i/>
          <w:iCs/>
        </w:rPr>
        <w:t>) respectively</w:t>
      </w:r>
      <w:r>
        <w:t xml:space="preserve">. </w:t>
      </w:r>
    </w:p>
    <w:p w:rsidR="00684F0A" w:rsidRDefault="00684F0A" w:rsidP="00684F0A">
      <w:pPr>
        <w:spacing w:line="480" w:lineRule="auto"/>
      </w:pPr>
    </w:p>
    <w:p w:rsidR="00684F0A" w:rsidRDefault="00C23735" w:rsidP="00684F0A">
      <w:pPr>
        <w:spacing w:line="480" w:lineRule="auto"/>
        <w:outlineLvl w:val="0"/>
        <w:rPr>
          <w:b/>
          <w:bCs/>
        </w:rPr>
      </w:pPr>
      <w:r>
        <w:rPr>
          <w:b/>
          <w:bCs/>
        </w:rPr>
        <w:t>3.</w:t>
      </w:r>
      <w:r w:rsidR="007234F5">
        <w:rPr>
          <w:b/>
          <w:bCs/>
        </w:rPr>
        <w:t xml:space="preserve"> </w:t>
      </w:r>
      <w:r w:rsidR="00684F0A">
        <w:rPr>
          <w:b/>
          <w:bCs/>
        </w:rPr>
        <w:t xml:space="preserve">An Implied Standard Deviation Formula under a Single Call Option </w:t>
      </w:r>
    </w:p>
    <w:p w:rsidR="00684F0A" w:rsidRPr="00ED1A16" w:rsidRDefault="00165CA6" w:rsidP="00684F0A">
      <w:pPr>
        <w:spacing w:line="480" w:lineRule="auto"/>
        <w:outlineLvl w:val="0"/>
        <w:rPr>
          <w:b/>
          <w:bCs/>
        </w:rPr>
      </w:pPr>
      <w:r>
        <w:t>Following Ang et.al (2013), t</w:t>
      </w:r>
      <w:r w:rsidR="00684F0A">
        <w:t>his section derives a formula to estimate the ISD by applying the Taylor series expansion on a single call option. We show that the improved formula for ISD derived by Corrado and Miller (1996)</w:t>
      </w:r>
      <w:r w:rsidR="00D778E8">
        <w:t>(CM)</w:t>
      </w:r>
      <w:r w:rsidR="00684F0A">
        <w:t xml:space="preserve"> can be improved further without any replacements.  Applying Taylor formula to both cumulative normal distributions in equation (4.1</w:t>
      </w:r>
      <w:r w:rsidR="008C0537">
        <w:t>0</w:t>
      </w:r>
      <w:r w:rsidR="00684F0A">
        <w:t>) at L= ln(S/K)/</w:t>
      </w:r>
      <w:r w:rsidR="00684F0A" w:rsidRPr="009B676E">
        <w:t>(</w:t>
      </w:r>
      <w:r w:rsidR="00684F0A" w:rsidRPr="00B54067">
        <w:rPr>
          <w:i/>
          <w:iCs/>
          <w:position w:val="-10"/>
        </w:rPr>
        <w:object w:dxaOrig="660" w:dyaOrig="380">
          <v:shape id="_x0000_i1045" type="#_x0000_t75" style="width:36pt;height:21.75pt" o:ole="" fillcolor="window">
            <v:imagedata r:id="rId46" o:title=""/>
          </v:shape>
          <o:OLEObject Type="Embed" ProgID="Equation.DSMT4" ShapeID="_x0000_i1045" DrawAspect="Content" ObjectID="_1520259981" r:id="rId47"/>
        </w:object>
      </w:r>
      <w:r w:rsidR="00684F0A">
        <w:t xml:space="preserve"> yields</w:t>
      </w:r>
    </w:p>
    <w:p w:rsidR="00684F0A" w:rsidRDefault="00684F0A" w:rsidP="00684F0A">
      <w:pPr>
        <w:spacing w:line="480" w:lineRule="auto"/>
        <w:ind w:firstLine="720"/>
        <w:jc w:val="both"/>
      </w:pPr>
      <w:r w:rsidRPr="006E2908">
        <w:rPr>
          <w:position w:val="-36"/>
        </w:rPr>
        <w:object w:dxaOrig="5720" w:dyaOrig="840">
          <v:shape id="_x0000_i1046" type="#_x0000_t75" style="width:280.5pt;height:43.5pt" o:ole="" fillcolor="window">
            <v:imagedata r:id="rId48" o:title=""/>
          </v:shape>
          <o:OLEObject Type="Embed" ProgID="Equation.DSMT4" ShapeID="_x0000_i1046" DrawAspect="Content" ObjectID="_1520259982" r:id="rId49"/>
        </w:object>
      </w:r>
      <w:r w:rsidR="003D2657">
        <w:tab/>
      </w:r>
      <w:r w:rsidR="003D2657">
        <w:tab/>
      </w:r>
      <w:r w:rsidR="003D2657">
        <w:tab/>
        <w:t>(4.10</w:t>
      </w:r>
      <w:r>
        <w:t>)</w:t>
      </w:r>
    </w:p>
    <w:p w:rsidR="00684F0A" w:rsidRDefault="00684F0A" w:rsidP="00684F0A">
      <w:pPr>
        <w:spacing w:line="480" w:lineRule="auto"/>
        <w:ind w:firstLine="720"/>
      </w:pPr>
      <w:r>
        <w:t xml:space="preserve"> and</w:t>
      </w:r>
    </w:p>
    <w:p w:rsidR="00684F0A" w:rsidRDefault="00684F0A" w:rsidP="00684F0A">
      <w:pPr>
        <w:spacing w:line="480" w:lineRule="auto"/>
        <w:ind w:firstLine="720"/>
      </w:pPr>
      <w:r w:rsidRPr="006E2908">
        <w:rPr>
          <w:position w:val="-34"/>
        </w:rPr>
        <w:object w:dxaOrig="5740" w:dyaOrig="800">
          <v:shape id="_x0000_i1047" type="#_x0000_t75" style="width:4in;height:43.5pt" o:ole="" fillcolor="window">
            <v:imagedata r:id="rId50" o:title=""/>
          </v:shape>
          <o:OLEObject Type="Embed" ProgID="Equation.DSMT4" ShapeID="_x0000_i1047" DrawAspect="Content" ObjectID="_1520259983" r:id="rId51"/>
        </w:object>
      </w:r>
      <w:r w:rsidR="003D2657">
        <w:tab/>
      </w:r>
      <w:r w:rsidR="003D2657">
        <w:tab/>
      </w:r>
      <w:r w:rsidR="003D2657">
        <w:tab/>
      </w:r>
      <w:r w:rsidR="003D2657">
        <w:tab/>
        <w:t>(4.11</w:t>
      </w:r>
      <w:r>
        <w:t>)</w:t>
      </w:r>
    </w:p>
    <w:p w:rsidR="00684F0A" w:rsidRDefault="00684F0A" w:rsidP="00684F0A">
      <w:pPr>
        <w:ind w:left="720"/>
      </w:pPr>
    </w:p>
    <w:p w:rsidR="00684F0A" w:rsidRDefault="00684F0A" w:rsidP="00684F0A">
      <w:pPr>
        <w:spacing w:line="480" w:lineRule="auto"/>
      </w:pPr>
      <w:r>
        <w:t>where, e</w:t>
      </w:r>
      <w:r>
        <w:rPr>
          <w:vertAlign w:val="subscript"/>
        </w:rPr>
        <w:t>1</w:t>
      </w:r>
      <w:r>
        <w:t xml:space="preserve"> and e</w:t>
      </w:r>
      <w:r>
        <w:rPr>
          <w:vertAlign w:val="subscript"/>
        </w:rPr>
        <w:t>2</w:t>
      </w:r>
      <w:r>
        <w:t xml:space="preserve"> are the remainder terms of the Ta</w:t>
      </w:r>
      <w:r w:rsidR="00110C86">
        <w:t>ylor’s formulas. Equations (4.10) and (4.11</w:t>
      </w:r>
      <w:r>
        <w:t>) are obtained by the fact that N</w:t>
      </w:r>
      <m:oMath>
        <m:r>
          <w:rPr>
            <w:rFonts w:ascii="Cambria Math" w:hAnsi="Cambria Math"/>
          </w:rPr>
          <m:t>″</m:t>
        </m:r>
      </m:oMath>
      <w:r>
        <w:t>(x) = - N</w:t>
      </w:r>
      <w:r w:rsidR="00EC4BCB">
        <w:t>′</w:t>
      </w:r>
      <w:r>
        <w:t xml:space="preserve">(x)x. </w:t>
      </w:r>
    </w:p>
    <w:p w:rsidR="00684F0A" w:rsidRDefault="00684F0A" w:rsidP="00684F0A">
      <w:pPr>
        <w:spacing w:line="480" w:lineRule="auto"/>
        <w:ind w:firstLine="480"/>
      </w:pPr>
      <w:r>
        <w:t>Given N(0) =1/2, N</w:t>
      </w:r>
      <w:r w:rsidR="00EC4BCB">
        <w:rPr>
          <w:rFonts w:ascii="Cambria Math" w:hAnsi="Cambria Math"/>
        </w:rPr>
        <w:t>′</w:t>
      </w:r>
      <w:r>
        <w:t>(0) =1/</w:t>
      </w:r>
      <w:r w:rsidRPr="00954940">
        <w:rPr>
          <w:position w:val="-8"/>
        </w:rPr>
        <w:object w:dxaOrig="540" w:dyaOrig="360">
          <v:shape id="_x0000_i1048" type="#_x0000_t75" style="width:28.5pt;height:21.75pt" o:ole="" fillcolor="window">
            <v:imagedata r:id="rId52" o:title=""/>
          </v:shape>
          <o:OLEObject Type="Embed" ProgID="Equation.DSMT4" ShapeID="_x0000_i1048" DrawAspect="Content" ObjectID="_1520259984" r:id="rId53"/>
        </w:object>
      </w:r>
      <w:r>
        <w:t>, N</w:t>
      </w:r>
      <w:r w:rsidR="00EC4BCB">
        <w:rPr>
          <w:rFonts w:ascii="Cambria Math" w:hAnsi="Cambria Math"/>
        </w:rPr>
        <w:t>‴</w:t>
      </w:r>
      <w:r>
        <w:t>(0) = -N</w:t>
      </w:r>
      <w:r w:rsidR="00EC4BCB">
        <w:rPr>
          <w:rFonts w:ascii="Cambria Math" w:hAnsi="Cambria Math"/>
        </w:rPr>
        <w:t>′</w:t>
      </w:r>
      <w:r>
        <w:t>(0), N</w:t>
      </w:r>
      <w:r w:rsidR="00EC4BCB">
        <w:rPr>
          <w:rFonts w:ascii="Cambria Math" w:hAnsi="Cambria Math"/>
        </w:rPr>
        <w:t>″</w:t>
      </w:r>
      <w:r>
        <w:t>(0) = 0 = N</w:t>
      </w:r>
      <w:r w:rsidR="00EC4BCB">
        <w:rPr>
          <w:rFonts w:ascii="Cambria Math" w:hAnsi="Cambria Math"/>
        </w:rPr>
        <w:t>⁗</w:t>
      </w:r>
      <w:r>
        <w:t>(0). We apply the Taylor’s formula to the N[ln(S/K)/</w:t>
      </w:r>
      <w:r w:rsidRPr="009B676E">
        <w:t>(</w:t>
      </w:r>
      <w:r w:rsidRPr="00B54067">
        <w:rPr>
          <w:i/>
          <w:iCs/>
          <w:position w:val="-10"/>
        </w:rPr>
        <w:object w:dxaOrig="660" w:dyaOrig="380">
          <v:shape id="_x0000_i1049" type="#_x0000_t75" style="width:36pt;height:21.75pt" o:ole="" fillcolor="window">
            <v:imagedata r:id="rId46" o:title=""/>
          </v:shape>
          <o:OLEObject Type="Embed" ProgID="Equation.DSMT4" ShapeID="_x0000_i1049" DrawAspect="Content" ObjectID="_1520259985" r:id="rId54"/>
        </w:object>
      </w:r>
      <w:r>
        <w:t>] and N</w:t>
      </w:r>
      <w:r w:rsidR="00EC4BCB">
        <w:rPr>
          <w:rFonts w:ascii="Cambria Math" w:hAnsi="Cambria Math"/>
        </w:rPr>
        <w:t>′</w:t>
      </w:r>
      <w:r>
        <w:t>[ln(S/K)/</w:t>
      </w:r>
      <w:r w:rsidRPr="009B676E">
        <w:t>(</w:t>
      </w:r>
      <w:r w:rsidRPr="00B54067">
        <w:rPr>
          <w:i/>
          <w:iCs/>
          <w:position w:val="-10"/>
        </w:rPr>
        <w:object w:dxaOrig="660" w:dyaOrig="380">
          <v:shape id="_x0000_i1050" type="#_x0000_t75" style="width:36pt;height:21.75pt" o:ole="" fillcolor="window">
            <v:imagedata r:id="rId46" o:title=""/>
          </v:shape>
          <o:OLEObject Type="Embed" ProgID="Equation.DSMT4" ShapeID="_x0000_i1050" DrawAspect="Content" ObjectID="_1520259986" r:id="rId55"/>
        </w:object>
      </w:r>
      <w:r w:rsidR="00110C86">
        <w:t>] in equations (4.10) and (4.11</w:t>
      </w:r>
      <w:r>
        <w:t xml:space="preserve">) at 0 </w:t>
      </w:r>
    </w:p>
    <w:p w:rsidR="00684F0A" w:rsidRDefault="00684F0A" w:rsidP="00684F0A">
      <w:pPr>
        <w:spacing w:line="480" w:lineRule="auto"/>
        <w:ind w:firstLine="720"/>
      </w:pPr>
      <w:r w:rsidRPr="00BF401D">
        <w:rPr>
          <w:position w:val="-34"/>
        </w:rPr>
        <w:object w:dxaOrig="3860" w:dyaOrig="800">
          <v:shape id="_x0000_i1051" type="#_x0000_t75" style="width:194.25pt;height:43.5pt" o:ole="" fillcolor="window">
            <v:imagedata r:id="rId56" o:title=""/>
          </v:shape>
          <o:OLEObject Type="Embed" ProgID="Equation.DSMT4" ShapeID="_x0000_i1051" DrawAspect="Content" ObjectID="_1520259987" r:id="rId57"/>
        </w:object>
      </w:r>
      <w:r w:rsidR="003D2657">
        <w:tab/>
      </w:r>
      <w:r w:rsidR="003D2657">
        <w:tab/>
      </w:r>
      <w:r w:rsidR="003D2657">
        <w:tab/>
      </w:r>
      <w:r w:rsidR="003D2657">
        <w:tab/>
      </w:r>
      <w:r w:rsidR="003D2657">
        <w:tab/>
      </w:r>
      <w:r w:rsidR="003D2657">
        <w:tab/>
        <w:t>(4.12</w:t>
      </w:r>
      <w:r>
        <w:t>)</w:t>
      </w:r>
    </w:p>
    <w:p w:rsidR="00684F0A" w:rsidRDefault="00684F0A" w:rsidP="00684F0A">
      <w:pPr>
        <w:spacing w:line="480" w:lineRule="auto"/>
        <w:ind w:firstLine="720"/>
      </w:pPr>
      <w:r w:rsidRPr="00BF401D">
        <w:rPr>
          <w:position w:val="-36"/>
        </w:rPr>
        <w:object w:dxaOrig="4160" w:dyaOrig="840">
          <v:shape id="_x0000_i1052" type="#_x0000_t75" style="width:208.5pt;height:43.5pt" o:ole="" fillcolor="window">
            <v:imagedata r:id="rId58" o:title=""/>
          </v:shape>
          <o:OLEObject Type="Embed" ProgID="Equation.DSMT4" ShapeID="_x0000_i1052" DrawAspect="Content" ObjectID="_1520259988" r:id="rId59"/>
        </w:object>
      </w:r>
      <w:r w:rsidR="003D2657">
        <w:tab/>
      </w:r>
      <w:r w:rsidR="003D2657">
        <w:tab/>
      </w:r>
      <w:r w:rsidR="003D2657">
        <w:tab/>
      </w:r>
      <w:r w:rsidR="003D2657">
        <w:tab/>
      </w:r>
      <w:r w:rsidR="003D2657">
        <w:tab/>
      </w:r>
      <w:r w:rsidR="003D2657">
        <w:tab/>
        <w:t>(4.13</w:t>
      </w:r>
      <w:r>
        <w:t>)</w:t>
      </w:r>
    </w:p>
    <w:p w:rsidR="00684F0A" w:rsidRDefault="00684F0A" w:rsidP="00684F0A">
      <w:pPr>
        <w:spacing w:line="480" w:lineRule="auto"/>
      </w:pPr>
      <w:r>
        <w:t>where e</w:t>
      </w:r>
      <w:r>
        <w:rPr>
          <w:vertAlign w:val="subscript"/>
        </w:rPr>
        <w:t>3</w:t>
      </w:r>
      <w:r>
        <w:t xml:space="preserve"> and e</w:t>
      </w:r>
      <w:r>
        <w:rPr>
          <w:vertAlign w:val="subscript"/>
        </w:rPr>
        <w:t>4</w:t>
      </w:r>
      <w:r>
        <w:t xml:space="preserve"> are the remainders of the Taylor</w:t>
      </w:r>
      <w:r w:rsidR="00110C86">
        <w:t>’s formulas.  Substituting (4.10</w:t>
      </w:r>
      <w:r w:rsidR="00403337">
        <w:t>)-(4.13) into (4.4</w:t>
      </w:r>
      <w:r>
        <w:t>), dropping all of</w:t>
      </w:r>
      <w:r w:rsidR="00E6390C">
        <w:t xml:space="preserve"> remainder terms, equation (4.4</w:t>
      </w:r>
      <w:r>
        <w:t>) becomes</w:t>
      </w:r>
    </w:p>
    <w:p w:rsidR="00684F0A" w:rsidRDefault="00684F0A" w:rsidP="00684F0A">
      <w:pPr>
        <w:spacing w:line="480" w:lineRule="auto"/>
      </w:pPr>
      <w:r w:rsidRPr="00BF401D">
        <w:rPr>
          <w:position w:val="-36"/>
        </w:rPr>
        <w:object w:dxaOrig="6360" w:dyaOrig="840">
          <v:shape id="_x0000_i1053" type="#_x0000_t75" style="width:315.75pt;height:43.5pt" o:ole="" fillcolor="window">
            <v:imagedata r:id="rId60" o:title=""/>
          </v:shape>
          <o:OLEObject Type="Embed" ProgID="Equation.DSMT4" ShapeID="_x0000_i1053" DrawAspect="Content" ObjectID="_1520259989" r:id="rId61"/>
        </w:object>
      </w:r>
      <w:r w:rsidR="003D2657">
        <w:tab/>
      </w:r>
      <w:r w:rsidR="003D2657">
        <w:tab/>
      </w:r>
      <w:r w:rsidR="003D2657">
        <w:tab/>
      </w:r>
      <w:r w:rsidR="003D2657">
        <w:tab/>
        <w:t>(4.14</w:t>
      </w:r>
      <w:r>
        <w:t>)</w:t>
      </w:r>
    </w:p>
    <w:p w:rsidR="00684F0A" w:rsidRDefault="005F3A58" w:rsidP="00684F0A">
      <w:pPr>
        <w:spacing w:line="480" w:lineRule="auto"/>
      </w:pPr>
      <w:r>
        <w:t>Equation (4.14</w:t>
      </w:r>
      <w:r w:rsidR="00684F0A">
        <w:t xml:space="preserve">) is a quadratic equation of </w:t>
      </w:r>
      <w:r w:rsidR="00684F0A" w:rsidRPr="00954940">
        <w:rPr>
          <w:i/>
          <w:iCs/>
          <w:position w:val="-6"/>
        </w:rPr>
        <w:object w:dxaOrig="580" w:dyaOrig="340">
          <v:shape id="_x0000_i1054" type="#_x0000_t75" style="width:28.5pt;height:14.25pt" o:ole="" fillcolor="window">
            <v:imagedata r:id="rId62" o:title=""/>
          </v:shape>
          <o:OLEObject Type="Embed" ProgID="Equation.DSMT4" ShapeID="_x0000_i1054" DrawAspect="Content" ObjectID="_1520259990" r:id="rId63"/>
        </w:object>
      </w:r>
      <w:r w:rsidR="00684F0A">
        <w:rPr>
          <w:i/>
          <w:iCs/>
          <w:sz w:val="20"/>
          <w:szCs w:val="20"/>
        </w:rPr>
        <w:t xml:space="preserve"> </w:t>
      </w:r>
      <w:r w:rsidR="00684F0A">
        <w:t>and can be rewritten as</w:t>
      </w:r>
    </w:p>
    <w:p w:rsidR="00684F0A" w:rsidRDefault="00684F0A" w:rsidP="00684F0A">
      <w:pPr>
        <w:spacing w:line="480" w:lineRule="auto"/>
      </w:pPr>
      <w:r w:rsidRPr="00D91ACD">
        <w:rPr>
          <w:position w:val="-46"/>
        </w:rPr>
        <w:object w:dxaOrig="6480" w:dyaOrig="1140">
          <v:shape id="_x0000_i1055" type="#_x0000_t75" style="width:295.5pt;height:57.75pt" o:ole="">
            <v:imagedata r:id="rId64" o:title=""/>
          </v:shape>
          <o:OLEObject Type="Embed" ProgID="Equation.DSMT4" ShapeID="_x0000_i1055" DrawAspect="Content" ObjectID="_1520259991" r:id="rId65"/>
        </w:object>
      </w:r>
      <w:r w:rsidR="003D2657">
        <w:tab/>
      </w:r>
      <w:r w:rsidR="003D2657">
        <w:tab/>
      </w:r>
      <w:r w:rsidR="003D2657">
        <w:tab/>
      </w:r>
      <w:r w:rsidR="003D2657">
        <w:tab/>
        <w:t>(4.15</w:t>
      </w:r>
      <w:r>
        <w:t>)</w:t>
      </w:r>
    </w:p>
    <w:p w:rsidR="00684F0A" w:rsidRDefault="00684F0A" w:rsidP="00684F0A">
      <w:pPr>
        <w:spacing w:line="480" w:lineRule="auto"/>
      </w:pPr>
      <w:r>
        <w:t xml:space="preserve">Solving </w:t>
      </w:r>
      <w:r w:rsidRPr="00954940">
        <w:rPr>
          <w:i/>
          <w:iCs/>
          <w:position w:val="-6"/>
        </w:rPr>
        <w:object w:dxaOrig="580" w:dyaOrig="340">
          <v:shape id="_x0000_i1056" type="#_x0000_t75" style="width:28.5pt;height:14.25pt" o:ole="" fillcolor="window">
            <v:imagedata r:id="rId62" o:title=""/>
          </v:shape>
          <o:OLEObject Type="Embed" ProgID="Equation.DSMT4" ShapeID="_x0000_i1056" DrawAspect="Content" ObjectID="_1520259992" r:id="rId66"/>
        </w:object>
      </w:r>
      <w:r w:rsidR="00927E45">
        <w:t xml:space="preserve"> from equation (4.15</w:t>
      </w:r>
      <w:r>
        <w:t xml:space="preserve">) yields </w:t>
      </w:r>
    </w:p>
    <w:p w:rsidR="00684F0A" w:rsidRDefault="00684F0A" w:rsidP="00684F0A">
      <w:pPr>
        <w:ind w:left="720"/>
      </w:pPr>
    </w:p>
    <w:p w:rsidR="00684F0A" w:rsidRDefault="00684F0A" w:rsidP="00EB456D">
      <w:pPr>
        <w:jc w:val="center"/>
        <w:rPr>
          <w:b/>
          <w:bCs/>
          <w:i/>
          <w:iCs/>
          <w:sz w:val="22"/>
          <w:szCs w:val="22"/>
          <w:u w:val="single"/>
        </w:rPr>
      </w:pPr>
      <w:r w:rsidRPr="00AD793C">
        <w:rPr>
          <w:i/>
          <w:iCs/>
          <w:position w:val="-8"/>
        </w:rPr>
        <w:object w:dxaOrig="2060" w:dyaOrig="440">
          <v:shape id="_x0000_i1057" type="#_x0000_t75" style="width:100.5pt;height:21.75pt" o:ole="" fillcolor="window">
            <v:imagedata r:id="rId67" o:title=""/>
          </v:shape>
          <o:OLEObject Type="Embed" ProgID="Equation.DSMT4" ShapeID="_x0000_i1057" DrawAspect="Content" ObjectID="_1520259993" r:id="rId68"/>
        </w:object>
      </w:r>
      <w:r>
        <w:rPr>
          <w:i/>
          <w:iCs/>
          <w:sz w:val="20"/>
          <w:szCs w:val="20"/>
        </w:rPr>
        <w:tab/>
      </w:r>
      <w:r>
        <w:rPr>
          <w:i/>
          <w:iCs/>
          <w:sz w:val="20"/>
          <w:szCs w:val="20"/>
        </w:rPr>
        <w:tab/>
      </w:r>
      <w:r>
        <w:rPr>
          <w:i/>
          <w:iCs/>
          <w:sz w:val="20"/>
          <w:szCs w:val="20"/>
        </w:rPr>
        <w:tab/>
      </w:r>
      <w:r w:rsidR="003D2657">
        <w:rPr>
          <w:sz w:val="22"/>
          <w:szCs w:val="22"/>
        </w:rPr>
        <w:t>(4.16</w:t>
      </w:r>
      <w:r>
        <w:rPr>
          <w:sz w:val="22"/>
          <w:szCs w:val="22"/>
        </w:rPr>
        <w:t>)</w:t>
      </w:r>
    </w:p>
    <w:p w:rsidR="00684F0A" w:rsidRDefault="00684F0A" w:rsidP="00684F0A">
      <w:pPr>
        <w:spacing w:line="480" w:lineRule="auto"/>
      </w:pPr>
      <w:r>
        <w:t>Where a = 4(S+K)-(S-K)ln(S/K), b = 2</w:t>
      </w:r>
      <w:r w:rsidRPr="00954940">
        <w:rPr>
          <w:position w:val="-8"/>
        </w:rPr>
        <w:object w:dxaOrig="540" w:dyaOrig="360">
          <v:shape id="_x0000_i1058" type="#_x0000_t75" style="width:28.5pt;height:21.75pt" o:ole="" fillcolor="window">
            <v:imagedata r:id="rId69" o:title=""/>
          </v:shape>
          <o:OLEObject Type="Embed" ProgID="Equation.DSMT4" ShapeID="_x0000_i1058" DrawAspect="Content" ObjectID="_1520259994" r:id="rId70"/>
        </w:object>
      </w:r>
      <w:r>
        <w:t>(2C-S+K), c = 8ln(S/K)[(S-K)(1+(ln(S/K)/4)</w:t>
      </w:r>
      <w:r w:rsidRPr="00784840">
        <w:rPr>
          <w:vertAlign w:val="superscript"/>
        </w:rPr>
        <w:t>2</w:t>
      </w:r>
      <w:r>
        <w:t>) - (S+K)ln(S/K)</w:t>
      </w:r>
      <w:r w:rsidR="00EB456D">
        <w:t>/4] . A merit of equation (4.16</w:t>
      </w:r>
      <w:r>
        <w:t>) is to circumvent the ad hoc substitution present in C</w:t>
      </w:r>
      <w:r w:rsidR="002307F9">
        <w:t xml:space="preserve">orrado and </w:t>
      </w:r>
      <w:r>
        <w:t>M</w:t>
      </w:r>
      <w:r w:rsidR="002307F9">
        <w:t>iller</w:t>
      </w:r>
      <w:r>
        <w:t xml:space="preserve"> and improve the accuracy of the ISD’s estimation. </w:t>
      </w:r>
    </w:p>
    <w:p w:rsidR="00E1374D" w:rsidRDefault="00EB456D" w:rsidP="00684F0A">
      <w:pPr>
        <w:spacing w:line="480" w:lineRule="auto"/>
      </w:pPr>
      <w:r>
        <w:tab/>
        <w:t>Since equations (4.12) and (4.13</w:t>
      </w:r>
      <w:r w:rsidR="00684F0A">
        <w:t>) are the Taylor series at the zero point and the remainder terms e</w:t>
      </w:r>
      <w:r w:rsidR="00684F0A">
        <w:rPr>
          <w:vertAlign w:val="subscript"/>
        </w:rPr>
        <w:t>1</w:t>
      </w:r>
      <w:r w:rsidR="00684F0A">
        <w:t xml:space="preserve"> to e</w:t>
      </w:r>
      <w:r w:rsidR="00684F0A">
        <w:rPr>
          <w:vertAlign w:val="subscript"/>
        </w:rPr>
        <w:t>4</w:t>
      </w:r>
      <w:r>
        <w:t xml:space="preserve"> in equations (4.10) to (4.11</w:t>
      </w:r>
      <w:r w:rsidR="00684F0A">
        <w:t>) are omi</w:t>
      </w:r>
      <w:r>
        <w:t>tted in deriving equation (4.14</w:t>
      </w:r>
      <w:r w:rsidR="00684F0A">
        <w:t>), the I</w:t>
      </w:r>
      <w:r>
        <w:t>SD calculated by equation (4.16</w:t>
      </w:r>
      <w:r w:rsidR="00684F0A">
        <w:t>) is not an exact formula.  Therefore, the effect</w:t>
      </w:r>
      <w:r>
        <w:t>iveness of using equation (4.16</w:t>
      </w:r>
      <w:r w:rsidR="00684F0A">
        <w:t xml:space="preserve">) to estimate the ISD depends on the deviation of the underlying asset price from the present value of exercise price. </w:t>
      </w:r>
      <w:r w:rsidR="00684F0A" w:rsidRPr="008815DD">
        <w:t>The merits of this formula are</w:t>
      </w:r>
      <w:r w:rsidR="00684F0A">
        <w:t>:</w:t>
      </w:r>
      <w:r w:rsidR="00684F0A" w:rsidRPr="008815DD">
        <w:t xml:space="preserve"> </w:t>
      </w:r>
      <w:r w:rsidR="000D7B27">
        <w:t>(4.4</w:t>
      </w:r>
      <w:r w:rsidR="00684F0A">
        <w:t>)</w:t>
      </w:r>
      <w:r w:rsidR="00684F0A" w:rsidRPr="008815DD">
        <w:t xml:space="preserve"> it is derived without arbitrary substitution (see Appendix</w:t>
      </w:r>
      <w:r w:rsidR="00EF272E">
        <w:t xml:space="preserve"> 4A</w:t>
      </w:r>
      <w:r w:rsidR="00E1374D">
        <w:t>) as Corrado and Miller (1996).</w:t>
      </w:r>
      <w:r w:rsidR="00684F0A" w:rsidRPr="008815DD">
        <w:t xml:space="preserve"> </w:t>
      </w:r>
      <w:r w:rsidR="00E1374D">
        <w:t>The Corrado and Miller’s formula, to calculate impl</w:t>
      </w:r>
      <w:r w:rsidR="0022101F">
        <w:t>ied variance, can be defined as:</w:t>
      </w:r>
      <w:r w:rsidR="0022101F" w:rsidRPr="00C2551A">
        <w:rPr>
          <w:position w:val="-12"/>
        </w:rPr>
        <w:object w:dxaOrig="7119" w:dyaOrig="440">
          <v:shape id="_x0000_i1059" type="#_x0000_t75" style="width:356.25pt;height:21.75pt" o:ole="" fillcolor="window">
            <v:imagedata r:id="rId71" o:title=""/>
          </v:shape>
          <o:OLEObject Type="Embed" ProgID="Equation.DSMT4" ShapeID="_x0000_i1059" DrawAspect="Content" ObjectID="_1520259995" r:id="rId72"/>
        </w:object>
      </w:r>
      <w:r w:rsidR="0022101F">
        <w:t>].</w:t>
      </w:r>
      <w:r w:rsidR="0022101F">
        <w:tab/>
        <w:t>(4.17)</w:t>
      </w:r>
    </w:p>
    <w:p w:rsidR="0022101F" w:rsidRDefault="0022101F" w:rsidP="00684F0A">
      <w:pPr>
        <w:spacing w:line="480" w:lineRule="auto"/>
      </w:pPr>
      <w:r>
        <w:lastRenderedPageBreak/>
        <w:t xml:space="preserve">All notations of Equation (4.17) </w:t>
      </w:r>
      <w:r w:rsidR="00A236D7">
        <w:t>are the same as E</w:t>
      </w:r>
      <w:r>
        <w:t>quation (4.16). The detailed explanation of this equation can be found in Appendix 4A.</w:t>
      </w:r>
    </w:p>
    <w:p w:rsidR="00684F0A" w:rsidRDefault="002307F9" w:rsidP="00E1374D">
      <w:pPr>
        <w:spacing w:line="480" w:lineRule="auto"/>
        <w:ind w:firstLine="720"/>
      </w:pPr>
      <w:r>
        <w:t xml:space="preserve">Table 1 presents the excel program to calculate </w:t>
      </w:r>
      <w:r w:rsidR="0022101F">
        <w:t xml:space="preserve">implied standard deviation </w:t>
      </w:r>
      <w:r>
        <w:t xml:space="preserve">in terms of Equation </w:t>
      </w:r>
      <w:r w:rsidR="0022101F">
        <w:t>(</w:t>
      </w:r>
      <w:r>
        <w:t>4.16</w:t>
      </w:r>
      <w:r w:rsidR="0022101F">
        <w:t>)</w:t>
      </w:r>
      <w:r>
        <w:t>.</w:t>
      </w:r>
      <w:r w:rsidR="0022101F">
        <w:t xml:space="preserve"> Table 2 presents the excel program to calculate the implied standard deviation in terms of Equation (4.17). </w:t>
      </w:r>
    </w:p>
    <w:p w:rsidR="001B0DAB" w:rsidRDefault="00562BC1" w:rsidP="007234F5">
      <w:pPr>
        <w:spacing w:line="480" w:lineRule="auto"/>
      </w:pPr>
      <w:r>
        <w:rPr>
          <w:b/>
        </w:rPr>
        <w:t>Table 1</w:t>
      </w:r>
      <w:r w:rsidR="003D2657">
        <w:t xml:space="preserve"> </w:t>
      </w:r>
      <w:r w:rsidR="007234F5">
        <w:t xml:space="preserve">Excel </w:t>
      </w:r>
      <w:r w:rsidR="00AF2158">
        <w:t xml:space="preserve">program to calculate implied standard deviation in terms of Equation (4.16) </w:t>
      </w:r>
    </w:p>
    <w:tbl>
      <w:tblPr>
        <w:tblW w:w="6305" w:type="dxa"/>
        <w:tblInd w:w="103" w:type="dxa"/>
        <w:tblLook w:val="04A0" w:firstRow="1" w:lastRow="0" w:firstColumn="1" w:lastColumn="0" w:noHBand="0" w:noVBand="1"/>
      </w:tblPr>
      <w:tblGrid>
        <w:gridCol w:w="2142"/>
        <w:gridCol w:w="1463"/>
        <w:gridCol w:w="2700"/>
      </w:tblGrid>
      <w:tr w:rsidR="00575C93" w:rsidRPr="006C1ECF" w:rsidTr="000270DA">
        <w:trPr>
          <w:trHeight w:val="31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b/>
                <w:bCs/>
                <w:color w:val="000000"/>
                <w:kern w:val="0"/>
                <w:lang w:eastAsia="en-US"/>
              </w:rPr>
            </w:pPr>
            <w:r w:rsidRPr="006C1ECF">
              <w:rPr>
                <w:rFonts w:eastAsia="Times New Roman"/>
                <w:b/>
                <w:bCs/>
                <w:color w:val="000000"/>
                <w:kern w:val="0"/>
                <w:lang w:eastAsia="en-US"/>
              </w:rPr>
              <w:t>Inputs</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dividend (q)</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stock price (S)</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161.53</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exercise price (X)</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160</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risk free rate (r)</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0.025</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time (t)</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0.0952</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0270DA" w:rsidRDefault="00575C93" w:rsidP="00575C93">
            <w:pPr>
              <w:widowControl/>
              <w:rPr>
                <w:rFonts w:eastAsia="Times New Roman"/>
                <w:b/>
                <w:color w:val="000000"/>
                <w:kern w:val="0"/>
                <w:sz w:val="22"/>
                <w:szCs w:val="22"/>
                <w:lang w:eastAsia="en-US"/>
              </w:rPr>
            </w:pPr>
            <w:r w:rsidRPr="000270DA">
              <w:rPr>
                <w:rFonts w:eastAsia="Times New Roman"/>
                <w:b/>
                <w:color w:val="000000"/>
                <w:kern w:val="0"/>
                <w:sz w:val="22"/>
                <w:szCs w:val="22"/>
                <w:lang w:eastAsia="en-US"/>
              </w:rPr>
              <w:t>call option value (c)</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4.111850351</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K=X*e^(-rt)</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159.6195008</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S'=S*e^(-qt)</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161.53</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a</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2569.150544</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-126.5987946</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c</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0.181850353</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delta</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14158.45106</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sigma1</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0.154875382</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(-b+sqrt(delta))/2a*sqrt(t)</w:t>
            </w:r>
          </w:p>
        </w:tc>
      </w:tr>
      <w:tr w:rsidR="00575C93" w:rsidRPr="006C1ECF" w:rsidTr="000270DA">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sigma2</w:t>
            </w:r>
          </w:p>
        </w:tc>
        <w:tc>
          <w:tcPr>
            <w:tcW w:w="1463"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0.004798787</w:t>
            </w:r>
          </w:p>
        </w:tc>
        <w:tc>
          <w:tcPr>
            <w:tcW w:w="27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(-b-sqrt(delta))/2a*sqrt(t)</w:t>
            </w:r>
          </w:p>
        </w:tc>
      </w:tr>
    </w:tbl>
    <w:p w:rsidR="00575C93" w:rsidRPr="006C1ECF" w:rsidRDefault="00575C93" w:rsidP="007234F5">
      <w:pPr>
        <w:spacing w:line="480" w:lineRule="auto"/>
      </w:pPr>
    </w:p>
    <w:tbl>
      <w:tblPr>
        <w:tblW w:w="7081" w:type="dxa"/>
        <w:tblInd w:w="103" w:type="dxa"/>
        <w:tblLook w:val="04A0" w:firstRow="1" w:lastRow="0" w:firstColumn="1" w:lastColumn="0" w:noHBand="0" w:noVBand="1"/>
      </w:tblPr>
      <w:tblGrid>
        <w:gridCol w:w="2322"/>
        <w:gridCol w:w="1800"/>
        <w:gridCol w:w="2959"/>
      </w:tblGrid>
      <w:tr w:rsidR="00575C93" w:rsidRPr="006C1ECF" w:rsidTr="000C7639">
        <w:trPr>
          <w:trHeight w:val="315"/>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b/>
                <w:bCs/>
                <w:color w:val="000000"/>
                <w:kern w:val="0"/>
                <w:lang w:eastAsia="en-US"/>
              </w:rPr>
            </w:pPr>
            <w:r w:rsidRPr="006C1ECF">
              <w:rPr>
                <w:rFonts w:eastAsia="Times New Roman"/>
                <w:b/>
                <w:bCs/>
                <w:color w:val="000000"/>
                <w:kern w:val="0"/>
                <w:lang w:eastAsia="en-US"/>
              </w:rPr>
              <w:t>Inputs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2959" w:type="dxa"/>
            <w:tcBorders>
              <w:top w:val="single" w:sz="4" w:space="0" w:color="auto"/>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dividend (q)</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stock price (S)</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161.53</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exercise price (X)</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160</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risk free rate (r)</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0.025</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time (t)</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0.095238095</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0270DA" w:rsidRDefault="00575C93" w:rsidP="00575C93">
            <w:pPr>
              <w:widowControl/>
              <w:rPr>
                <w:rFonts w:eastAsia="Times New Roman"/>
                <w:b/>
                <w:color w:val="000000"/>
                <w:kern w:val="0"/>
                <w:sz w:val="22"/>
                <w:szCs w:val="22"/>
                <w:lang w:eastAsia="en-US"/>
              </w:rPr>
            </w:pPr>
            <w:r w:rsidRPr="000270DA">
              <w:rPr>
                <w:rFonts w:eastAsia="Times New Roman"/>
                <w:b/>
                <w:color w:val="000000"/>
                <w:kern w:val="0"/>
                <w:sz w:val="22"/>
                <w:szCs w:val="22"/>
                <w:lang w:eastAsia="en-US"/>
              </w:rPr>
              <w:t>put option value (P)</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2.191993056</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K=X*e^(-rt)</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159.6195008</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S'=S*e^(-qt)</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161.53</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a</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2569.150544</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-126.2234794</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c</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0.181850353</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lastRenderedPageBreak/>
              <w:t>delta</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14063.56301</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 </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sigma1</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0.154386826</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(-b+sqrt(delta))/2a*sqrt(t)</w:t>
            </w:r>
          </w:p>
        </w:tc>
      </w:tr>
      <w:tr w:rsidR="00575C93" w:rsidRPr="006C1ECF" w:rsidTr="000C7639">
        <w:trPr>
          <w:trHeight w:val="300"/>
        </w:trPr>
        <w:tc>
          <w:tcPr>
            <w:tcW w:w="2322" w:type="dxa"/>
            <w:tcBorders>
              <w:top w:val="nil"/>
              <w:left w:val="single" w:sz="4" w:space="0" w:color="auto"/>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sigma2</w:t>
            </w:r>
          </w:p>
        </w:tc>
        <w:tc>
          <w:tcPr>
            <w:tcW w:w="1800"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jc w:val="right"/>
              <w:rPr>
                <w:rFonts w:eastAsia="Times New Roman"/>
                <w:color w:val="000000"/>
                <w:kern w:val="0"/>
                <w:sz w:val="22"/>
                <w:szCs w:val="22"/>
                <w:lang w:eastAsia="en-US"/>
              </w:rPr>
            </w:pPr>
            <w:r w:rsidRPr="006C1ECF">
              <w:rPr>
                <w:rFonts w:eastAsia="Times New Roman"/>
                <w:color w:val="000000"/>
                <w:kern w:val="0"/>
                <w:sz w:val="22"/>
                <w:szCs w:val="22"/>
                <w:lang w:eastAsia="en-US"/>
              </w:rPr>
              <w:t>0.004813973</w:t>
            </w:r>
          </w:p>
        </w:tc>
        <w:tc>
          <w:tcPr>
            <w:tcW w:w="2959" w:type="dxa"/>
            <w:tcBorders>
              <w:top w:val="nil"/>
              <w:left w:val="nil"/>
              <w:bottom w:val="single" w:sz="4" w:space="0" w:color="auto"/>
              <w:right w:val="single" w:sz="4" w:space="0" w:color="auto"/>
            </w:tcBorders>
            <w:shd w:val="clear" w:color="auto" w:fill="auto"/>
            <w:noWrap/>
            <w:vAlign w:val="bottom"/>
            <w:hideMark/>
          </w:tcPr>
          <w:p w:rsidR="00575C93" w:rsidRPr="006C1ECF" w:rsidRDefault="00575C93" w:rsidP="00575C93">
            <w:pPr>
              <w:widowControl/>
              <w:rPr>
                <w:rFonts w:eastAsia="Times New Roman"/>
                <w:color w:val="000000"/>
                <w:kern w:val="0"/>
                <w:sz w:val="22"/>
                <w:szCs w:val="22"/>
                <w:lang w:eastAsia="en-US"/>
              </w:rPr>
            </w:pPr>
            <w:r w:rsidRPr="006C1ECF">
              <w:rPr>
                <w:rFonts w:eastAsia="Times New Roman"/>
                <w:color w:val="000000"/>
                <w:kern w:val="0"/>
                <w:sz w:val="22"/>
                <w:szCs w:val="22"/>
                <w:lang w:eastAsia="en-US"/>
              </w:rPr>
              <w:t>(-b-sqrt(delta))/2a*sqrt(t)</w:t>
            </w:r>
          </w:p>
        </w:tc>
      </w:tr>
    </w:tbl>
    <w:p w:rsidR="00575C93" w:rsidRDefault="00575C93" w:rsidP="007234F5">
      <w:pPr>
        <w:spacing w:line="480" w:lineRule="auto"/>
      </w:pPr>
    </w:p>
    <w:p w:rsidR="00AF2158" w:rsidRPr="000C7639" w:rsidRDefault="00AF2158" w:rsidP="007234F5">
      <w:pPr>
        <w:spacing w:line="480" w:lineRule="auto"/>
      </w:pPr>
      <w:r w:rsidRPr="00AF2158">
        <w:rPr>
          <w:b/>
          <w:color w:val="FF0000"/>
        </w:rPr>
        <w:t>Table 2</w:t>
      </w:r>
      <w:r>
        <w:rPr>
          <w:b/>
        </w:rPr>
        <w:t xml:space="preserve"> </w:t>
      </w:r>
      <w:r>
        <w:t>Excel program to calculate implied standard deviation in terms of Equation (4.17).</w:t>
      </w:r>
    </w:p>
    <w:tbl>
      <w:tblPr>
        <w:tblW w:w="7137" w:type="dxa"/>
        <w:tblLook w:val="04A0" w:firstRow="1" w:lastRow="0" w:firstColumn="1" w:lastColumn="0" w:noHBand="0" w:noVBand="1"/>
      </w:tblPr>
      <w:tblGrid>
        <w:gridCol w:w="5750"/>
        <w:gridCol w:w="1387"/>
      </w:tblGrid>
      <w:tr w:rsidR="000C7639" w:rsidRPr="000C7639" w:rsidTr="006C1ECF">
        <w:trPr>
          <w:trHeight w:val="300"/>
        </w:trPr>
        <w:tc>
          <w:tcPr>
            <w:tcW w:w="57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Estimating Implied Volatility (or ISD) in BS Option Values</w:t>
            </w:r>
          </w:p>
        </w:tc>
        <w:tc>
          <w:tcPr>
            <w:tcW w:w="1387" w:type="dxa"/>
            <w:tcBorders>
              <w:top w:val="single" w:sz="8" w:space="0" w:color="auto"/>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r>
      <w:tr w:rsidR="000C7639" w:rsidRPr="000C7639" w:rsidTr="006C1ECF">
        <w:trPr>
          <w:trHeight w:val="315"/>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Share price (S)</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161.53</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Exercise price (X)</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160.00</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Int rate-cont (r)</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2.00%</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Dividend yield (q)</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0.00%</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Time now (0, years)</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kern w:val="0"/>
                <w:sz w:val="20"/>
                <w:szCs w:val="20"/>
                <w:lang w:eastAsia="zh-CN"/>
              </w:rPr>
            </w:pPr>
            <w:r w:rsidRPr="000C7639">
              <w:rPr>
                <w:rFonts w:eastAsia="Times New Roman"/>
                <w:kern w:val="0"/>
                <w:sz w:val="20"/>
                <w:szCs w:val="20"/>
                <w:lang w:eastAsia="zh-CN"/>
              </w:rPr>
              <w:t>0.00</w:t>
            </w:r>
          </w:p>
        </w:tc>
      </w:tr>
      <w:tr w:rsidR="000C7639" w:rsidRPr="000C7639" w:rsidTr="006C1ECF">
        <w:trPr>
          <w:trHeight w:val="315"/>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Time maturity (T, years)</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0.10</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Option life (T, years)</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kern w:val="0"/>
                <w:sz w:val="20"/>
                <w:szCs w:val="20"/>
                <w:lang w:eastAsia="zh-CN"/>
              </w:rPr>
            </w:pPr>
            <w:r w:rsidRPr="000C7639">
              <w:rPr>
                <w:rFonts w:eastAsia="Times New Roman"/>
                <w:kern w:val="0"/>
                <w:sz w:val="20"/>
                <w:szCs w:val="20"/>
                <w:lang w:eastAsia="zh-CN"/>
              </w:rPr>
              <w:t>0.10</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Volatility (</w:t>
            </w:r>
            <w:r w:rsidRPr="000C7639">
              <w:rPr>
                <w:rFonts w:eastAsia="Times New Roman"/>
                <w:kern w:val="0"/>
                <w:sz w:val="20"/>
                <w:szCs w:val="20"/>
                <w:lang w:eastAsia="zh-CN"/>
              </w:rPr>
              <w:t>s</w:t>
            </w:r>
            <w:r w:rsidRPr="000C7639">
              <w:rPr>
                <w:rFonts w:eastAsia="Times New Roman"/>
                <w:color w:val="000000"/>
                <w:kern w:val="0"/>
                <w:sz w:val="22"/>
                <w:szCs w:val="22"/>
                <w:lang w:eastAsia="zh-CN"/>
              </w:rPr>
              <w:t>)</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15.49%</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iopt</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1</w:t>
            </w:r>
          </w:p>
        </w:tc>
      </w:tr>
      <w:tr w:rsidR="000C7639" w:rsidRPr="000C7639" w:rsidTr="006C1ECF">
        <w:trPr>
          <w:trHeight w:val="300"/>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BS Option value</w:t>
            </w:r>
          </w:p>
        </w:tc>
        <w:tc>
          <w:tcPr>
            <w:tcW w:w="1387"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4.428610134</w:t>
            </w:r>
          </w:p>
        </w:tc>
      </w:tr>
      <w:tr w:rsidR="000C7639" w:rsidRPr="000C7639" w:rsidTr="006C1ECF">
        <w:trPr>
          <w:trHeight w:val="315"/>
        </w:trPr>
        <w:tc>
          <w:tcPr>
            <w:tcW w:w="5750" w:type="dxa"/>
            <w:tcBorders>
              <w:top w:val="nil"/>
              <w:left w:val="single" w:sz="8" w:space="0" w:color="auto"/>
              <w:bottom w:val="single" w:sz="8"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Observed Option price</w:t>
            </w:r>
          </w:p>
        </w:tc>
        <w:tc>
          <w:tcPr>
            <w:tcW w:w="1387" w:type="dxa"/>
            <w:tcBorders>
              <w:top w:val="nil"/>
              <w:left w:val="nil"/>
              <w:bottom w:val="single" w:sz="8"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3.37</w:t>
            </w:r>
          </w:p>
        </w:tc>
      </w:tr>
    </w:tbl>
    <w:p w:rsidR="000C7639" w:rsidRPr="006C1ECF" w:rsidRDefault="000C7639" w:rsidP="007234F5">
      <w:pPr>
        <w:spacing w:line="480" w:lineRule="auto"/>
        <w:rPr>
          <w:color w:val="FF0000"/>
        </w:rPr>
      </w:pPr>
    </w:p>
    <w:tbl>
      <w:tblPr>
        <w:tblW w:w="3754" w:type="dxa"/>
        <w:tblLook w:val="04A0" w:firstRow="1" w:lastRow="0" w:firstColumn="1" w:lastColumn="0" w:noHBand="0" w:noVBand="1"/>
      </w:tblPr>
      <w:tblGrid>
        <w:gridCol w:w="3500"/>
        <w:gridCol w:w="833"/>
      </w:tblGrid>
      <w:tr w:rsidR="000C7639" w:rsidRPr="006C1ECF" w:rsidTr="000C7639">
        <w:trPr>
          <w:trHeight w:val="300"/>
        </w:trPr>
        <w:tc>
          <w:tcPr>
            <w:tcW w:w="3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b/>
                <w:bCs/>
                <w:kern w:val="0"/>
                <w:sz w:val="20"/>
                <w:szCs w:val="20"/>
                <w:lang w:eastAsia="zh-CN"/>
              </w:rPr>
            </w:pPr>
            <w:r w:rsidRPr="000C7639">
              <w:rPr>
                <w:rFonts w:eastAsia="Times New Roman"/>
                <w:b/>
                <w:bCs/>
                <w:kern w:val="0"/>
                <w:sz w:val="20"/>
                <w:szCs w:val="20"/>
                <w:lang w:eastAsia="zh-CN"/>
              </w:rPr>
              <w:t>ISD Estimate (Corrado &amp; Miller)</w:t>
            </w:r>
          </w:p>
        </w:tc>
        <w:tc>
          <w:tcPr>
            <w:tcW w:w="254" w:type="dxa"/>
            <w:tcBorders>
              <w:top w:val="single" w:sz="8" w:space="0" w:color="auto"/>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11.83%</w:t>
            </w:r>
          </w:p>
        </w:tc>
      </w:tr>
      <w:tr w:rsidR="000C7639" w:rsidRPr="006C1ECF" w:rsidTr="000C7639">
        <w:trPr>
          <w:trHeight w:val="300"/>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c>
          <w:tcPr>
            <w:tcW w:w="254"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 </w:t>
            </w:r>
          </w:p>
        </w:tc>
      </w:tr>
      <w:tr w:rsidR="000C7639" w:rsidRPr="006C1ECF" w:rsidTr="000C7639">
        <w:trPr>
          <w:trHeight w:val="300"/>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S * Exp (-</w:t>
            </w:r>
            <w:r w:rsidRPr="000C7639">
              <w:rPr>
                <w:rFonts w:eastAsia="Times New Roman"/>
                <w:kern w:val="0"/>
                <w:sz w:val="20"/>
                <w:szCs w:val="20"/>
                <w:lang w:eastAsia="zh-CN"/>
              </w:rPr>
              <w:t>q*T</w:t>
            </w:r>
            <w:r w:rsidRPr="000C7639">
              <w:rPr>
                <w:rFonts w:eastAsia="Times New Roman"/>
                <w:color w:val="000000"/>
                <w:kern w:val="0"/>
                <w:sz w:val="22"/>
                <w:szCs w:val="22"/>
                <w:lang w:eastAsia="zh-CN"/>
              </w:rPr>
              <w:t>)</w:t>
            </w:r>
          </w:p>
        </w:tc>
        <w:tc>
          <w:tcPr>
            <w:tcW w:w="254"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161.53</w:t>
            </w:r>
          </w:p>
        </w:tc>
      </w:tr>
      <w:tr w:rsidR="000C7639" w:rsidRPr="006C1ECF" w:rsidTr="000C7639">
        <w:trPr>
          <w:trHeight w:val="300"/>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X * Exp (-r*</w:t>
            </w:r>
            <w:r w:rsidRPr="000C7639">
              <w:rPr>
                <w:rFonts w:eastAsia="Times New Roman"/>
                <w:kern w:val="0"/>
                <w:sz w:val="20"/>
                <w:szCs w:val="20"/>
                <w:lang w:eastAsia="zh-CN"/>
              </w:rPr>
              <w:t>T</w:t>
            </w:r>
            <w:r w:rsidRPr="000C7639">
              <w:rPr>
                <w:rFonts w:eastAsia="Times New Roman"/>
                <w:color w:val="000000"/>
                <w:kern w:val="0"/>
                <w:sz w:val="22"/>
                <w:szCs w:val="22"/>
                <w:lang w:eastAsia="zh-CN"/>
              </w:rPr>
              <w:t>)</w:t>
            </w:r>
          </w:p>
        </w:tc>
        <w:tc>
          <w:tcPr>
            <w:tcW w:w="254"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159.70</w:t>
            </w:r>
          </w:p>
        </w:tc>
      </w:tr>
      <w:tr w:rsidR="000C7639" w:rsidRPr="006C1ECF" w:rsidTr="000C7639">
        <w:trPr>
          <w:trHeight w:val="300"/>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calc0</w:t>
            </w:r>
          </w:p>
        </w:tc>
        <w:tc>
          <w:tcPr>
            <w:tcW w:w="254"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2.45</w:t>
            </w:r>
          </w:p>
        </w:tc>
      </w:tr>
      <w:tr w:rsidR="000C7639" w:rsidRPr="006C1ECF" w:rsidTr="000C7639">
        <w:trPr>
          <w:trHeight w:val="300"/>
        </w:trPr>
        <w:tc>
          <w:tcPr>
            <w:tcW w:w="3500" w:type="dxa"/>
            <w:tcBorders>
              <w:top w:val="nil"/>
              <w:left w:val="single" w:sz="8" w:space="0" w:color="auto"/>
              <w:bottom w:val="single" w:sz="4"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calc1</w:t>
            </w:r>
          </w:p>
        </w:tc>
        <w:tc>
          <w:tcPr>
            <w:tcW w:w="254" w:type="dxa"/>
            <w:tcBorders>
              <w:top w:val="nil"/>
              <w:left w:val="nil"/>
              <w:bottom w:val="single" w:sz="4"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4.95</w:t>
            </w:r>
          </w:p>
        </w:tc>
      </w:tr>
      <w:tr w:rsidR="000C7639" w:rsidRPr="006C1ECF" w:rsidTr="000C7639">
        <w:trPr>
          <w:trHeight w:val="315"/>
        </w:trPr>
        <w:tc>
          <w:tcPr>
            <w:tcW w:w="3500" w:type="dxa"/>
            <w:tcBorders>
              <w:top w:val="nil"/>
              <w:left w:val="single" w:sz="8" w:space="0" w:color="auto"/>
              <w:bottom w:val="single" w:sz="8" w:space="0" w:color="auto"/>
              <w:right w:val="single" w:sz="4" w:space="0" w:color="auto"/>
            </w:tcBorders>
            <w:shd w:val="clear" w:color="auto" w:fill="auto"/>
            <w:noWrap/>
            <w:vAlign w:val="bottom"/>
            <w:hideMark/>
          </w:tcPr>
          <w:p w:rsidR="000C7639" w:rsidRPr="000C7639" w:rsidRDefault="000C7639" w:rsidP="000C7639">
            <w:pPr>
              <w:widowControl/>
              <w:rPr>
                <w:rFonts w:eastAsia="Times New Roman"/>
                <w:color w:val="000000"/>
                <w:kern w:val="0"/>
                <w:sz w:val="22"/>
                <w:szCs w:val="22"/>
                <w:lang w:eastAsia="zh-CN"/>
              </w:rPr>
            </w:pPr>
            <w:r w:rsidRPr="000C7639">
              <w:rPr>
                <w:rFonts w:eastAsia="Times New Roman"/>
                <w:color w:val="000000"/>
                <w:kern w:val="0"/>
                <w:sz w:val="22"/>
                <w:szCs w:val="22"/>
                <w:lang w:eastAsia="zh-CN"/>
              </w:rPr>
              <w:t>calc2</w:t>
            </w:r>
          </w:p>
        </w:tc>
        <w:tc>
          <w:tcPr>
            <w:tcW w:w="254" w:type="dxa"/>
            <w:tcBorders>
              <w:top w:val="nil"/>
              <w:left w:val="nil"/>
              <w:bottom w:val="single" w:sz="8" w:space="0" w:color="auto"/>
              <w:right w:val="single" w:sz="8" w:space="0" w:color="auto"/>
            </w:tcBorders>
            <w:shd w:val="clear" w:color="auto" w:fill="auto"/>
            <w:noWrap/>
            <w:vAlign w:val="bottom"/>
            <w:hideMark/>
          </w:tcPr>
          <w:p w:rsidR="000C7639" w:rsidRPr="000C7639" w:rsidRDefault="000C7639" w:rsidP="000C7639">
            <w:pPr>
              <w:widowControl/>
              <w:jc w:val="right"/>
              <w:rPr>
                <w:rFonts w:eastAsia="Times New Roman"/>
                <w:kern w:val="0"/>
                <w:sz w:val="20"/>
                <w:szCs w:val="20"/>
                <w:lang w:eastAsia="zh-CN"/>
              </w:rPr>
            </w:pPr>
            <w:r w:rsidRPr="000C7639">
              <w:rPr>
                <w:rFonts w:eastAsia="Times New Roman"/>
                <w:kern w:val="0"/>
                <w:sz w:val="20"/>
                <w:szCs w:val="20"/>
                <w:lang w:eastAsia="zh-CN"/>
              </w:rPr>
              <w:t>4.68</w:t>
            </w:r>
          </w:p>
        </w:tc>
      </w:tr>
    </w:tbl>
    <w:p w:rsidR="00A236D7" w:rsidRDefault="00A236D7" w:rsidP="007234F5">
      <w:pPr>
        <w:spacing w:line="480" w:lineRule="auto"/>
        <w:rPr>
          <w:b/>
          <w:color w:val="FF0000"/>
        </w:rPr>
      </w:pPr>
    </w:p>
    <w:p w:rsidR="00807EA1" w:rsidRPr="00807EA1" w:rsidRDefault="00807EA1" w:rsidP="007234F5">
      <w:pPr>
        <w:spacing w:line="480" w:lineRule="auto"/>
        <w:rPr>
          <w:b/>
        </w:rPr>
      </w:pPr>
      <w:r w:rsidRPr="00807EA1">
        <w:rPr>
          <w:b/>
        </w:rPr>
        <w:t>Source of data for Table 1 and Table 2 comes from IBM Company from April 21</w:t>
      </w:r>
      <w:r w:rsidRPr="00807EA1">
        <w:rPr>
          <w:b/>
          <w:vertAlign w:val="superscript"/>
        </w:rPr>
        <w:t>st</w:t>
      </w:r>
      <w:r w:rsidRPr="00807EA1">
        <w:rPr>
          <w:b/>
        </w:rPr>
        <w:t xml:space="preserve">. </w:t>
      </w:r>
    </w:p>
    <w:p w:rsidR="000C7639" w:rsidRPr="00AF2158" w:rsidRDefault="000C7639" w:rsidP="007234F5">
      <w:pPr>
        <w:spacing w:line="480" w:lineRule="auto"/>
        <w:rPr>
          <w:b/>
          <w:color w:val="FF0000"/>
        </w:rPr>
      </w:pPr>
    </w:p>
    <w:p w:rsidR="00684F0A" w:rsidRDefault="007234F5" w:rsidP="00684F0A">
      <w:pPr>
        <w:spacing w:line="480" w:lineRule="auto"/>
        <w:outlineLvl w:val="0"/>
        <w:rPr>
          <w:b/>
          <w:bCs/>
        </w:rPr>
      </w:pPr>
      <w:r>
        <w:rPr>
          <w:b/>
        </w:rPr>
        <w:t>4</w:t>
      </w:r>
      <w:r w:rsidR="003D2657">
        <w:rPr>
          <w:b/>
        </w:rPr>
        <w:t xml:space="preserve">. </w:t>
      </w:r>
      <w:r w:rsidR="00684F0A">
        <w:rPr>
          <w:b/>
          <w:bCs/>
        </w:rPr>
        <w:t xml:space="preserve"> Formulas for Implied Standard Deviation under Different Exercise Prices</w:t>
      </w:r>
    </w:p>
    <w:p w:rsidR="00684F0A" w:rsidRPr="008815DD" w:rsidRDefault="00684F0A" w:rsidP="00684F0A">
      <w:pPr>
        <w:pStyle w:val="BodyTextIndent"/>
        <w:tabs>
          <w:tab w:val="left" w:pos="8820"/>
        </w:tabs>
      </w:pPr>
      <w:r>
        <w:t xml:space="preserve">In this section we derive two formulas to estimate the ISD from call options with different exercise price.  The derived formulas can apply to a wide range of exercise prices that </w:t>
      </w:r>
      <w:r>
        <w:lastRenderedPageBreak/>
        <w:t xml:space="preserve">deviate from the underlying asset price. </w:t>
      </w:r>
      <w:r w:rsidRPr="008815DD">
        <w:t xml:space="preserve">The advantage </w:t>
      </w:r>
      <w:r>
        <w:t>from u</w:t>
      </w:r>
      <w:r w:rsidRPr="008815DD">
        <w:t>s</w:t>
      </w:r>
      <w:r>
        <w:t>ing</w:t>
      </w:r>
      <w:r w:rsidRPr="008815DD">
        <w:t xml:space="preserve"> </w:t>
      </w:r>
      <w:r>
        <w:t xml:space="preserve">options with </w:t>
      </w:r>
      <w:r w:rsidRPr="008815DD">
        <w:t>different exercise prices in this section is to obtain a no error’s first term in the expansion</w:t>
      </w:r>
      <w:r>
        <w:t xml:space="preserve">, thus, gives more accurate </w:t>
      </w:r>
      <w:r w:rsidRPr="008815DD">
        <w:t>formula</w:t>
      </w:r>
      <w:r>
        <w:t>s</w:t>
      </w:r>
      <w:r w:rsidRPr="008815DD">
        <w:t xml:space="preserve"> </w:t>
      </w:r>
      <w:r>
        <w:t xml:space="preserve">for </w:t>
      </w:r>
      <w:r w:rsidRPr="008815DD">
        <w:t xml:space="preserve">ISD. </w:t>
      </w:r>
      <w:r>
        <w:t xml:space="preserve"> </w:t>
      </w:r>
      <w:r w:rsidRPr="008815DD">
        <w:t xml:space="preserve">The first term in Taylor expansion usually provides the major component of the true function, the remaining terms </w:t>
      </w:r>
      <w:r>
        <w:t>provide correction</w:t>
      </w:r>
      <w:r w:rsidRPr="008815DD">
        <w:t xml:space="preserve"> to adjust and </w:t>
      </w:r>
      <w:r>
        <w:t xml:space="preserve">approximate </w:t>
      </w:r>
      <w:r w:rsidRPr="008815DD">
        <w:t xml:space="preserve">the true function. </w:t>
      </w:r>
      <w:r>
        <w:t xml:space="preserve"> </w:t>
      </w:r>
      <w:r w:rsidRPr="008815DD">
        <w:t>For example, if the call option value C</w:t>
      </w:r>
      <w:r w:rsidRPr="008815DD">
        <w:rPr>
          <w:vertAlign w:val="subscript"/>
        </w:rPr>
        <w:t>1</w:t>
      </w:r>
      <w:r w:rsidRPr="008815DD">
        <w:t xml:space="preserve"> </w:t>
      </w:r>
      <w:r>
        <w:t xml:space="preserve">with </w:t>
      </w:r>
      <w:r w:rsidRPr="008815DD">
        <w:t xml:space="preserve">exercise </w:t>
      </w:r>
      <w:r>
        <w:t xml:space="preserve">price </w:t>
      </w:r>
      <w:r w:rsidRPr="008815DD">
        <w:t>E</w:t>
      </w:r>
      <w:r w:rsidRPr="008815DD">
        <w:rPr>
          <w:vertAlign w:val="subscript"/>
        </w:rPr>
        <w:t xml:space="preserve">1 </w:t>
      </w:r>
      <w:r w:rsidRPr="008815DD">
        <w:t>is expanded at the exercise price E</w:t>
      </w:r>
      <w:r w:rsidRPr="008815DD">
        <w:rPr>
          <w:vertAlign w:val="subscript"/>
        </w:rPr>
        <w:t>2</w:t>
      </w:r>
      <w:r w:rsidRPr="008815DD">
        <w:t xml:space="preserve">, the first term of the Taylor </w:t>
      </w:r>
      <w:r>
        <w:t xml:space="preserve">series </w:t>
      </w:r>
      <w:r w:rsidRPr="008815DD">
        <w:t>expansion is the given option value C</w:t>
      </w:r>
      <w:r w:rsidRPr="008815DD">
        <w:rPr>
          <w:vertAlign w:val="subscript"/>
        </w:rPr>
        <w:t>2</w:t>
      </w:r>
      <w:r w:rsidRPr="008815DD">
        <w:t xml:space="preserve"> on E</w:t>
      </w:r>
      <w:r w:rsidRPr="008815DD">
        <w:rPr>
          <w:vertAlign w:val="subscript"/>
        </w:rPr>
        <w:t>2</w:t>
      </w:r>
      <w:r w:rsidRPr="008815DD">
        <w:t xml:space="preserve">. </w:t>
      </w:r>
      <w:r>
        <w:t xml:space="preserve"> </w:t>
      </w:r>
      <w:r w:rsidRPr="008815DD">
        <w:t>Similarly, the first term of the Taylor expansion on option value C</w:t>
      </w:r>
      <w:r w:rsidRPr="008815DD">
        <w:rPr>
          <w:vertAlign w:val="subscript"/>
        </w:rPr>
        <w:t>2</w:t>
      </w:r>
      <w:r w:rsidRPr="008815DD">
        <w:t xml:space="preserve"> on E</w:t>
      </w:r>
      <w:r w:rsidRPr="008815DD">
        <w:rPr>
          <w:vertAlign w:val="subscript"/>
        </w:rPr>
        <w:t>2</w:t>
      </w:r>
      <w:r w:rsidRPr="008815DD">
        <w:t xml:space="preserve"> at exercise price E</w:t>
      </w:r>
      <w:r w:rsidRPr="008815DD">
        <w:rPr>
          <w:vertAlign w:val="subscript"/>
        </w:rPr>
        <w:t>1</w:t>
      </w:r>
      <w:r w:rsidRPr="008815DD">
        <w:t xml:space="preserve"> is C</w:t>
      </w:r>
      <w:r w:rsidRPr="008815DD">
        <w:rPr>
          <w:vertAlign w:val="subscript"/>
        </w:rPr>
        <w:t>1</w:t>
      </w:r>
      <w:r w:rsidRPr="008815DD">
        <w:t>.  Since both C</w:t>
      </w:r>
      <w:r w:rsidRPr="008815DD">
        <w:rPr>
          <w:vertAlign w:val="subscript"/>
        </w:rPr>
        <w:t>1</w:t>
      </w:r>
      <w:r w:rsidRPr="008815DD">
        <w:t xml:space="preserve"> and C</w:t>
      </w:r>
      <w:r w:rsidRPr="008815DD">
        <w:rPr>
          <w:vertAlign w:val="subscript"/>
        </w:rPr>
        <w:t>2</w:t>
      </w:r>
      <w:r w:rsidRPr="008815DD">
        <w:t xml:space="preserve"> are given, there is no need to expand the first terms again. </w:t>
      </w:r>
    </w:p>
    <w:p w:rsidR="00684F0A" w:rsidRDefault="00684F0A" w:rsidP="00684F0A">
      <w:pPr>
        <w:pStyle w:val="BodyTextIndent"/>
        <w:tabs>
          <w:tab w:val="left" w:pos="8820"/>
        </w:tabs>
        <w:rPr>
          <w:vertAlign w:val="subscript"/>
        </w:rPr>
      </w:pPr>
      <w:r>
        <w:t>Consider two call options C</w:t>
      </w:r>
      <w:r>
        <w:rPr>
          <w:vertAlign w:val="subscript"/>
        </w:rPr>
        <w:t>1</w:t>
      </w:r>
      <w:r>
        <w:t xml:space="preserve"> and C</w:t>
      </w:r>
      <w:r>
        <w:rPr>
          <w:vertAlign w:val="subscript"/>
        </w:rPr>
        <w:t>2</w:t>
      </w:r>
      <w:r>
        <w:t xml:space="preserve"> on the same time to the maturity with prices of E</w:t>
      </w:r>
      <w:r>
        <w:rPr>
          <w:vertAlign w:val="subscript"/>
        </w:rPr>
        <w:t>1</w:t>
      </w:r>
      <w:r>
        <w:t xml:space="preserve"> and E</w:t>
      </w:r>
      <w:r>
        <w:rPr>
          <w:vertAlign w:val="subscript"/>
        </w:rPr>
        <w:t xml:space="preserve">2 </w:t>
      </w:r>
      <w:r>
        <w:t>(where E</w:t>
      </w:r>
      <w:r>
        <w:rPr>
          <w:vertAlign w:val="subscript"/>
        </w:rPr>
        <w:t xml:space="preserve">1 </w:t>
      </w:r>
      <w:r>
        <w:t>&lt; E</w:t>
      </w:r>
      <w:r>
        <w:rPr>
          <w:vertAlign w:val="subscript"/>
        </w:rPr>
        <w:t>2</w:t>
      </w:r>
      <w:r>
        <w:t xml:space="preserve"> ), their present value are K</w:t>
      </w:r>
      <w:r>
        <w:rPr>
          <w:vertAlign w:val="subscript"/>
        </w:rPr>
        <w:t>1</w:t>
      </w:r>
      <w:r>
        <w:t>, and K</w:t>
      </w:r>
      <w:r>
        <w:rPr>
          <w:vertAlign w:val="subscript"/>
        </w:rPr>
        <w:t>2</w:t>
      </w:r>
      <w:r>
        <w:t>, respectively</w:t>
      </w:r>
      <w:r>
        <w:rPr>
          <w:vertAlign w:val="subscript"/>
        </w:rPr>
        <w:t>.</w:t>
      </w:r>
      <w:r>
        <w:t xml:space="preserve">  Appl</w:t>
      </w:r>
      <w:r w:rsidR="00B1484D">
        <w:t>ying Taylor’s expansion to (4.4</w:t>
      </w:r>
      <w:r>
        <w:t>) at K</w:t>
      </w:r>
      <w:r>
        <w:rPr>
          <w:vertAlign w:val="subscript"/>
        </w:rPr>
        <w:t>2</w:t>
      </w:r>
      <w:r>
        <w:t xml:space="preserve"> for C</w:t>
      </w:r>
      <w:r>
        <w:rPr>
          <w:vertAlign w:val="subscript"/>
        </w:rPr>
        <w:t>1</w:t>
      </w:r>
      <w:r>
        <w:t xml:space="preserve"> and at K</w:t>
      </w:r>
      <w:r>
        <w:rPr>
          <w:vertAlign w:val="subscript"/>
        </w:rPr>
        <w:t>1</w:t>
      </w:r>
      <w:r>
        <w:t xml:space="preserve"> for C</w:t>
      </w:r>
      <w:r>
        <w:rPr>
          <w:vertAlign w:val="subscript"/>
        </w:rPr>
        <w:t>2</w:t>
      </w:r>
      <w:r>
        <w:t xml:space="preserve"> respectively yield,</w:t>
      </w:r>
    </w:p>
    <w:p w:rsidR="00684F0A" w:rsidRDefault="00684F0A" w:rsidP="00684F0A">
      <w:pPr>
        <w:spacing w:line="480" w:lineRule="auto"/>
        <w:ind w:firstLine="720"/>
        <w:rPr>
          <w:b/>
          <w:bCs/>
          <w:sz w:val="20"/>
          <w:szCs w:val="20"/>
        </w:rPr>
      </w:pPr>
      <w:r w:rsidRPr="00A656B2">
        <w:rPr>
          <w:b/>
          <w:bCs/>
          <w:position w:val="-10"/>
        </w:rPr>
        <w:object w:dxaOrig="5480" w:dyaOrig="380">
          <v:shape id="_x0000_i1060" type="#_x0000_t75" style="width:273.75pt;height:21.75pt" o:ole="" fillcolor="window">
            <v:imagedata r:id="rId73" o:title=""/>
          </v:shape>
          <o:OLEObject Type="Embed" ProgID="Equation.DSMT4" ShapeID="_x0000_i1060" DrawAspect="Content" ObjectID="_1520259996" r:id="rId74"/>
        </w:object>
      </w:r>
      <w:r>
        <w:rPr>
          <w:b/>
          <w:bCs/>
          <w:sz w:val="20"/>
          <w:szCs w:val="20"/>
        </w:rPr>
        <w:t>,</w:t>
      </w:r>
      <w:r>
        <w:rPr>
          <w:b/>
          <w:bCs/>
          <w:sz w:val="20"/>
          <w:szCs w:val="20"/>
        </w:rPr>
        <w:tab/>
      </w:r>
      <w:r>
        <w:rPr>
          <w:b/>
          <w:bCs/>
          <w:sz w:val="20"/>
          <w:szCs w:val="20"/>
        </w:rPr>
        <w:tab/>
      </w:r>
      <w:r>
        <w:rPr>
          <w:b/>
          <w:bCs/>
          <w:sz w:val="20"/>
          <w:szCs w:val="20"/>
        </w:rPr>
        <w:tab/>
      </w:r>
      <w:r>
        <w:rPr>
          <w:b/>
          <w:bCs/>
          <w:sz w:val="20"/>
          <w:szCs w:val="20"/>
        </w:rPr>
        <w:tab/>
      </w:r>
      <w:r w:rsidR="007F0B5A">
        <w:t>(4</w:t>
      </w:r>
      <w:r w:rsidR="00B1484D">
        <w:t>.1</w:t>
      </w:r>
      <w:r w:rsidR="00A236D7">
        <w:t>8</w:t>
      </w:r>
      <w:r>
        <w:t>)</w:t>
      </w:r>
    </w:p>
    <w:p w:rsidR="00684F0A" w:rsidRDefault="00684F0A" w:rsidP="00684F0A">
      <w:pPr>
        <w:spacing w:line="480" w:lineRule="auto"/>
        <w:ind w:firstLine="720"/>
        <w:rPr>
          <w:b/>
          <w:bCs/>
          <w:sz w:val="20"/>
          <w:szCs w:val="20"/>
        </w:rPr>
      </w:pPr>
      <w:r w:rsidRPr="00F03825">
        <w:rPr>
          <w:b/>
          <w:bCs/>
          <w:position w:val="-10"/>
        </w:rPr>
        <w:object w:dxaOrig="5480" w:dyaOrig="380">
          <v:shape id="_x0000_i1061" type="#_x0000_t75" style="width:273.75pt;height:21.75pt" o:ole="" fillcolor="window">
            <v:imagedata r:id="rId75" o:title=""/>
          </v:shape>
          <o:OLEObject Type="Embed" ProgID="Equation.DSMT4" ShapeID="_x0000_i1061" DrawAspect="Content" ObjectID="_1520259997" r:id="rId76"/>
        </w:object>
      </w:r>
      <w:r>
        <w:rPr>
          <w:b/>
          <w:bCs/>
          <w:sz w:val="20"/>
          <w:szCs w:val="20"/>
        </w:rPr>
        <w:t>.</w:t>
      </w:r>
      <w:r>
        <w:rPr>
          <w:b/>
          <w:bCs/>
          <w:sz w:val="20"/>
          <w:szCs w:val="20"/>
        </w:rPr>
        <w:tab/>
      </w:r>
      <w:r>
        <w:rPr>
          <w:b/>
          <w:bCs/>
          <w:sz w:val="20"/>
          <w:szCs w:val="20"/>
        </w:rPr>
        <w:tab/>
      </w:r>
      <w:r>
        <w:rPr>
          <w:b/>
          <w:bCs/>
          <w:sz w:val="20"/>
          <w:szCs w:val="20"/>
        </w:rPr>
        <w:tab/>
      </w:r>
      <w:r>
        <w:rPr>
          <w:b/>
          <w:bCs/>
          <w:sz w:val="20"/>
          <w:szCs w:val="20"/>
        </w:rPr>
        <w:tab/>
      </w:r>
      <w:r w:rsidR="00A236D7">
        <w:t>(4.19</w:t>
      </w:r>
      <w:r>
        <w:t>)</w:t>
      </w:r>
    </w:p>
    <w:p w:rsidR="00684F0A" w:rsidRDefault="00684F0A" w:rsidP="00684F0A">
      <w:pPr>
        <w:spacing w:line="480" w:lineRule="auto"/>
      </w:pPr>
      <w:r>
        <w:t xml:space="preserve">Here </w:t>
      </w:r>
      <w:r>
        <w:sym w:font="Symbol" w:char="F065"/>
      </w:r>
      <w:r>
        <w:rPr>
          <w:vertAlign w:val="subscript"/>
        </w:rPr>
        <w:t>1</w:t>
      </w:r>
      <w:r>
        <w:t xml:space="preserve"> and </w:t>
      </w:r>
      <w:r>
        <w:sym w:font="Symbol" w:char="F065"/>
      </w:r>
      <w:r>
        <w:rPr>
          <w:vertAlign w:val="subscript"/>
        </w:rPr>
        <w:t>2</w:t>
      </w:r>
      <w:r>
        <w:t xml:space="preserve"> are the remainder terms of C</w:t>
      </w:r>
      <w:r>
        <w:rPr>
          <w:vertAlign w:val="subscript"/>
        </w:rPr>
        <w:t>1</w:t>
      </w:r>
      <w:r>
        <w:t xml:space="preserve"> at K</w:t>
      </w:r>
      <w:r>
        <w:rPr>
          <w:vertAlign w:val="subscript"/>
        </w:rPr>
        <w:t>2</w:t>
      </w:r>
      <w:r>
        <w:t xml:space="preserve"> and C</w:t>
      </w:r>
      <w:r>
        <w:rPr>
          <w:vertAlign w:val="subscript"/>
        </w:rPr>
        <w:t>2</w:t>
      </w:r>
      <w:r>
        <w:t xml:space="preserve"> at K</w:t>
      </w:r>
      <w:r>
        <w:rPr>
          <w:vertAlign w:val="subscript"/>
        </w:rPr>
        <w:t>1</w:t>
      </w:r>
      <w:r w:rsidR="00B1484D">
        <w:t xml:space="preserve"> from (4.4</w:t>
      </w:r>
      <w:r>
        <w:t>).  Dividin</w:t>
      </w:r>
      <w:r w:rsidR="00A236D7">
        <w:t>g both sides of equations (4.18) and (4.19</w:t>
      </w:r>
      <w:r>
        <w:t>) by (K</w:t>
      </w:r>
      <w:r>
        <w:rPr>
          <w:vertAlign w:val="subscript"/>
        </w:rPr>
        <w:t>2</w:t>
      </w:r>
      <w:r>
        <w:t>-K</w:t>
      </w:r>
      <w:r>
        <w:rPr>
          <w:vertAlign w:val="subscript"/>
        </w:rPr>
        <w:t>1</w:t>
      </w:r>
      <w:r>
        <w:t>) and simple manipulations produce the same left hand side of (C</w:t>
      </w:r>
      <w:r>
        <w:rPr>
          <w:vertAlign w:val="subscript"/>
        </w:rPr>
        <w:t>1</w:t>
      </w:r>
      <w:r>
        <w:t>-C</w:t>
      </w:r>
      <w:r>
        <w:rPr>
          <w:vertAlign w:val="subscript"/>
        </w:rPr>
        <w:t>2</w:t>
      </w:r>
      <w:r>
        <w:t>)/(K</w:t>
      </w:r>
      <w:r>
        <w:rPr>
          <w:vertAlign w:val="subscript"/>
        </w:rPr>
        <w:t>2</w:t>
      </w:r>
      <w:r>
        <w:t>-K</w:t>
      </w:r>
      <w:r>
        <w:rPr>
          <w:vertAlign w:val="subscript"/>
        </w:rPr>
        <w:t>1</w:t>
      </w:r>
      <w:r>
        <w:t xml:space="preserve">).  Then applying the inverse function of cumulative normal function on both sides and after using the Taylor’s formula yields the following equations </w:t>
      </w:r>
    </w:p>
    <w:p w:rsidR="00684F0A" w:rsidRDefault="00684F0A" w:rsidP="00684F0A">
      <w:pPr>
        <w:spacing w:line="480" w:lineRule="auto"/>
        <w:ind w:firstLine="720"/>
      </w:pPr>
      <w:r w:rsidRPr="00F03825">
        <w:rPr>
          <w:b/>
          <w:bCs/>
          <w:position w:val="-10"/>
        </w:rPr>
        <w:object w:dxaOrig="5880" w:dyaOrig="380">
          <v:shape id="_x0000_i1062" type="#_x0000_t75" style="width:295.5pt;height:21.75pt" o:ole="" fillcolor="window">
            <v:imagedata r:id="rId77" o:title=""/>
          </v:shape>
          <o:OLEObject Type="Embed" ProgID="Equation.DSMT4" ShapeID="_x0000_i1062" DrawAspect="Content" ObjectID="_1520259998" r:id="rId78"/>
        </w:object>
      </w:r>
      <w:r>
        <w:rPr>
          <w:b/>
          <w:bCs/>
          <w:sz w:val="20"/>
          <w:szCs w:val="20"/>
        </w:rPr>
        <w:t>,</w:t>
      </w:r>
      <w:r>
        <w:rPr>
          <w:b/>
          <w:bCs/>
          <w:sz w:val="20"/>
          <w:szCs w:val="20"/>
        </w:rPr>
        <w:tab/>
      </w:r>
      <w:r>
        <w:rPr>
          <w:b/>
          <w:bCs/>
          <w:sz w:val="20"/>
          <w:szCs w:val="20"/>
        </w:rPr>
        <w:tab/>
      </w:r>
      <w:r>
        <w:rPr>
          <w:b/>
          <w:bCs/>
          <w:sz w:val="20"/>
          <w:szCs w:val="20"/>
        </w:rPr>
        <w:tab/>
      </w:r>
      <w:r w:rsidR="00A236D7">
        <w:t>(4.20</w:t>
      </w:r>
      <w:r>
        <w:t>)</w:t>
      </w:r>
    </w:p>
    <w:p w:rsidR="00684F0A" w:rsidRDefault="00684F0A" w:rsidP="00684F0A">
      <w:pPr>
        <w:spacing w:line="480" w:lineRule="auto"/>
        <w:ind w:firstLine="720"/>
        <w:rPr>
          <w:b/>
          <w:bCs/>
          <w:sz w:val="20"/>
          <w:szCs w:val="20"/>
        </w:rPr>
      </w:pPr>
    </w:p>
    <w:p w:rsidR="00684F0A" w:rsidRDefault="00684F0A" w:rsidP="00684F0A">
      <w:pPr>
        <w:spacing w:line="480" w:lineRule="auto"/>
        <w:ind w:firstLine="720"/>
        <w:rPr>
          <w:b/>
          <w:bCs/>
          <w:sz w:val="20"/>
          <w:szCs w:val="20"/>
        </w:rPr>
      </w:pPr>
      <w:r w:rsidRPr="00F03825">
        <w:rPr>
          <w:b/>
          <w:bCs/>
          <w:position w:val="-10"/>
        </w:rPr>
        <w:object w:dxaOrig="5940" w:dyaOrig="380">
          <v:shape id="_x0000_i1063" type="#_x0000_t75" style="width:295.5pt;height:21.75pt" o:ole="" fillcolor="window">
            <v:imagedata r:id="rId79" o:title=""/>
          </v:shape>
          <o:OLEObject Type="Embed" ProgID="Equation.DSMT4" ShapeID="_x0000_i1063" DrawAspect="Content" ObjectID="_1520259999" r:id="rId80"/>
        </w:object>
      </w:r>
      <w:r w:rsidR="00C56419">
        <w:rPr>
          <w:noProof/>
          <w:lang w:eastAsia="en-US"/>
        </w:rPr>
        <w:pict>
          <v:shape id="_x0000_s1026" type="#_x0000_t75" style="position:absolute;left:0;text-align:left;margin-left:22.05pt;margin-top:-53.8pt;width:9pt;height:17pt;z-index:251659264;mso-position-horizontal-relative:text;mso-position-vertical-relative:text" o:allowincell="f">
            <v:imagedata r:id="rId81" o:title=""/>
            <w10:wrap type="topAndBottom"/>
          </v:shape>
          <o:OLEObject Type="Embed" ProgID="Equation.DSMT4" ShapeID="_x0000_s1026" DrawAspect="Content" ObjectID="_1520260052" r:id="rId82"/>
        </w:pict>
      </w:r>
      <w:r>
        <w:rPr>
          <w:b/>
          <w:bCs/>
          <w:sz w:val="20"/>
          <w:szCs w:val="20"/>
        </w:rPr>
        <w:t>,</w:t>
      </w:r>
      <w:r>
        <w:rPr>
          <w:b/>
          <w:bCs/>
          <w:sz w:val="20"/>
          <w:szCs w:val="20"/>
        </w:rPr>
        <w:tab/>
      </w:r>
      <w:r>
        <w:rPr>
          <w:b/>
          <w:bCs/>
          <w:sz w:val="20"/>
          <w:szCs w:val="20"/>
        </w:rPr>
        <w:tab/>
      </w:r>
      <w:r>
        <w:rPr>
          <w:b/>
          <w:bCs/>
          <w:sz w:val="20"/>
          <w:szCs w:val="20"/>
        </w:rPr>
        <w:tab/>
      </w:r>
      <w:r w:rsidR="007F0B5A">
        <w:t>(4</w:t>
      </w:r>
      <w:r w:rsidR="00B1484D">
        <w:t>.</w:t>
      </w:r>
      <w:r w:rsidR="007F0B5A">
        <w:t>2</w:t>
      </w:r>
      <w:r w:rsidR="00A236D7">
        <w:t>1</w:t>
      </w:r>
      <w:r>
        <w:t>)</w:t>
      </w:r>
    </w:p>
    <w:p w:rsidR="00684F0A" w:rsidRDefault="00684F0A" w:rsidP="00684F0A">
      <w:pPr>
        <w:spacing w:line="480" w:lineRule="auto"/>
      </w:pPr>
      <w:r>
        <w:t xml:space="preserve">where </w:t>
      </w:r>
      <w:r>
        <w:sym w:font="Symbol" w:char="F068"/>
      </w:r>
      <w:r>
        <w:rPr>
          <w:vertAlign w:val="subscript"/>
        </w:rPr>
        <w:t>1</w:t>
      </w:r>
      <w:r>
        <w:t xml:space="preserve"> and </w:t>
      </w:r>
      <w:r>
        <w:sym w:font="Symbol" w:char="F068"/>
      </w:r>
      <w:r>
        <w:rPr>
          <w:vertAlign w:val="subscript"/>
        </w:rPr>
        <w:t>2</w:t>
      </w:r>
      <w:r>
        <w:t xml:space="preserve"> are the remainder terms of Taylo</w:t>
      </w:r>
      <w:r w:rsidR="00A236D7">
        <w:t>r’s formulas derived from (4.18</w:t>
      </w:r>
      <w:r w:rsidR="00B1484D">
        <w:t>) and (</w:t>
      </w:r>
      <w:r w:rsidR="00A236D7">
        <w:t>4.19</w:t>
      </w:r>
      <w:r>
        <w:t xml:space="preserve">) </w:t>
      </w:r>
      <w:r>
        <w:lastRenderedPageBreak/>
        <w:t>respectively. After dropping the remainder terms, ISD solved individu</w:t>
      </w:r>
      <w:r w:rsidR="00A236D7">
        <w:t>ally from either equation (4.20</w:t>
      </w:r>
      <w:r w:rsidR="007F0B5A">
        <w:t>) or (4.2</w:t>
      </w:r>
      <w:r w:rsidR="00A236D7">
        <w:t>1</w:t>
      </w:r>
      <w:r>
        <w:t xml:space="preserve">) could be more volatile than that solved simultaneously with both equations. </w:t>
      </w:r>
      <w:r w:rsidRPr="008815DD">
        <w:t xml:space="preserve">Combining equations </w:t>
      </w:r>
      <w:r w:rsidR="00B1484D">
        <w:t>(</w:t>
      </w:r>
      <w:r w:rsidR="007F0B5A">
        <w:t>4.</w:t>
      </w:r>
      <w:r w:rsidR="00A236D7">
        <w:t>20</w:t>
      </w:r>
      <w:r w:rsidRPr="008815DD">
        <w:t xml:space="preserve">and </w:t>
      </w:r>
      <w:r w:rsidR="00B1484D">
        <w:t>(</w:t>
      </w:r>
      <w:r w:rsidR="007F0B5A">
        <w:t>4.2</w:t>
      </w:r>
      <w:r w:rsidR="00A236D7">
        <w:t>1</w:t>
      </w:r>
      <w:r>
        <w:t>)</w:t>
      </w:r>
      <w:r w:rsidRPr="008815DD">
        <w:t xml:space="preserve"> could </w:t>
      </w:r>
      <w:r>
        <w:t>cause</w:t>
      </w:r>
      <w:r w:rsidRPr="008815DD">
        <w:t xml:space="preserve"> the effects of remainder term (</w:t>
      </w:r>
      <w:r w:rsidRPr="008815DD">
        <w:sym w:font="Symbol" w:char="F068"/>
      </w:r>
      <w:r w:rsidRPr="008815DD">
        <w:rPr>
          <w:vertAlign w:val="subscript"/>
        </w:rPr>
        <w:t xml:space="preserve">1 </w:t>
      </w:r>
      <w:r w:rsidRPr="008815DD">
        <w:t xml:space="preserve">+ </w:t>
      </w:r>
      <w:r w:rsidRPr="008815DD">
        <w:sym w:font="Symbol" w:char="F068"/>
      </w:r>
      <w:r w:rsidRPr="008815DD">
        <w:rPr>
          <w:vertAlign w:val="subscript"/>
        </w:rPr>
        <w:t>2</w:t>
      </w:r>
      <w:r w:rsidRPr="008815DD">
        <w:t xml:space="preserve">) </w:t>
      </w:r>
      <w:r>
        <w:t>to</w:t>
      </w:r>
      <w:r w:rsidRPr="008815DD">
        <w:t xml:space="preserve"> partially offset and </w:t>
      </w:r>
      <w:r>
        <w:t xml:space="preserve">thus, </w:t>
      </w:r>
      <w:r w:rsidRPr="008815DD">
        <w:t>reduce the</w:t>
      </w:r>
      <w:r>
        <w:t>ir</w:t>
      </w:r>
      <w:r w:rsidRPr="008815DD">
        <w:t xml:space="preserve"> </w:t>
      </w:r>
      <w:r>
        <w:t>variability</w:t>
      </w:r>
      <w:r w:rsidRPr="008815DD">
        <w:t xml:space="preserve">. </w:t>
      </w:r>
      <w:r>
        <w:t xml:space="preserve"> </w:t>
      </w:r>
      <w:r w:rsidRPr="008815DD">
        <w:t>Dropping the remainder term (</w:t>
      </w:r>
      <w:r w:rsidRPr="008815DD">
        <w:sym w:font="Symbol" w:char="F068"/>
      </w:r>
      <w:r w:rsidRPr="008815DD">
        <w:rPr>
          <w:vertAlign w:val="subscript"/>
        </w:rPr>
        <w:t>1</w:t>
      </w:r>
      <w:r w:rsidRPr="008815DD">
        <w:t xml:space="preserve"> + </w:t>
      </w:r>
      <w:r w:rsidRPr="008815DD">
        <w:sym w:font="Symbol" w:char="F068"/>
      </w:r>
      <w:r w:rsidRPr="008815DD">
        <w:rPr>
          <w:vertAlign w:val="subscript"/>
        </w:rPr>
        <w:t>2</w:t>
      </w:r>
      <w:r w:rsidRPr="008815DD">
        <w:t>),</w:t>
      </w:r>
      <w:r>
        <w:t xml:space="preserve"> a simple manipulation produces the following equation </w:t>
      </w:r>
    </w:p>
    <w:p w:rsidR="00684F0A" w:rsidRDefault="00684F0A" w:rsidP="00684F0A">
      <w:pPr>
        <w:spacing w:line="480" w:lineRule="auto"/>
      </w:pPr>
      <w:r>
        <w:tab/>
      </w:r>
      <w:r w:rsidRPr="005D1ED7">
        <w:rPr>
          <w:position w:val="-10"/>
        </w:rPr>
        <w:object w:dxaOrig="6399" w:dyaOrig="380">
          <v:shape id="_x0000_i1064" type="#_x0000_t75" style="width:315.75pt;height:21.75pt" o:ole="" fillcolor="window">
            <v:imagedata r:id="rId83" o:title=""/>
          </v:shape>
          <o:OLEObject Type="Embed" ProgID="Equation.DSMT4" ShapeID="_x0000_i1064" DrawAspect="Content" ObjectID="_1520260000" r:id="rId84"/>
        </w:object>
      </w:r>
      <w:r w:rsidR="00B1484D">
        <w:t>.</w:t>
      </w:r>
      <w:r w:rsidR="00B1484D">
        <w:tab/>
      </w:r>
      <w:r w:rsidR="00B1484D">
        <w:tab/>
      </w:r>
      <w:r w:rsidR="00B1484D">
        <w:tab/>
        <w:t>(</w:t>
      </w:r>
      <w:r w:rsidR="007F0B5A">
        <w:t>4.2</w:t>
      </w:r>
      <w:r w:rsidR="00A236D7">
        <w:t>2</w:t>
      </w:r>
      <w:r>
        <w:t>)</w:t>
      </w:r>
    </w:p>
    <w:p w:rsidR="00684F0A" w:rsidRDefault="00231198" w:rsidP="00684F0A">
      <w:pPr>
        <w:spacing w:line="480" w:lineRule="auto"/>
        <w:jc w:val="both"/>
      </w:pPr>
      <w:r>
        <w:t>Equation (</w:t>
      </w:r>
      <w:r w:rsidR="008C0537">
        <w:t>4.2</w:t>
      </w:r>
      <w:r w:rsidR="00453FDE">
        <w:t>2</w:t>
      </w:r>
      <w:r w:rsidR="00684F0A">
        <w:t xml:space="preserve">) is a quadratic equation of the ISD and thus can be solved as, </w:t>
      </w:r>
    </w:p>
    <w:p w:rsidR="00684F0A" w:rsidRDefault="00684F0A" w:rsidP="00684F0A">
      <w:pPr>
        <w:spacing w:line="480" w:lineRule="auto"/>
        <w:ind w:firstLine="720"/>
      </w:pPr>
      <w:r w:rsidRPr="00C14C49">
        <w:rPr>
          <w:position w:val="-36"/>
        </w:rPr>
        <w:object w:dxaOrig="4740" w:dyaOrig="840">
          <v:shape id="_x0000_i1065" type="#_x0000_t75" style="width:237.75pt;height:43.5pt" o:ole="" fillcolor="window">
            <v:imagedata r:id="rId85" o:title=""/>
          </v:shape>
          <o:OLEObject Type="Embed" ProgID="Equation.DSMT4" ShapeID="_x0000_i1065" DrawAspect="Content" ObjectID="_1520260001" r:id="rId86"/>
        </w:object>
      </w:r>
      <w:r>
        <w:rPr>
          <w:position w:val="-32"/>
        </w:rPr>
        <w:tab/>
        <w:t>.</w:t>
      </w:r>
      <w:r>
        <w:rPr>
          <w:position w:val="-32"/>
        </w:rPr>
        <w:tab/>
      </w:r>
      <w:r>
        <w:rPr>
          <w:position w:val="-32"/>
        </w:rPr>
        <w:tab/>
      </w:r>
      <w:r>
        <w:rPr>
          <w:position w:val="-32"/>
        </w:rPr>
        <w:tab/>
      </w:r>
      <w:r>
        <w:rPr>
          <w:position w:val="-32"/>
        </w:rPr>
        <w:tab/>
      </w:r>
      <w:r w:rsidR="00B1484D">
        <w:t>(</w:t>
      </w:r>
      <w:r w:rsidR="007F0B5A">
        <w:t>4.2</w:t>
      </w:r>
      <w:r w:rsidR="00A236D7">
        <w:t>3</w:t>
      </w:r>
      <w:r>
        <w:t>)</w:t>
      </w:r>
    </w:p>
    <w:p w:rsidR="00684F0A" w:rsidRDefault="00684F0A" w:rsidP="00684F0A">
      <w:pPr>
        <w:spacing w:line="480" w:lineRule="auto"/>
        <w:ind w:firstLine="720"/>
      </w:pPr>
      <w:r>
        <w:t>There are two solution</w:t>
      </w:r>
      <w:r w:rsidR="00CF42DA">
        <w:t>s for the ISD in equation (</w:t>
      </w:r>
      <w:r w:rsidR="007F0B5A">
        <w:t>4.2</w:t>
      </w:r>
      <w:r w:rsidR="00453FDE">
        <w:t>2</w:t>
      </w:r>
      <w:r>
        <w:t>), yet the ISD must only take one of them.  It is clear that, if (C</w:t>
      </w:r>
      <w:r>
        <w:rPr>
          <w:vertAlign w:val="subscript"/>
        </w:rPr>
        <w:t>1</w:t>
      </w:r>
      <w:r>
        <w:t xml:space="preserve"> –C</w:t>
      </w:r>
      <w:r>
        <w:rPr>
          <w:vertAlign w:val="subscript"/>
        </w:rPr>
        <w:t>2</w:t>
      </w:r>
      <w:r>
        <w:t>)/(K</w:t>
      </w:r>
      <w:r>
        <w:rPr>
          <w:vertAlign w:val="subscript"/>
        </w:rPr>
        <w:t>2</w:t>
      </w:r>
      <w:r>
        <w:t xml:space="preserve"> –K</w:t>
      </w:r>
      <w:r>
        <w:rPr>
          <w:vertAlign w:val="subscript"/>
        </w:rPr>
        <w:t>1</w:t>
      </w:r>
      <w:r>
        <w:t xml:space="preserve">) </w:t>
      </w:r>
      <w:r>
        <w:rPr>
          <w:u w:val="words"/>
        </w:rPr>
        <w:t>&gt;</w:t>
      </w:r>
      <w:r>
        <w:t xml:space="preserve">1/2, the inverse of cumulative normal function on it must be non-negative.  Consequently, ISD must take the value with the </w:t>
      </w:r>
      <w:r w:rsidR="00CF42DA">
        <w:t>positive sign in equation (</w:t>
      </w:r>
      <w:r w:rsidR="007F0B5A">
        <w:t>4.2</w:t>
      </w:r>
      <w:r w:rsidR="00453FDE">
        <w:t>3</w:t>
      </w:r>
      <w:r>
        <w:t>), or else ISD will become a negative, which violates the positive requirement for ISD.  On the other hand, if (C</w:t>
      </w:r>
      <w:r>
        <w:rPr>
          <w:vertAlign w:val="subscript"/>
        </w:rPr>
        <w:t>1</w:t>
      </w:r>
      <w:r>
        <w:t xml:space="preserve"> –C</w:t>
      </w:r>
      <w:r>
        <w:rPr>
          <w:vertAlign w:val="subscript"/>
        </w:rPr>
        <w:t>2</w:t>
      </w:r>
      <w:r>
        <w:t>)/(K</w:t>
      </w:r>
      <w:r>
        <w:rPr>
          <w:vertAlign w:val="subscript"/>
        </w:rPr>
        <w:t>2</w:t>
      </w:r>
      <w:r>
        <w:t xml:space="preserve"> –K</w:t>
      </w:r>
      <w:r>
        <w:rPr>
          <w:vertAlign w:val="subscript"/>
        </w:rPr>
        <w:t>1</w:t>
      </w:r>
      <w:r>
        <w:t>) &lt;1/2 and K</w:t>
      </w:r>
      <w:r>
        <w:rPr>
          <w:vertAlign w:val="subscript"/>
        </w:rPr>
        <w:t>1</w:t>
      </w:r>
      <w:r>
        <w:t>&lt;S&lt;K</w:t>
      </w:r>
      <w:r>
        <w:rPr>
          <w:vertAlign w:val="subscript"/>
        </w:rPr>
        <w:t>2</w:t>
      </w:r>
      <w:r>
        <w:t xml:space="preserve">, the ISD must take the </w:t>
      </w:r>
      <w:r w:rsidR="00CF42DA">
        <w:t>positive sign in equation (</w:t>
      </w:r>
      <w:r w:rsidR="007F0B5A">
        <w:t>4.2</w:t>
      </w:r>
      <w:r w:rsidR="00453FDE">
        <w:t>3</w:t>
      </w:r>
      <w:r>
        <w:t>) too.  The negative sign only apply when S is less than K</w:t>
      </w:r>
      <w:r>
        <w:rPr>
          <w:vertAlign w:val="subscript"/>
        </w:rPr>
        <w:t>1</w:t>
      </w:r>
      <w:r>
        <w:t>.  It is clear that if stock price is less than the lower exercise K</w:t>
      </w:r>
      <w:r>
        <w:rPr>
          <w:vertAlign w:val="subscript"/>
        </w:rPr>
        <w:t>1</w:t>
      </w:r>
      <w:r>
        <w:t xml:space="preserve"> (i.e., then both call options are out-of-the-money) and if we had chosen the value with </w:t>
      </w:r>
      <w:r w:rsidR="00CF42DA">
        <w:t>the plus sign in equation (</w:t>
      </w:r>
      <w:r w:rsidR="007F0B5A">
        <w:t>4.2</w:t>
      </w:r>
      <w:r w:rsidR="00453FDE">
        <w:t>3</w:t>
      </w:r>
      <w:r>
        <w:t>), I</w:t>
      </w:r>
      <w:r w:rsidR="00CF42DA">
        <w:t>SD calculated by equation (</w:t>
      </w:r>
      <w:r w:rsidR="007F0B5A">
        <w:t>4.2</w:t>
      </w:r>
      <w:r w:rsidR="00453FDE">
        <w:t>3</w:t>
      </w:r>
      <w:r>
        <w:t xml:space="preserve">) will be overstated.  </w:t>
      </w:r>
    </w:p>
    <w:p w:rsidR="00684F0A" w:rsidRDefault="00684F0A" w:rsidP="00684F0A">
      <w:pPr>
        <w:spacing w:line="480" w:lineRule="auto"/>
        <w:ind w:firstLine="720"/>
      </w:pPr>
      <w:r>
        <w:t>Furthermore, if K</w:t>
      </w:r>
      <w:r>
        <w:rPr>
          <w:vertAlign w:val="subscript"/>
        </w:rPr>
        <w:t>2</w:t>
      </w:r>
      <w:r>
        <w:t xml:space="preserve"> approaches K</w:t>
      </w:r>
      <w:r>
        <w:rPr>
          <w:vertAlign w:val="subscript"/>
        </w:rPr>
        <w:t>1</w:t>
      </w:r>
      <w:r>
        <w:t>, then (C</w:t>
      </w:r>
      <w:r>
        <w:rPr>
          <w:vertAlign w:val="subscript"/>
        </w:rPr>
        <w:t>1</w:t>
      </w:r>
      <w:r>
        <w:t xml:space="preserve"> - C</w:t>
      </w:r>
      <w:r>
        <w:rPr>
          <w:vertAlign w:val="subscript"/>
        </w:rPr>
        <w:t>2</w:t>
      </w:r>
      <w:r>
        <w:t>)/(K</w:t>
      </w:r>
      <w:r>
        <w:rPr>
          <w:vertAlign w:val="subscript"/>
        </w:rPr>
        <w:t>2</w:t>
      </w:r>
      <w:r>
        <w:t xml:space="preserve"> - K</w:t>
      </w:r>
      <w:r>
        <w:rPr>
          <w:vertAlign w:val="subscript"/>
        </w:rPr>
        <w:t>1</w:t>
      </w:r>
      <w:r>
        <w:t xml:space="preserve">) in </w:t>
      </w:r>
      <w:r w:rsidR="00CF42DA">
        <w:t>equation (</w:t>
      </w:r>
      <w:r w:rsidR="007F0B5A">
        <w:t>4.2</w:t>
      </w:r>
      <w:r w:rsidR="00453FDE">
        <w:t>3</w:t>
      </w:r>
      <w:r>
        <w:t>) tends to -</w:t>
      </w:r>
      <w:r>
        <w:sym w:font="Symbol" w:char="F0B6"/>
      </w:r>
      <w:r>
        <w:t>C/</w:t>
      </w:r>
      <w:r>
        <w:sym w:font="Symbol" w:char="F0B6"/>
      </w:r>
      <w:r>
        <w:t>K and ln(S</w:t>
      </w:r>
      <w:r>
        <w:rPr>
          <w:vertAlign w:val="superscript"/>
        </w:rPr>
        <w:t>2</w:t>
      </w:r>
      <w:r>
        <w:t>/ K</w:t>
      </w:r>
      <w:r>
        <w:rPr>
          <w:vertAlign w:val="subscript"/>
        </w:rPr>
        <w:t>1</w:t>
      </w:r>
      <w:r>
        <w:t>K</w:t>
      </w:r>
      <w:r>
        <w:rPr>
          <w:vertAlign w:val="subscript"/>
        </w:rPr>
        <w:t>2</w:t>
      </w:r>
      <w:r>
        <w:t>) tends to zero. Given positive ISD, I</w:t>
      </w:r>
      <w:r w:rsidR="00CF42DA">
        <w:t>SD calculated by equation (</w:t>
      </w:r>
      <w:r w:rsidR="007F0B5A">
        <w:t>4.2</w:t>
      </w:r>
      <w:r w:rsidR="00453FDE">
        <w:t>3</w:t>
      </w:r>
      <w:r>
        <w:t>) must converge to –2N</w:t>
      </w:r>
      <w:r>
        <w:rPr>
          <w:vertAlign w:val="superscript"/>
        </w:rPr>
        <w:t>-1</w:t>
      </w:r>
      <w:r>
        <w:t>(-</w:t>
      </w:r>
      <w:r>
        <w:sym w:font="Symbol" w:char="F0B6"/>
      </w:r>
      <w:r>
        <w:t>C/</w:t>
      </w:r>
      <w:r>
        <w:sym w:font="Symbol" w:char="F0B6"/>
      </w:r>
      <w:r w:rsidR="00CF42DA">
        <w:t>K) (see equation (4.8</w:t>
      </w:r>
      <w:r>
        <w:t>)).  Convergence implies</w:t>
      </w:r>
      <w:r w:rsidR="00CF42DA">
        <w:t xml:space="preserve"> that the ISD in equation (</w:t>
      </w:r>
      <w:r w:rsidR="007F0B5A">
        <w:t>4.2</w:t>
      </w:r>
      <w:r w:rsidR="00453FDE">
        <w:t>3</w:t>
      </w:r>
      <w:r>
        <w:t>) must take the negative sign for the exercise prices.  Note</w:t>
      </w:r>
      <w:r w:rsidR="00CF42DA">
        <w:t xml:space="preserve"> that the ISD in equation (</w:t>
      </w:r>
      <w:r w:rsidR="007F0B5A">
        <w:t>4.2</w:t>
      </w:r>
      <w:r w:rsidR="00453FDE">
        <w:t>3</w:t>
      </w:r>
      <w:r>
        <w:t xml:space="preserve">) is not an exact solution because the remainder terms </w:t>
      </w:r>
      <w:r>
        <w:sym w:font="Symbol" w:char="F068"/>
      </w:r>
      <w:r>
        <w:rPr>
          <w:vertAlign w:val="subscript"/>
        </w:rPr>
        <w:t>1</w:t>
      </w:r>
      <w:r>
        <w:t xml:space="preserve"> and </w:t>
      </w:r>
      <w:r>
        <w:sym w:font="Symbol" w:char="F068"/>
      </w:r>
      <w:r>
        <w:rPr>
          <w:vertAlign w:val="subscript"/>
        </w:rPr>
        <w:t>2</w:t>
      </w:r>
      <w:r>
        <w:t xml:space="preserve"> were dropped out in t</w:t>
      </w:r>
      <w:r w:rsidR="00CF42DA">
        <w:t xml:space="preserve">he </w:t>
      </w:r>
      <w:r w:rsidR="00CF42DA">
        <w:lastRenderedPageBreak/>
        <w:t>derivation of equation (</w:t>
      </w:r>
      <w:r w:rsidR="007F0B5A">
        <w:t>4.2</w:t>
      </w:r>
      <w:r w:rsidR="00453FDE">
        <w:t>2</w:t>
      </w:r>
      <w:r>
        <w:t>).</w:t>
      </w:r>
    </w:p>
    <w:p w:rsidR="00684F0A" w:rsidRDefault="00CF42DA" w:rsidP="00684F0A">
      <w:pPr>
        <w:spacing w:line="480" w:lineRule="auto"/>
        <w:ind w:firstLine="720"/>
      </w:pPr>
      <w:r>
        <w:t>Equation (</w:t>
      </w:r>
      <w:r w:rsidR="007F0B5A">
        <w:t>4.2</w:t>
      </w:r>
      <w:r w:rsidR="00453FDE">
        <w:t>3</w:t>
      </w:r>
      <w:r w:rsidR="00684F0A">
        <w:t>) provides a formula to calculate the ISD.  All of the parameters on the rig</w:t>
      </w:r>
      <w:r>
        <w:t>ht hand sides of equation (</w:t>
      </w:r>
      <w:r w:rsidR="007F0B5A">
        <w:t>4.2</w:t>
      </w:r>
      <w:r w:rsidR="00453FDE">
        <w:t>3</w:t>
      </w:r>
      <w:r w:rsidR="00684F0A">
        <w:t xml:space="preserve">) are given. A merit of this formula is that a sufficient condition to </w:t>
      </w:r>
      <w:r>
        <w:t>calculate ISD by equation (</w:t>
      </w:r>
      <w:r w:rsidR="007F0B5A">
        <w:t>4.2</w:t>
      </w:r>
      <w:r w:rsidR="00453FDE">
        <w:t>3</w:t>
      </w:r>
      <w:r w:rsidR="00684F0A">
        <w:t>) only requires that there existed any two consecutive call option values with different exercise prices.   Although it may not always hold that the call option value at S=K, it is easier to obtain any consecutive two traded call option values and their exercise prices in practice</w:t>
      </w:r>
      <w:r>
        <w:t>. In particular, equation (</w:t>
      </w:r>
      <w:r w:rsidR="007F0B5A">
        <w:t>4.2</w:t>
      </w:r>
      <w:r w:rsidR="00453FDE">
        <w:t>3</w:t>
      </w:r>
      <w:r w:rsidR="00684F0A">
        <w:t xml:space="preserve">) is applicable to a wide range of exercise prices if their call options are observable.   Of course, its accuracy will depend on the magnitude of the deviation between these two exercise prices.  The closer are these two exercise prices, the lower is the remainder of the Taylor Formulas in equations </w:t>
      </w:r>
      <w:r>
        <w:t>(</w:t>
      </w:r>
      <w:r w:rsidR="007F0B5A">
        <w:t>4.1</w:t>
      </w:r>
      <w:r w:rsidR="00453FDE">
        <w:t>8</w:t>
      </w:r>
      <w:r>
        <w:t>) and (</w:t>
      </w:r>
      <w:r w:rsidR="007F0B5A">
        <w:t>4.1</w:t>
      </w:r>
      <w:r w:rsidR="00453FDE">
        <w:t>9</w:t>
      </w:r>
      <w:r w:rsidR="00684F0A">
        <w:t xml:space="preserve">).   Consequently, the </w:t>
      </w:r>
      <w:r>
        <w:t>ISD estimated by equation (</w:t>
      </w:r>
      <w:r w:rsidR="007F0B5A">
        <w:t>4.2</w:t>
      </w:r>
      <w:r w:rsidR="00453FDE">
        <w:t>3</w:t>
      </w:r>
      <w:r w:rsidR="00684F0A">
        <w:t xml:space="preserve">) is more accurate than in previous models.   </w:t>
      </w:r>
      <w:r w:rsidR="00684F0A" w:rsidRPr="008815DD">
        <w:t xml:space="preserve">In particular, both formulas by Corrado and Miller (1996) and by Li (2005) are only valid </w:t>
      </w:r>
      <w:r w:rsidR="00684F0A">
        <w:t xml:space="preserve">when calculated at </w:t>
      </w:r>
      <w:r w:rsidR="00684F0A" w:rsidRPr="008815DD">
        <w:t>near</w:t>
      </w:r>
      <w:r w:rsidR="00684F0A">
        <w:t xml:space="preserve"> </w:t>
      </w:r>
      <w:r w:rsidR="00684F0A" w:rsidRPr="008815DD">
        <w:t xml:space="preserve">at-the-money. </w:t>
      </w:r>
      <w:r w:rsidR="00684F0A">
        <w:t xml:space="preserve"> </w:t>
      </w:r>
      <w:r w:rsidR="00684F0A" w:rsidRPr="008815DD">
        <w:t>Out</w:t>
      </w:r>
      <w:r w:rsidR="00684F0A">
        <w:t xml:space="preserve">side </w:t>
      </w:r>
      <w:r w:rsidR="00684F0A" w:rsidRPr="008815DD">
        <w:t>th</w:t>
      </w:r>
      <w:r w:rsidR="00684F0A">
        <w:t>is</w:t>
      </w:r>
      <w:r w:rsidR="00684F0A" w:rsidRPr="008815DD">
        <w:t xml:space="preserve"> range, both formulas’ performance is poor </w:t>
      </w:r>
      <w:r w:rsidR="00684F0A">
        <w:t>if not</w:t>
      </w:r>
      <w:r w:rsidR="00684F0A" w:rsidRPr="008815DD">
        <w:t xml:space="preserve"> applicable. </w:t>
      </w:r>
      <w:r w:rsidR="00684F0A">
        <w:t xml:space="preserve"> </w:t>
      </w:r>
    </w:p>
    <w:p w:rsidR="00684F0A" w:rsidRDefault="009D2FE6" w:rsidP="00684F0A">
      <w:pPr>
        <w:spacing w:line="480" w:lineRule="auto"/>
        <w:ind w:firstLine="720"/>
      </w:pPr>
      <w:r>
        <w:t>Similar to equation (</w:t>
      </w:r>
      <w:r w:rsidR="007F0B5A">
        <w:t>4.2</w:t>
      </w:r>
      <w:r w:rsidR="00453FDE">
        <w:t>2</w:t>
      </w:r>
      <w:r w:rsidR="00684F0A">
        <w:t>), if there is a third call option C</w:t>
      </w:r>
      <w:r w:rsidR="00684F0A">
        <w:rPr>
          <w:vertAlign w:val="subscript"/>
        </w:rPr>
        <w:t>3</w:t>
      </w:r>
      <w:r w:rsidR="00684F0A">
        <w:t xml:space="preserve"> with the discounted exercise price K</w:t>
      </w:r>
      <w:r w:rsidR="00684F0A">
        <w:rPr>
          <w:vertAlign w:val="subscript"/>
        </w:rPr>
        <w:t>3</w:t>
      </w:r>
      <w:r w:rsidR="00684F0A">
        <w:t>, th</w:t>
      </w:r>
      <w:r>
        <w:t>en the following equation (</w:t>
      </w:r>
      <w:r w:rsidR="007F0B5A">
        <w:t>4.2</w:t>
      </w:r>
      <w:r w:rsidR="00453FDE">
        <w:t>4</w:t>
      </w:r>
      <w:r w:rsidR="00684F0A">
        <w:t>) must hold for K</w:t>
      </w:r>
      <w:r w:rsidR="00684F0A">
        <w:rPr>
          <w:vertAlign w:val="subscript"/>
        </w:rPr>
        <w:t>2</w:t>
      </w:r>
      <w:r w:rsidR="00684F0A">
        <w:t>, K</w:t>
      </w:r>
      <w:r w:rsidR="00684F0A">
        <w:rPr>
          <w:vertAlign w:val="subscript"/>
        </w:rPr>
        <w:t xml:space="preserve">3 </w:t>
      </w:r>
      <w:r w:rsidR="00684F0A">
        <w:t>and C</w:t>
      </w:r>
      <w:r w:rsidR="00684F0A">
        <w:rPr>
          <w:vertAlign w:val="subscript"/>
        </w:rPr>
        <w:t>2</w:t>
      </w:r>
      <w:r w:rsidR="00684F0A">
        <w:t>, C</w:t>
      </w:r>
      <w:r w:rsidR="00684F0A">
        <w:rPr>
          <w:vertAlign w:val="subscript"/>
        </w:rPr>
        <w:t>3.</w:t>
      </w:r>
    </w:p>
    <w:p w:rsidR="00684F0A" w:rsidRDefault="00684F0A" w:rsidP="00684F0A">
      <w:pPr>
        <w:spacing w:line="480" w:lineRule="auto"/>
        <w:ind w:firstLine="720"/>
      </w:pPr>
      <w:r w:rsidRPr="005D4775">
        <w:rPr>
          <w:position w:val="-12"/>
        </w:rPr>
        <w:object w:dxaOrig="6440" w:dyaOrig="400">
          <v:shape id="_x0000_i1066" type="#_x0000_t75" style="width:316.5pt;height:21.75pt" o:ole="" fillcolor="window">
            <v:imagedata r:id="rId87" o:title=""/>
          </v:shape>
          <o:OLEObject Type="Embed" ProgID="Equation.DSMT4" ShapeID="_x0000_i1066" DrawAspect="Content" ObjectID="_1520260002" r:id="rId88"/>
        </w:object>
      </w:r>
      <w:r w:rsidR="009D2FE6">
        <w:t>.</w:t>
      </w:r>
      <w:r w:rsidR="009D2FE6">
        <w:tab/>
      </w:r>
      <w:r w:rsidR="009D2FE6">
        <w:tab/>
        <w:t>(</w:t>
      </w:r>
      <w:r w:rsidR="007F0B5A">
        <w:t>4.2</w:t>
      </w:r>
      <w:r w:rsidR="00453FDE">
        <w:t>4</w:t>
      </w:r>
      <w:r>
        <w:t>)</w:t>
      </w:r>
    </w:p>
    <w:p w:rsidR="00684F0A" w:rsidRDefault="00684F0A" w:rsidP="00684F0A">
      <w:pPr>
        <w:pStyle w:val="BodyText2"/>
        <w:jc w:val="left"/>
      </w:pPr>
      <w:r>
        <w:t xml:space="preserve">            Given the constant variance assumption in Black and Scholes option mode</w:t>
      </w:r>
      <w:r w:rsidR="00453FDE">
        <w:t>l, the following equation (4.25</w:t>
      </w:r>
      <w:r>
        <w:t>) is thus derived</w:t>
      </w:r>
      <w:r w:rsidR="00453FDE">
        <w:t xml:space="preserve"> by subtracting equations (4.23) from (4.24</w:t>
      </w:r>
      <w:r>
        <w:t xml:space="preserve">). </w:t>
      </w:r>
    </w:p>
    <w:p w:rsidR="00684F0A" w:rsidRDefault="00684F0A" w:rsidP="00684F0A">
      <w:pPr>
        <w:spacing w:line="480" w:lineRule="auto"/>
        <w:ind w:firstLine="480"/>
      </w:pPr>
      <w:r w:rsidRPr="001722B5">
        <w:rPr>
          <w:position w:val="-12"/>
        </w:rPr>
        <w:object w:dxaOrig="7699" w:dyaOrig="400">
          <v:shape id="_x0000_i1067" type="#_x0000_t75" style="width:381.75pt;height:21.75pt" o:ole="" fillcolor="window">
            <v:imagedata r:id="rId89" o:title=""/>
          </v:shape>
          <o:OLEObject Type="Embed" ProgID="Equation.DSMT4" ShapeID="_x0000_i1067" DrawAspect="Content" ObjectID="_1520260003" r:id="rId90"/>
        </w:object>
      </w:r>
      <w:r w:rsidR="009D2FE6">
        <w:t>.</w:t>
      </w:r>
      <w:r w:rsidR="009D2FE6">
        <w:tab/>
        <w:t>(</w:t>
      </w:r>
      <w:r w:rsidR="007F0B5A">
        <w:t>4.2</w:t>
      </w:r>
      <w:r w:rsidR="00453FDE">
        <w:t>5</w:t>
      </w:r>
      <w:r>
        <w:t>)</w:t>
      </w:r>
    </w:p>
    <w:p w:rsidR="00025C5D" w:rsidRDefault="00684F0A" w:rsidP="00D778E8">
      <w:pPr>
        <w:spacing w:line="480" w:lineRule="auto"/>
        <w:ind w:firstLine="480"/>
      </w:pPr>
      <w:r>
        <w:t>An ad</w:t>
      </w:r>
      <w:r w:rsidR="009D2FE6">
        <w:t>vantage of using equation (</w:t>
      </w:r>
      <w:r w:rsidR="007F0B5A">
        <w:t>4.2</w:t>
      </w:r>
      <w:r w:rsidR="00453FDE">
        <w:t>5</w:t>
      </w:r>
      <w:r w:rsidR="009D2FE6">
        <w:t>) rather than equation (</w:t>
      </w:r>
      <w:r w:rsidR="007F0B5A">
        <w:t>4.2</w:t>
      </w:r>
      <w:r w:rsidR="00453FDE">
        <w:t>3</w:t>
      </w:r>
      <w:r>
        <w:t>) to estimate the ISD is to circumvent the sign issue</w:t>
      </w:r>
      <w:r w:rsidR="009D2FE6">
        <w:t xml:space="preserve"> that appears in equation (</w:t>
      </w:r>
      <w:r w:rsidR="007F0B5A">
        <w:t>4.2</w:t>
      </w:r>
      <w:r w:rsidR="00453FDE">
        <w:t>3</w:t>
      </w:r>
      <w:r>
        <w:t>).   However, a d</w:t>
      </w:r>
      <w:r w:rsidR="009D2FE6">
        <w:t>rawback of using equation (</w:t>
      </w:r>
      <w:r w:rsidR="007F0B5A">
        <w:t>4.2</w:t>
      </w:r>
      <w:r w:rsidR="00453FDE">
        <w:t>4</w:t>
      </w:r>
      <w:r>
        <w:t xml:space="preserve">) is that there must exist at least three instead of two </w:t>
      </w:r>
      <w:r w:rsidR="009D2FE6">
        <w:t>call options for equation (</w:t>
      </w:r>
      <w:r w:rsidR="007F0B5A">
        <w:t>4.2</w:t>
      </w:r>
      <w:r w:rsidR="00453FDE">
        <w:t>3</w:t>
      </w:r>
      <w:r>
        <w:t xml:space="preserve">).  </w:t>
      </w:r>
      <w:r w:rsidRPr="008815DD">
        <w:t xml:space="preserve">Equation </w:t>
      </w:r>
      <w:r w:rsidR="009D2FE6">
        <w:t>(</w:t>
      </w:r>
      <w:r w:rsidR="007F0B5A">
        <w:t>4.2</w:t>
      </w:r>
      <w:r w:rsidR="00453FDE">
        <w:t>5</w:t>
      </w:r>
      <w:r>
        <w:t>)</w:t>
      </w:r>
      <w:r w:rsidRPr="008815DD">
        <w:t xml:space="preserve"> provide a simple formula to calculate ISD because all options values and </w:t>
      </w:r>
      <w:r w:rsidRPr="008815DD">
        <w:lastRenderedPageBreak/>
        <w:t xml:space="preserve">exercises price are given and the inverse function of the standard cumulative normal function also available in the </w:t>
      </w:r>
      <w:r>
        <w:t xml:space="preserve">Excel </w:t>
      </w:r>
      <w:r w:rsidRPr="008815DD">
        <w:t xml:space="preserve">spreadsheet. </w:t>
      </w:r>
      <w:r>
        <w:t xml:space="preserve"> </w:t>
      </w:r>
      <w:r w:rsidRPr="008815DD">
        <w:t xml:space="preserve">Instead </w:t>
      </w:r>
      <w:r>
        <w:t xml:space="preserve">of </w:t>
      </w:r>
      <w:r w:rsidRPr="008815DD">
        <w:t>calculat</w:t>
      </w:r>
      <w:r>
        <w:t>ing</w:t>
      </w:r>
      <w:r w:rsidRPr="008815DD">
        <w:t xml:space="preserve"> a complex function of cosine and inverse cosine function in the formula </w:t>
      </w:r>
      <w:r>
        <w:t>in</w:t>
      </w:r>
      <w:r w:rsidRPr="008815DD">
        <w:t xml:space="preserve"> Li (2005), equation </w:t>
      </w:r>
      <w:r w:rsidR="009D2FE6">
        <w:t>(</w:t>
      </w:r>
      <w:r w:rsidR="007F0B5A">
        <w:t>4.2</w:t>
      </w:r>
      <w:r w:rsidR="00453FDE">
        <w:t>3</w:t>
      </w:r>
      <w:r>
        <w:t>)</w:t>
      </w:r>
      <w:r w:rsidRPr="008815DD">
        <w:t xml:space="preserve"> </w:t>
      </w:r>
      <w:r>
        <w:t>provides a more convenient approach</w:t>
      </w:r>
      <w:r w:rsidRPr="008815DD">
        <w:t xml:space="preserve"> </w:t>
      </w:r>
      <w:r>
        <w:t xml:space="preserve">to </w:t>
      </w:r>
      <w:r w:rsidRPr="008815DD">
        <w:t>calculate ISD</w:t>
      </w:r>
      <w:r>
        <w:t xml:space="preserve">./ Furthermore, </w:t>
      </w:r>
      <w:r w:rsidRPr="008815DD">
        <w:t xml:space="preserve">the </w:t>
      </w:r>
      <w:r>
        <w:t xml:space="preserve">Li’s formula suffers from </w:t>
      </w:r>
      <w:r w:rsidRPr="008815DD">
        <w:t>limited applicable range</w:t>
      </w:r>
      <w:r>
        <w:t xml:space="preserve"> as </w:t>
      </w:r>
      <w:r w:rsidRPr="008815DD">
        <w:t xml:space="preserve">stated before. </w:t>
      </w:r>
      <w:r>
        <w:t>The accuracy of the IS</w:t>
      </w:r>
      <w:r w:rsidR="009D2FE6">
        <w:t>D calculated by equations (</w:t>
      </w:r>
      <w:r w:rsidR="007F0B5A">
        <w:t>4.2</w:t>
      </w:r>
      <w:r w:rsidR="00453FDE">
        <w:t>3</w:t>
      </w:r>
      <w:r w:rsidR="009D2FE6">
        <w:t>) and (</w:t>
      </w:r>
      <w:r w:rsidR="007F0B5A">
        <w:t>4.2</w:t>
      </w:r>
      <w:r w:rsidR="00453FDE">
        <w:t>5</w:t>
      </w:r>
      <w:r>
        <w:t xml:space="preserve">) </w:t>
      </w:r>
      <w:r w:rsidR="00D778E8">
        <w:t>will be addressed in Section V.</w:t>
      </w:r>
    </w:p>
    <w:sectPr w:rsidR="00025C5D" w:rsidSect="003A3275">
      <w:footnotePr>
        <w:numFmt w:val="lowerRoman"/>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419" w:rsidRDefault="00C56419" w:rsidP="00684F0A">
      <w:r>
        <w:separator/>
      </w:r>
    </w:p>
  </w:endnote>
  <w:endnote w:type="continuationSeparator" w:id="0">
    <w:p w:rsidR="00C56419" w:rsidRDefault="00C56419" w:rsidP="00684F0A">
      <w:r>
        <w:continuationSeparator/>
      </w:r>
    </w:p>
  </w:endnote>
  <w:endnote w:id="1">
    <w:p w:rsidR="00A236D7" w:rsidRDefault="00A236D7" w:rsidP="00684F0A">
      <w:pPr>
        <w:pStyle w:val="EndnoteText"/>
      </w:pPr>
    </w:p>
  </w:endnote>
  <w:endnote w:id="2">
    <w:p w:rsidR="00A236D7" w:rsidRDefault="00A236D7" w:rsidP="00684F0A">
      <w:pPr>
        <w:pStyle w:val="EndnoteText"/>
      </w:pPr>
    </w:p>
  </w:endnote>
  <w:endnote w:id="3">
    <w:p w:rsidR="00A236D7" w:rsidRPr="005F424A" w:rsidRDefault="005B7E49" w:rsidP="0076768D">
      <w:pPr>
        <w:spacing w:line="480" w:lineRule="auto"/>
        <w:contextualSpacing/>
        <w:rPr>
          <w:b/>
          <w:vertAlign w:val="superscript"/>
        </w:rPr>
      </w:pPr>
      <w:r>
        <w:rPr>
          <w:rStyle w:val="EndnoteReference"/>
        </w:rPr>
        <w:endnoteRef/>
      </w:r>
      <w:r w:rsidR="00A236D7" w:rsidRPr="005F424A">
        <w:rPr>
          <w:b/>
        </w:rPr>
        <w:t>5. Volatility Smile</w:t>
      </w:r>
    </w:p>
    <w:p w:rsidR="00A236D7" w:rsidRDefault="00A236D7" w:rsidP="0076768D">
      <w:pPr>
        <w:spacing w:line="480" w:lineRule="auto"/>
        <w:contextualSpacing/>
      </w:pPr>
      <w:r>
        <w:t xml:space="preserve">The existence of volatility smile is due to Black-Scholes formula cannot precisely evaluate the either call or put option value. The main reason is that the Black-Scholes formula assumes the stock price per share is log-normally distributed. If we introduce extra distribution parameters into the option pricing determination formula, we can obtain the constant elasticity volatility (CEV) option pricing formula. This formula can be found in Appendix </w:t>
      </w:r>
      <w:r w:rsidR="00807EA1">
        <w:t>C</w:t>
      </w:r>
      <w:r>
        <w:t xml:space="preserve"> of this Chapter. In Appendix</w:t>
      </w:r>
      <w:r w:rsidR="00807EA1">
        <w:t xml:space="preserve"> C</w:t>
      </w:r>
      <w:r>
        <w:t xml:space="preserve"> we also site the empirical work done by Lee et.al (2004) to show that the CEV model performs better than the Black Scholes model in evaluating either call or put option value</w:t>
      </w:r>
    </w:p>
    <w:p w:rsidR="00A236D7" w:rsidRDefault="00A236D7" w:rsidP="0076768D">
      <w:pPr>
        <w:spacing w:line="480" w:lineRule="auto"/>
        <w:contextualSpacing/>
      </w:pPr>
      <w:r>
        <w:t xml:space="preserve">   How close are the market prices of options to those predicted by the Black-Scholes-Merton model? Do traders really use the Black-Scholes-Merton model when determining a price for an option? Are the probability distributions of asset prices really lognormal? In this chapter we answer these questions. We explain that traders do use the Black-Scholes-Merton model—but not in exactly the way that Black, Scholes, and Merton originally intended. This is because they allow the volatility used to price an option to depend on its strike price and time to maturity.</w:t>
      </w:r>
    </w:p>
    <w:p w:rsidR="00A236D7" w:rsidRDefault="00A236D7" w:rsidP="0076768D">
      <w:pPr>
        <w:spacing w:line="480" w:lineRule="auto"/>
        <w:contextualSpacing/>
      </w:pPr>
      <w:r>
        <w:t xml:space="preserve">   A plot of the implied volatility of an option as a function of its strike price is known as a </w:t>
      </w:r>
      <w:r>
        <w:rPr>
          <w:i/>
        </w:rPr>
        <w:t xml:space="preserve">volatility smile. </w:t>
      </w:r>
      <w:r>
        <w:t>In this chapter, we describe the volatility smiles that traders use in equity and foreign currency markets. We explain the relationship between a volatility smile and the probability distribution being assumed for the future asset price. We also discuss how option traders vary volatility with option maturity and how they use volatility surfaces as pricing tools.</w:t>
      </w:r>
    </w:p>
    <w:p w:rsidR="00A236D7" w:rsidRDefault="00A236D7" w:rsidP="0076768D">
      <w:pPr>
        <w:spacing w:line="480" w:lineRule="auto"/>
        <w:contextualSpacing/>
      </w:pPr>
      <w:r>
        <w:t xml:space="preserve">   Put-call parity can be used to show that the implied volatility of a European call option must be the same as that of a European put option when both have the same strike price and time to maturity. This is convenient. It means that the volatility smile for European call options must be the same as that for European put options. The implied volatility of an American option is in most cases very similar to that of a European option with the same strike price and time to maturity. As a result, we can say that the volatility smiles we will present apply—at least approximately—to all European and American options with a particular time to maturity.</w:t>
      </w:r>
    </w:p>
    <w:p w:rsidR="00A236D7" w:rsidRDefault="003B0F72" w:rsidP="0076768D">
      <w:pPr>
        <w:spacing w:line="480" w:lineRule="auto"/>
        <w:contextualSpacing/>
        <w:rPr>
          <w:b/>
        </w:rPr>
      </w:pPr>
      <w:r>
        <w:rPr>
          <w:b/>
        </w:rPr>
        <w:t xml:space="preserve">5.1 </w:t>
      </w:r>
      <w:r w:rsidR="00A236D7">
        <w:rPr>
          <w:b/>
        </w:rPr>
        <w:t>Foreign Currency Options</w:t>
      </w:r>
    </w:p>
    <w:p w:rsidR="00A236D7" w:rsidRDefault="00A236D7" w:rsidP="0076768D">
      <w:pPr>
        <w:spacing w:line="480" w:lineRule="auto"/>
        <w:contextualSpacing/>
      </w:pPr>
      <w:r>
        <w:t>The volatility smile for foreign currency options has the general form shown in Figure 1. The implied volatility is relatively low for at-the-money options, but becomes progressively higher as the option moves either into the money or out of the money.</w:t>
      </w:r>
    </w:p>
    <w:p w:rsidR="00A236D7" w:rsidRDefault="00A236D7" w:rsidP="0076768D">
      <w:pPr>
        <w:spacing w:line="480" w:lineRule="auto"/>
        <w:contextualSpacing/>
      </w:pPr>
    </w:p>
    <w:p w:rsidR="00A236D7" w:rsidRDefault="00A236D7" w:rsidP="0076768D">
      <w:pPr>
        <w:spacing w:line="480" w:lineRule="auto"/>
        <w:contextualSpacing/>
      </w:pPr>
      <w:r w:rsidRPr="00570BD0">
        <w:rPr>
          <w:noProof/>
          <w:lang w:eastAsia="en-US"/>
        </w:rPr>
        <w:drawing>
          <wp:inline distT="0" distB="0" distL="0" distR="0" wp14:anchorId="2D435405" wp14:editId="0AFB0AC7">
            <wp:extent cx="5943600" cy="3434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434080"/>
                    </a:xfrm>
                    <a:prstGeom prst="rect">
                      <a:avLst/>
                    </a:prstGeom>
                    <a:noFill/>
                    <a:ln>
                      <a:noFill/>
                    </a:ln>
                  </pic:spPr>
                </pic:pic>
              </a:graphicData>
            </a:graphic>
          </wp:inline>
        </w:drawing>
      </w:r>
    </w:p>
    <w:p w:rsidR="00A236D7" w:rsidRDefault="00A236D7" w:rsidP="0076768D">
      <w:pPr>
        <w:spacing w:line="480" w:lineRule="auto"/>
        <w:contextualSpacing/>
        <w:rPr>
          <w:rFonts w:eastAsiaTheme="minorEastAsia"/>
        </w:rPr>
      </w:pPr>
      <w:r>
        <w:rPr>
          <w:rFonts w:eastAsiaTheme="minorEastAsia"/>
          <w:b/>
        </w:rPr>
        <w:t xml:space="preserve">Figure 1 </w:t>
      </w:r>
      <w:r>
        <w:rPr>
          <w:rFonts w:eastAsiaTheme="minorEastAsia"/>
        </w:rPr>
        <w:t>Volatility Smile for Foreign Currency Options</w:t>
      </w:r>
    </w:p>
    <w:p w:rsidR="0076768D" w:rsidRDefault="0076768D" w:rsidP="0076768D">
      <w:pPr>
        <w:spacing w:line="480" w:lineRule="auto"/>
        <w:contextualSpacing/>
      </w:pPr>
    </w:p>
    <w:p w:rsidR="00A236D7" w:rsidRDefault="00A236D7" w:rsidP="0076768D">
      <w:pPr>
        <w:spacing w:line="480" w:lineRule="auto"/>
        <w:contextualSpacing/>
        <w:rPr>
          <w:rFonts w:eastAsiaTheme="minorEastAsia"/>
        </w:rPr>
      </w:pPr>
      <w:r>
        <w:t xml:space="preserve"> The volatility smile in Figure 1 corresponds to the probability distribution shown by the solid line if Figure 2. We will refer to this as the </w:t>
      </w:r>
      <w:r>
        <w:rPr>
          <w:i/>
        </w:rPr>
        <w:t>implied distribution</w:t>
      </w:r>
      <w:r>
        <w:t xml:space="preserve">. A lognormal distribution with the same mean and standard deviation as the implied distribution is shown by the dashed line in Figure 2. It can be seen that the implied distribution has heavier tails than the lognormal </w:t>
      </w:r>
      <m:oMath>
        <m:sSup>
          <m:sSupPr>
            <m:ctrlPr>
              <w:rPr>
                <w:rFonts w:ascii="Cambria Math" w:hAnsi="Cambria Math"/>
                <w:i/>
              </w:rPr>
            </m:ctrlPr>
          </m:sSupPr>
          <m:e>
            <m:r>
              <w:rPr>
                <w:rFonts w:ascii="Cambria Math" w:hAnsi="Cambria Math"/>
              </w:rPr>
              <m:t>distribution</m:t>
            </m:r>
          </m:e>
          <m:sup>
            <m:r>
              <w:rPr>
                <w:rFonts w:ascii="Cambria Math" w:hAnsi="Cambria Math"/>
              </w:rPr>
              <m:t>1</m:t>
            </m:r>
          </m:sup>
        </m:sSup>
      </m:oMath>
      <w:r>
        <w:rPr>
          <w:rFonts w:eastAsiaTheme="minorEastAsia"/>
        </w:rPr>
        <w:t xml:space="preserve">. </w:t>
      </w:r>
    </w:p>
    <w:p w:rsidR="00A236D7" w:rsidRDefault="00A236D7" w:rsidP="0076768D">
      <w:pPr>
        <w:spacing w:line="480" w:lineRule="auto"/>
        <w:contextualSpacing/>
        <w:rPr>
          <w:rFonts w:eastAsiaTheme="minorEastAsia"/>
        </w:rPr>
      </w:pPr>
      <w:r>
        <w:rPr>
          <w:rFonts w:eastAsiaTheme="minorEastAsia"/>
        </w:rPr>
        <w:t xml:space="preserve">   To see that Figures 1 and 2 are consistent with each other, consider first a deep out-of-the-money call option with a high strike price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oMath>
      <w:r>
        <w:rPr>
          <w:rFonts w:eastAsiaTheme="minorEastAsia"/>
        </w:rPr>
        <w:t xml:space="preserve">. Figure 2 shows that the probability of this is higher for the implied probability distribution than for the lognormal distribution. We therefore expect the implied distribution to give a relatively high price for the option. A relatively high price leads to a relatively high implied volatility—and this is exactly what we observe in Figure 1 for the option. The two figures are therefore consistent with each other for high strike prices. Consider next a deep-out-of-the-money put option with a low strike price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Pr>
          <w:rFonts w:eastAsiaTheme="minorEastAsia"/>
        </w:rPr>
        <w:t>. Figure 2 shows that the probability of this is also higher for the implied probability distribution than for the lognormal distribution. We therefore expect the implied distribution to give a relatively high price, and a relatively high implied volatility, for this option as well. Again, this is exactly what we observe in Figure 1.</w:t>
      </w:r>
    </w:p>
    <w:p w:rsidR="00A236D7" w:rsidRDefault="00A236D7" w:rsidP="0076768D">
      <w:pPr>
        <w:spacing w:line="480" w:lineRule="auto"/>
        <w:contextualSpacing/>
        <w:rPr>
          <w:rFonts w:eastAsiaTheme="minorEastAsia"/>
          <w:b/>
        </w:rPr>
      </w:pPr>
    </w:p>
    <w:p w:rsidR="00A236D7"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p>
    <w:p w:rsidR="00A236D7" w:rsidRPr="00570BD0" w:rsidRDefault="00A236D7" w:rsidP="0076768D">
      <w:pPr>
        <w:spacing w:line="480" w:lineRule="auto"/>
        <w:contextualSpacing/>
        <w:rPr>
          <w:rFonts w:eastAsiaTheme="minorEastAsia"/>
        </w:rPr>
      </w:pPr>
      <w:r w:rsidRPr="00570BD0">
        <w:rPr>
          <w:rFonts w:eastAsiaTheme="minorEastAsia"/>
          <w:noProof/>
          <w:lang w:eastAsia="en-US"/>
        </w:rPr>
        <w:drawing>
          <wp:inline distT="0" distB="0" distL="0" distR="0">
            <wp:extent cx="5943600" cy="41166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4116602"/>
                    </a:xfrm>
                    <a:prstGeom prst="rect">
                      <a:avLst/>
                    </a:prstGeom>
                    <a:noFill/>
                    <a:ln>
                      <a:noFill/>
                    </a:ln>
                  </pic:spPr>
                </pic:pic>
              </a:graphicData>
            </a:graphic>
          </wp:inline>
        </w:drawing>
      </w:r>
      <w:r>
        <w:rPr>
          <w:rFonts w:eastAsiaTheme="minorEastAsia"/>
          <w:b/>
        </w:rPr>
        <w:t xml:space="preserve">Figure 2 </w:t>
      </w:r>
      <w:r>
        <w:rPr>
          <w:rFonts w:eastAsiaTheme="minorEastAsia"/>
        </w:rPr>
        <w:t>Implied distribution and lognormal distribution for foreign currency options</w:t>
      </w:r>
    </w:p>
    <w:p w:rsidR="00A236D7" w:rsidRPr="00570BD0"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b/>
        </w:rPr>
      </w:pPr>
      <w:r>
        <w:rPr>
          <w:rFonts w:eastAsiaTheme="minorEastAsia"/>
          <w:b/>
        </w:rPr>
        <w:t>Empirical Results</w:t>
      </w:r>
    </w:p>
    <w:p w:rsidR="00A236D7" w:rsidRDefault="00A236D7" w:rsidP="0076768D">
      <w:pPr>
        <w:spacing w:line="480" w:lineRule="auto"/>
        <w:contextualSpacing/>
        <w:rPr>
          <w:rFonts w:eastAsiaTheme="minorEastAsia"/>
        </w:rPr>
      </w:pPr>
      <w:r>
        <w:rPr>
          <w:rFonts w:eastAsiaTheme="minorEastAsia"/>
        </w:rPr>
        <w:t xml:space="preserve">We have just shown that the volatility smile used by traders for foreign currency options implies that they consider that the lognormal distribution understates the probability of extreme movements in exchange rates. To test whether they are right, Table </w:t>
      </w:r>
      <w:r w:rsidR="00453FDE">
        <w:rPr>
          <w:rFonts w:eastAsiaTheme="minorEastAsia"/>
        </w:rPr>
        <w:t>3</w:t>
      </w:r>
      <w:r>
        <w:rPr>
          <w:rFonts w:eastAsiaTheme="minorEastAsia"/>
        </w:rPr>
        <w:t xml:space="preserve"> examines the daily movements in 12 different exchange rates over a 10-year </w:t>
      </w:r>
      <m:oMath>
        <m:sSup>
          <m:sSupPr>
            <m:ctrlPr>
              <w:rPr>
                <w:rFonts w:ascii="Cambria Math" w:eastAsiaTheme="minorEastAsia" w:hAnsi="Cambria Math"/>
                <w:i/>
              </w:rPr>
            </m:ctrlPr>
          </m:sSupPr>
          <m:e>
            <m:r>
              <w:rPr>
                <w:rFonts w:ascii="Cambria Math" w:eastAsiaTheme="minorEastAsia" w:hAnsi="Cambria Math"/>
              </w:rPr>
              <m:t>period</m:t>
            </m:r>
          </m:e>
          <m:sup>
            <m:r>
              <w:rPr>
                <w:rFonts w:ascii="Cambria Math" w:eastAsiaTheme="minorEastAsia" w:hAnsi="Cambria Math"/>
              </w:rPr>
              <m:t>2</m:t>
            </m:r>
          </m:sup>
        </m:sSup>
      </m:oMath>
      <w:r>
        <w:rPr>
          <w:rFonts w:eastAsiaTheme="minorEastAsia"/>
        </w:rPr>
        <w:t>. The first step in the production of the table is to calculate the standard deviation of daily percentage change in each exchange rate. The next stage is to note how often the actual percentage change exceeded one standard deviation, two standard deviations, and so on. The final stage is to calculate how often this would have happened if the percentage changes had been normally distributed. (The lognormal model implies that percentage changes are almost exactly normally distributed over a one-day time period.)</w:t>
      </w:r>
    </w:p>
    <w:p w:rsidR="00A236D7" w:rsidRDefault="00A236D7" w:rsidP="0076768D">
      <w:pPr>
        <w:spacing w:line="480" w:lineRule="auto"/>
        <w:contextualSpacing/>
        <w:rPr>
          <w:rFonts w:eastAsiaTheme="minorEastAsia"/>
        </w:rPr>
      </w:pPr>
      <w:r>
        <w:rPr>
          <w:rFonts w:eastAsiaTheme="minorEastAsia"/>
        </w:rPr>
        <w:t xml:space="preserve">   Daily changes exceed three standard deviations on 1.34% of days. The lognormal model predicts that this should happen on only 0.27% of days. Daily changes exceed four, five, and six standard deviations on 0.29%, 0.08%, and 0.03% of days, respectively. The lognormal model predicts that we should hardly ever observe this happening. The table therefore provides evidence to support the existence of heavy tails (Figure 2) and the volatility smile used by traders (Figure 1). Business Snapshot 1 shows how you could have made money if you had done the analysis in Table </w:t>
      </w:r>
      <w:r w:rsidR="00453FDE">
        <w:rPr>
          <w:rFonts w:eastAsiaTheme="minorEastAsia"/>
        </w:rPr>
        <w:t>3</w:t>
      </w:r>
      <w:r>
        <w:rPr>
          <w:rFonts w:eastAsiaTheme="minorEastAsia"/>
        </w:rPr>
        <w:t xml:space="preserve"> ahead of the rest of the market. </w:t>
      </w:r>
    </w:p>
    <w:p w:rsidR="0076768D" w:rsidRDefault="0076768D"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r>
        <w:rPr>
          <w:rFonts w:eastAsiaTheme="minorEastAsia"/>
          <w:b/>
        </w:rPr>
        <w:t xml:space="preserve">Table </w:t>
      </w:r>
      <w:r w:rsidR="00453FDE">
        <w:rPr>
          <w:rFonts w:eastAsiaTheme="minorEastAsia"/>
          <w:b/>
        </w:rPr>
        <w:t>3</w:t>
      </w:r>
      <w:r>
        <w:rPr>
          <w:rFonts w:eastAsiaTheme="minorEastAsia"/>
          <w:b/>
        </w:rPr>
        <w:t xml:space="preserve"> </w:t>
      </w:r>
      <w:r>
        <w:rPr>
          <w:rFonts w:eastAsiaTheme="minorEastAsia"/>
        </w:rPr>
        <w:t>Percent of days when daily exchange rate moves are greater than one, two,…,six standard deviations (S.D. = standard deviation of daily change)</w:t>
      </w:r>
    </w:p>
    <w:tbl>
      <w:tblPr>
        <w:tblStyle w:val="TableGrid"/>
        <w:tblW w:w="0" w:type="auto"/>
        <w:tblLook w:val="04A0" w:firstRow="1" w:lastRow="0" w:firstColumn="1" w:lastColumn="0" w:noHBand="0" w:noVBand="1"/>
      </w:tblPr>
      <w:tblGrid>
        <w:gridCol w:w="3116"/>
        <w:gridCol w:w="3117"/>
        <w:gridCol w:w="3117"/>
      </w:tblGrid>
      <w:tr w:rsidR="00A236D7" w:rsidTr="00562BC1">
        <w:tc>
          <w:tcPr>
            <w:tcW w:w="3116" w:type="dxa"/>
          </w:tcPr>
          <w:p w:rsidR="00A236D7" w:rsidRDefault="00A236D7" w:rsidP="0076768D">
            <w:pPr>
              <w:spacing w:line="480" w:lineRule="auto"/>
              <w:contextualSpacing/>
              <w:rPr>
                <w:rFonts w:eastAsiaTheme="minorEastAsia"/>
              </w:rPr>
            </w:pPr>
          </w:p>
        </w:tc>
        <w:tc>
          <w:tcPr>
            <w:tcW w:w="3117" w:type="dxa"/>
          </w:tcPr>
          <w:p w:rsidR="00A236D7" w:rsidRPr="005F424A" w:rsidRDefault="00A236D7" w:rsidP="0076768D">
            <w:pPr>
              <w:spacing w:line="480" w:lineRule="auto"/>
              <w:contextualSpacing/>
              <w:rPr>
                <w:rFonts w:eastAsiaTheme="minorEastAsia"/>
                <w:i/>
              </w:rPr>
            </w:pPr>
            <w:r>
              <w:rPr>
                <w:rFonts w:eastAsiaTheme="minorEastAsia"/>
                <w:i/>
              </w:rPr>
              <w:t>Real World</w:t>
            </w:r>
          </w:p>
        </w:tc>
        <w:tc>
          <w:tcPr>
            <w:tcW w:w="3117" w:type="dxa"/>
          </w:tcPr>
          <w:p w:rsidR="00A236D7" w:rsidRPr="005F424A" w:rsidRDefault="00A236D7" w:rsidP="0076768D">
            <w:pPr>
              <w:spacing w:line="480" w:lineRule="auto"/>
              <w:contextualSpacing/>
              <w:rPr>
                <w:rFonts w:eastAsiaTheme="minorEastAsia"/>
                <w:i/>
              </w:rPr>
            </w:pPr>
            <w:r w:rsidRPr="005F424A">
              <w:rPr>
                <w:rFonts w:eastAsiaTheme="minorEastAsia"/>
                <w:i/>
              </w:rPr>
              <w:t>Lognormal Model</w:t>
            </w:r>
          </w:p>
        </w:tc>
      </w:tr>
      <w:tr w:rsidR="00A236D7" w:rsidTr="00562BC1">
        <w:tc>
          <w:tcPr>
            <w:tcW w:w="3116" w:type="dxa"/>
          </w:tcPr>
          <w:p w:rsidR="00A236D7" w:rsidRPr="005F424A" w:rsidRDefault="00A236D7" w:rsidP="0076768D">
            <w:pPr>
              <w:spacing w:line="480" w:lineRule="auto"/>
              <w:contextualSpacing/>
              <w:rPr>
                <w:rFonts w:eastAsiaTheme="minorEastAsia"/>
              </w:rPr>
            </w:pPr>
            <m:oMathPara>
              <m:oMath>
                <m:r>
                  <w:rPr>
                    <w:rFonts w:ascii="Cambria Math" w:eastAsiaTheme="minorEastAsia" w:hAnsi="Cambria Math"/>
                  </w:rPr>
                  <m:t>&gt;1 S.D.</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25.04</w:t>
            </w:r>
          </w:p>
        </w:tc>
        <w:tc>
          <w:tcPr>
            <w:tcW w:w="3117" w:type="dxa"/>
          </w:tcPr>
          <w:p w:rsidR="00A236D7" w:rsidRDefault="00A236D7" w:rsidP="0076768D">
            <w:pPr>
              <w:spacing w:line="480" w:lineRule="auto"/>
              <w:contextualSpacing/>
              <w:rPr>
                <w:rFonts w:eastAsiaTheme="minorEastAsia"/>
              </w:rPr>
            </w:pPr>
            <w:r>
              <w:rPr>
                <w:rFonts w:eastAsiaTheme="minorEastAsia"/>
              </w:rPr>
              <w:t>31.73</w:t>
            </w:r>
          </w:p>
        </w:tc>
      </w:tr>
      <w:tr w:rsidR="00A236D7" w:rsidTr="00562BC1">
        <w:tc>
          <w:tcPr>
            <w:tcW w:w="3116" w:type="dxa"/>
          </w:tcPr>
          <w:p w:rsidR="00A236D7" w:rsidRPr="00562BC1" w:rsidRDefault="00A236D7" w:rsidP="0076768D">
            <w:pPr>
              <w:spacing w:line="480" w:lineRule="auto"/>
              <w:contextualSpacing/>
              <w:rPr>
                <w:rFonts w:eastAsiaTheme="minorEastAsia"/>
              </w:rPr>
            </w:pPr>
            <m:oMathPara>
              <m:oMath>
                <m:r>
                  <w:rPr>
                    <w:rFonts w:ascii="Cambria Math" w:eastAsiaTheme="minorEastAsia" w:hAnsi="Cambria Math"/>
                  </w:rPr>
                  <m:t xml:space="preserve">&gt;2 S.D. </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5.27</w:t>
            </w:r>
          </w:p>
        </w:tc>
        <w:tc>
          <w:tcPr>
            <w:tcW w:w="3117" w:type="dxa"/>
          </w:tcPr>
          <w:p w:rsidR="00A236D7" w:rsidRDefault="00A236D7" w:rsidP="0076768D">
            <w:pPr>
              <w:spacing w:line="480" w:lineRule="auto"/>
              <w:contextualSpacing/>
              <w:rPr>
                <w:rFonts w:eastAsiaTheme="minorEastAsia"/>
              </w:rPr>
            </w:pPr>
            <w:r>
              <w:rPr>
                <w:rFonts w:eastAsiaTheme="minorEastAsia"/>
              </w:rPr>
              <w:t>4.55</w:t>
            </w:r>
          </w:p>
        </w:tc>
      </w:tr>
      <w:tr w:rsidR="00A236D7" w:rsidTr="00562BC1">
        <w:tc>
          <w:tcPr>
            <w:tcW w:w="3116" w:type="dxa"/>
          </w:tcPr>
          <w:p w:rsidR="00A236D7" w:rsidRPr="00562BC1" w:rsidRDefault="00A236D7" w:rsidP="0076768D">
            <w:pPr>
              <w:spacing w:line="480" w:lineRule="auto"/>
              <w:contextualSpacing/>
              <w:rPr>
                <w:rFonts w:eastAsiaTheme="minorEastAsia"/>
              </w:rPr>
            </w:pPr>
            <m:oMathPara>
              <m:oMath>
                <m:r>
                  <w:rPr>
                    <w:rFonts w:ascii="Cambria Math" w:eastAsiaTheme="minorEastAsia" w:hAnsi="Cambria Math"/>
                  </w:rPr>
                  <m:t>&gt;3 S.D.</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1.34</w:t>
            </w:r>
          </w:p>
        </w:tc>
        <w:tc>
          <w:tcPr>
            <w:tcW w:w="3117" w:type="dxa"/>
          </w:tcPr>
          <w:p w:rsidR="00A236D7" w:rsidRDefault="00A236D7" w:rsidP="0076768D">
            <w:pPr>
              <w:spacing w:line="480" w:lineRule="auto"/>
              <w:contextualSpacing/>
              <w:rPr>
                <w:rFonts w:eastAsiaTheme="minorEastAsia"/>
              </w:rPr>
            </w:pPr>
            <w:r>
              <w:rPr>
                <w:rFonts w:eastAsiaTheme="minorEastAsia"/>
              </w:rPr>
              <w:t>0.27</w:t>
            </w:r>
          </w:p>
        </w:tc>
      </w:tr>
      <w:tr w:rsidR="00A236D7" w:rsidTr="00562BC1">
        <w:tc>
          <w:tcPr>
            <w:tcW w:w="3116" w:type="dxa"/>
          </w:tcPr>
          <w:p w:rsidR="00A236D7" w:rsidRPr="00562BC1" w:rsidRDefault="00A236D7" w:rsidP="0076768D">
            <w:pPr>
              <w:spacing w:line="480" w:lineRule="auto"/>
              <w:contextualSpacing/>
              <w:rPr>
                <w:rFonts w:eastAsiaTheme="minorEastAsia"/>
              </w:rPr>
            </w:pPr>
            <m:oMathPara>
              <m:oMath>
                <m:r>
                  <w:rPr>
                    <w:rFonts w:ascii="Cambria Math" w:eastAsiaTheme="minorEastAsia" w:hAnsi="Cambria Math"/>
                  </w:rPr>
                  <m:t>&gt;4 S.D.</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0.29</w:t>
            </w:r>
          </w:p>
        </w:tc>
        <w:tc>
          <w:tcPr>
            <w:tcW w:w="3117" w:type="dxa"/>
          </w:tcPr>
          <w:p w:rsidR="00A236D7" w:rsidRDefault="00A236D7" w:rsidP="0076768D">
            <w:pPr>
              <w:spacing w:line="480" w:lineRule="auto"/>
              <w:contextualSpacing/>
              <w:rPr>
                <w:rFonts w:eastAsiaTheme="minorEastAsia"/>
              </w:rPr>
            </w:pPr>
            <w:r>
              <w:rPr>
                <w:rFonts w:eastAsiaTheme="minorEastAsia"/>
              </w:rPr>
              <w:t>0.01</w:t>
            </w:r>
          </w:p>
        </w:tc>
      </w:tr>
      <w:tr w:rsidR="00A236D7" w:rsidTr="00562BC1">
        <w:tc>
          <w:tcPr>
            <w:tcW w:w="3116" w:type="dxa"/>
          </w:tcPr>
          <w:p w:rsidR="00A236D7" w:rsidRDefault="00A236D7" w:rsidP="0076768D">
            <w:pPr>
              <w:spacing w:line="480" w:lineRule="auto"/>
              <w:contextualSpacing/>
              <w:rPr>
                <w:rFonts w:eastAsiaTheme="minorEastAsia"/>
              </w:rPr>
            </w:pPr>
            <m:oMathPara>
              <m:oMath>
                <m:r>
                  <w:rPr>
                    <w:rFonts w:ascii="Cambria Math" w:eastAsiaTheme="minorEastAsia" w:hAnsi="Cambria Math"/>
                  </w:rPr>
                  <m:t>&gt;5 S.D.</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0.08</w:t>
            </w:r>
          </w:p>
        </w:tc>
        <w:tc>
          <w:tcPr>
            <w:tcW w:w="3117" w:type="dxa"/>
          </w:tcPr>
          <w:p w:rsidR="00A236D7" w:rsidRDefault="00A236D7" w:rsidP="0076768D">
            <w:pPr>
              <w:spacing w:line="480" w:lineRule="auto"/>
              <w:contextualSpacing/>
              <w:rPr>
                <w:rFonts w:eastAsiaTheme="minorEastAsia"/>
              </w:rPr>
            </w:pPr>
            <w:r>
              <w:rPr>
                <w:rFonts w:eastAsiaTheme="minorEastAsia"/>
              </w:rPr>
              <w:t>0.00</w:t>
            </w:r>
          </w:p>
        </w:tc>
      </w:tr>
      <w:tr w:rsidR="00A236D7" w:rsidTr="00562BC1">
        <w:tc>
          <w:tcPr>
            <w:tcW w:w="3116" w:type="dxa"/>
          </w:tcPr>
          <w:p w:rsidR="00A236D7" w:rsidRDefault="00A236D7" w:rsidP="0076768D">
            <w:pPr>
              <w:spacing w:line="480" w:lineRule="auto"/>
              <w:contextualSpacing/>
              <w:rPr>
                <w:rFonts w:eastAsiaTheme="minorEastAsia"/>
              </w:rPr>
            </w:pPr>
            <m:oMathPara>
              <m:oMath>
                <m:r>
                  <w:rPr>
                    <w:rFonts w:ascii="Cambria Math" w:eastAsiaTheme="minorEastAsia" w:hAnsi="Cambria Math"/>
                  </w:rPr>
                  <m:t>&gt;6 S.D.</m:t>
                </m:r>
              </m:oMath>
            </m:oMathPara>
          </w:p>
        </w:tc>
        <w:tc>
          <w:tcPr>
            <w:tcW w:w="3117" w:type="dxa"/>
          </w:tcPr>
          <w:p w:rsidR="00A236D7" w:rsidRDefault="00A236D7" w:rsidP="0076768D">
            <w:pPr>
              <w:spacing w:line="480" w:lineRule="auto"/>
              <w:contextualSpacing/>
              <w:rPr>
                <w:rFonts w:eastAsiaTheme="minorEastAsia"/>
              </w:rPr>
            </w:pPr>
            <w:r>
              <w:rPr>
                <w:rFonts w:eastAsiaTheme="minorEastAsia"/>
              </w:rPr>
              <w:t>0.03</w:t>
            </w:r>
          </w:p>
        </w:tc>
        <w:tc>
          <w:tcPr>
            <w:tcW w:w="3117" w:type="dxa"/>
          </w:tcPr>
          <w:p w:rsidR="00A236D7" w:rsidRDefault="00A236D7" w:rsidP="0076768D">
            <w:pPr>
              <w:spacing w:line="480" w:lineRule="auto"/>
              <w:contextualSpacing/>
              <w:rPr>
                <w:rFonts w:eastAsiaTheme="minorEastAsia"/>
              </w:rPr>
            </w:pPr>
            <w:r>
              <w:rPr>
                <w:rFonts w:eastAsiaTheme="minorEastAsia"/>
              </w:rPr>
              <w:t>0.00</w:t>
            </w:r>
          </w:p>
        </w:tc>
      </w:tr>
    </w:tbl>
    <w:p w:rsidR="00A236D7" w:rsidRPr="000B576B" w:rsidRDefault="00A236D7" w:rsidP="0076768D">
      <w:pPr>
        <w:spacing w:line="480" w:lineRule="auto"/>
        <w:contextualSpacing/>
        <w:rPr>
          <w:rFonts w:eastAsiaTheme="minorEastAsia"/>
        </w:rPr>
      </w:pPr>
    </w:p>
    <w:tbl>
      <w:tblPr>
        <w:tblStyle w:val="TableGrid"/>
        <w:tblW w:w="0" w:type="auto"/>
        <w:tblLook w:val="04A0" w:firstRow="1" w:lastRow="0" w:firstColumn="1" w:lastColumn="0" w:noHBand="0" w:noVBand="1"/>
      </w:tblPr>
      <w:tblGrid>
        <w:gridCol w:w="9350"/>
      </w:tblGrid>
      <w:tr w:rsidR="00A236D7" w:rsidTr="007F0B5A">
        <w:tc>
          <w:tcPr>
            <w:tcW w:w="9350" w:type="dxa"/>
          </w:tcPr>
          <w:p w:rsidR="00A236D7" w:rsidRDefault="00A236D7" w:rsidP="0076768D">
            <w:pPr>
              <w:spacing w:line="480" w:lineRule="auto"/>
              <w:contextualSpacing/>
              <w:rPr>
                <w:rFonts w:eastAsiaTheme="minorEastAsia"/>
                <w:u w:val="single"/>
              </w:rPr>
            </w:pPr>
            <w:r>
              <w:rPr>
                <w:rFonts w:eastAsiaTheme="minorEastAsia"/>
                <w:b/>
                <w:u w:val="single"/>
              </w:rPr>
              <w:t xml:space="preserve">Business Snapshot 1 </w:t>
            </w:r>
            <w:r>
              <w:rPr>
                <w:rFonts w:eastAsiaTheme="minorEastAsia"/>
                <w:u w:val="single"/>
              </w:rPr>
              <w:t>Making money from foreign currency options</w:t>
            </w:r>
          </w:p>
          <w:p w:rsidR="00A236D7" w:rsidRDefault="00A236D7" w:rsidP="0076768D">
            <w:pPr>
              <w:spacing w:line="480" w:lineRule="auto"/>
              <w:contextualSpacing/>
              <w:rPr>
                <w:rFonts w:eastAsiaTheme="minorEastAsia"/>
              </w:rPr>
            </w:pPr>
            <w:r>
              <w:rPr>
                <w:rFonts w:eastAsiaTheme="minorEastAsia"/>
              </w:rPr>
              <w:t>Black, Scholes, and Merton in their option pricing model assume that the underlying’s asset price has a lognormal distribution at future times. This is equivalent to the assumption that asset price changes over a short period of time, such as one day, are normally distributed. Suppose that most market participants are comfortable with the Black-Scholes-Merton assumptions for exchange rates. You have just done the analysis in Table 2 and know that the lognormal assumption is not a good one for exchange rates. What should you do?</w:t>
            </w:r>
          </w:p>
          <w:p w:rsidR="00A236D7" w:rsidRDefault="00A236D7" w:rsidP="0076768D">
            <w:pPr>
              <w:spacing w:line="480" w:lineRule="auto"/>
              <w:contextualSpacing/>
              <w:rPr>
                <w:rFonts w:eastAsiaTheme="minorEastAsia"/>
              </w:rPr>
            </w:pPr>
            <w:r>
              <w:rPr>
                <w:rFonts w:eastAsiaTheme="minorEastAsia"/>
              </w:rPr>
              <w:t xml:space="preserve">   The answer is that you should buy deep-out-of-the-money call and put options on a variety of different currencies and wait. These options will be relatively inexpensive and more of them will close in the money than the lognormal model predicts. The present value of your payoffs will on average be much greater than the cost of the options. </w:t>
            </w:r>
          </w:p>
          <w:p w:rsidR="00A236D7" w:rsidRPr="008E65C7" w:rsidRDefault="00A236D7" w:rsidP="0076768D">
            <w:pPr>
              <w:spacing w:line="480" w:lineRule="auto"/>
              <w:contextualSpacing/>
              <w:rPr>
                <w:rFonts w:eastAsiaTheme="minorEastAsia"/>
              </w:rPr>
            </w:pPr>
            <w:r>
              <w:rPr>
                <w:rFonts w:eastAsiaTheme="minorEastAsia"/>
              </w:rPr>
              <w:t xml:space="preserve">   In the mid-1980s, a few traders knew about the heavy tails of foreign exchange probability distributions. Everyone else thought that the lognormal assumption of Black-Scholes-Merton was reasonable. The few traders who were well informed followed the strategy we have described—and made lots of money. By the late 1980s everyone realized that foreign currency options should be priced with a volatility smile and the tr</w:t>
            </w:r>
            <w:r w:rsidR="0076768D">
              <w:rPr>
                <w:rFonts w:eastAsiaTheme="minorEastAsia"/>
              </w:rPr>
              <w:t xml:space="preserve">ading opportunity disappeared. </w:t>
            </w:r>
          </w:p>
        </w:tc>
      </w:tr>
    </w:tbl>
    <w:p w:rsidR="00A236D7"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b/>
        </w:rPr>
      </w:pPr>
      <w:r>
        <w:rPr>
          <w:rFonts w:eastAsiaTheme="minorEastAsia"/>
          <w:b/>
        </w:rPr>
        <w:t>Reasons for the Smile in Foreign Currency Options</w:t>
      </w:r>
    </w:p>
    <w:p w:rsidR="00A236D7" w:rsidRDefault="00A236D7" w:rsidP="0076768D">
      <w:pPr>
        <w:spacing w:line="480" w:lineRule="auto"/>
        <w:contextualSpacing/>
        <w:rPr>
          <w:rFonts w:eastAsiaTheme="minorEastAsia"/>
        </w:rPr>
      </w:pPr>
      <w:r>
        <w:rPr>
          <w:rFonts w:eastAsiaTheme="minorEastAsia"/>
        </w:rPr>
        <w:t>Why are exchange rate not lognormally distributed? Two of the conditions for an asset price to have a lognormal distribution are:</w:t>
      </w:r>
    </w:p>
    <w:p w:rsidR="00A236D7" w:rsidRDefault="00A236D7" w:rsidP="0076768D">
      <w:pPr>
        <w:pStyle w:val="ListParagraph"/>
        <w:widowControl/>
        <w:numPr>
          <w:ilvl w:val="0"/>
          <w:numId w:val="6"/>
        </w:numPr>
        <w:spacing w:after="160" w:line="480" w:lineRule="auto"/>
        <w:rPr>
          <w:rFonts w:eastAsiaTheme="minorEastAsia"/>
        </w:rPr>
      </w:pPr>
      <w:r>
        <w:rPr>
          <w:rFonts w:eastAsiaTheme="minorEastAsia"/>
        </w:rPr>
        <w:t>The volatility of the asset is constant.</w:t>
      </w:r>
    </w:p>
    <w:p w:rsidR="00A236D7" w:rsidRDefault="00A236D7" w:rsidP="0076768D">
      <w:pPr>
        <w:pStyle w:val="ListParagraph"/>
        <w:widowControl/>
        <w:numPr>
          <w:ilvl w:val="0"/>
          <w:numId w:val="6"/>
        </w:numPr>
        <w:spacing w:after="160" w:line="480" w:lineRule="auto"/>
        <w:rPr>
          <w:rFonts w:eastAsiaTheme="minorEastAsia"/>
        </w:rPr>
      </w:pPr>
      <w:r>
        <w:rPr>
          <w:rFonts w:eastAsiaTheme="minorEastAsia"/>
        </w:rPr>
        <w:t>The price of the asset changes smoothly with no jumps.</w:t>
      </w:r>
    </w:p>
    <w:p w:rsidR="00A236D7" w:rsidRDefault="00A236D7" w:rsidP="0076768D">
      <w:pPr>
        <w:spacing w:line="480" w:lineRule="auto"/>
        <w:contextualSpacing/>
        <w:rPr>
          <w:rFonts w:eastAsiaTheme="minorEastAsia"/>
        </w:rPr>
      </w:pPr>
      <w:r>
        <w:rPr>
          <w:rFonts w:eastAsiaTheme="minorEastAsia"/>
        </w:rPr>
        <w:t xml:space="preserve">Neither of these conditions is satisfied for an exchange rate. The volatility of an exchange rate is far from constant, and exchange rates frequently exhibit </w:t>
      </w:r>
      <m:oMath>
        <m:sSup>
          <m:sSupPr>
            <m:ctrlPr>
              <w:rPr>
                <w:rFonts w:ascii="Cambria Math" w:eastAsiaTheme="minorEastAsia" w:hAnsi="Cambria Math"/>
                <w:i/>
              </w:rPr>
            </m:ctrlPr>
          </m:sSupPr>
          <m:e>
            <m:r>
              <w:rPr>
                <w:rFonts w:ascii="Cambria Math" w:eastAsiaTheme="minorEastAsia" w:hAnsi="Cambria Math"/>
              </w:rPr>
              <m:t>jumps.</m:t>
            </m:r>
          </m:e>
          <m:sup>
            <m:r>
              <w:rPr>
                <w:rFonts w:ascii="Cambria Math" w:eastAsiaTheme="minorEastAsia" w:hAnsi="Cambria Math"/>
              </w:rPr>
              <m:t>3</m:t>
            </m:r>
          </m:sup>
        </m:sSup>
      </m:oMath>
      <w:r>
        <w:rPr>
          <w:rFonts w:eastAsiaTheme="minorEastAsia"/>
        </w:rPr>
        <w:t xml:space="preserve"> The effect of both nonconstant volatility and jumps is that extreme outcomes become more likely. As we will discuss in Appendix A, the CEV model did not assume variance is constant. In other words, the variance is a function of the stock price per share. In addition, the CEV model can take care of the jump of foreign exchange better than the Black-Scholes model. </w:t>
      </w:r>
    </w:p>
    <w:p w:rsidR="00A236D7" w:rsidRDefault="00A236D7" w:rsidP="0076768D">
      <w:pPr>
        <w:spacing w:line="480" w:lineRule="auto"/>
        <w:contextualSpacing/>
        <w:rPr>
          <w:rFonts w:eastAsiaTheme="minorEastAsia"/>
        </w:rPr>
      </w:pPr>
      <w:r>
        <w:rPr>
          <w:rFonts w:eastAsiaTheme="minorEastAsia"/>
        </w:rPr>
        <w:t xml:space="preserve">   The impact of jumps and nonconstant volatility depends on the option maturity. As the maturity of the option is increased, the percentage impact of a nonconstant volatility on prices becomes more pronounced, but its percentage impact on implied volatility usually becomes less pronounced. The percentage impact of jumps on both prices and the implied volatility becomes less pronounced as the maturity of the option is </w:t>
      </w:r>
      <m:oMath>
        <m:sSup>
          <m:sSupPr>
            <m:ctrlPr>
              <w:rPr>
                <w:rFonts w:ascii="Cambria Math" w:eastAsiaTheme="minorEastAsia" w:hAnsi="Cambria Math"/>
                <w:i/>
              </w:rPr>
            </m:ctrlPr>
          </m:sSupPr>
          <m:e>
            <m:r>
              <w:rPr>
                <w:rFonts w:ascii="Cambria Math" w:eastAsiaTheme="minorEastAsia" w:hAnsi="Cambria Math"/>
              </w:rPr>
              <m:t>increased.</m:t>
            </m:r>
          </m:e>
          <m:sup>
            <m:r>
              <w:rPr>
                <w:rFonts w:ascii="Cambria Math" w:eastAsiaTheme="minorEastAsia" w:hAnsi="Cambria Math"/>
              </w:rPr>
              <m:t>4</m:t>
            </m:r>
          </m:sup>
        </m:sSup>
      </m:oMath>
      <w:r>
        <w:rPr>
          <w:rFonts w:eastAsiaTheme="minorEastAsia"/>
        </w:rPr>
        <w:t xml:space="preserve"> The result of all of this is that the volatility smile becomes less pronounced as option maturity increases. </w:t>
      </w:r>
    </w:p>
    <w:p w:rsidR="00A236D7" w:rsidRDefault="00A236D7" w:rsidP="0076768D">
      <w:pPr>
        <w:spacing w:line="480" w:lineRule="auto"/>
        <w:contextualSpacing/>
        <w:rPr>
          <w:rFonts w:eastAsiaTheme="minorEastAsia"/>
          <w:b/>
        </w:rPr>
      </w:pPr>
      <w:r>
        <w:rPr>
          <w:rFonts w:eastAsiaTheme="minorEastAsia"/>
          <w:b/>
        </w:rPr>
        <w:t>5.2 Equity Options</w:t>
      </w:r>
    </w:p>
    <w:p w:rsidR="00A236D7" w:rsidRDefault="00A236D7" w:rsidP="0076768D">
      <w:pPr>
        <w:spacing w:line="480" w:lineRule="auto"/>
        <w:contextualSpacing/>
        <w:rPr>
          <w:rFonts w:eastAsiaTheme="minorEastAsia"/>
        </w:rPr>
      </w:pPr>
      <w:r>
        <w:rPr>
          <w:rFonts w:eastAsiaTheme="minorEastAsia"/>
        </w:rPr>
        <w:t xml:space="preserve">The volatility smile for equity options has been studied by Rubinstein (1985), Rubinstein (1994) and Jackwerth and Rubinstein (1996). Prior to 1987, there was no marked volatility smile. Since 1987 the volatility smile used by traders to price equity options (both those on individual stocks and those on stock indices) has had the general form shown in Figure 3. This is sometimes referred to as </w:t>
      </w:r>
      <w:r>
        <w:rPr>
          <w:rFonts w:eastAsiaTheme="minorEastAsia"/>
          <w:i/>
        </w:rPr>
        <w:t xml:space="preserve">volatility skew. </w:t>
      </w:r>
      <w:r>
        <w:rPr>
          <w:rFonts w:eastAsiaTheme="minorEastAsia"/>
        </w:rPr>
        <w:t>The volatility decreases as the strike price increases. The volatility used to price an option with a low strike price (i.e., a deep-out-of-the-money put or deep-in-the-money call) is significantly  higher than that used to price an option with a high strike price (i.e., a deep-in-the-money put or deep-out-of-the-money call).</w:t>
      </w:r>
    </w:p>
    <w:p w:rsidR="00A236D7" w:rsidRDefault="00A236D7" w:rsidP="0076768D">
      <w:pPr>
        <w:spacing w:line="480" w:lineRule="auto"/>
        <w:contextualSpacing/>
        <w:rPr>
          <w:rFonts w:eastAsiaTheme="minorEastAsia"/>
          <w:b/>
        </w:rPr>
      </w:pPr>
      <w:r>
        <w:rPr>
          <w:rFonts w:eastAsiaTheme="minorEastAsia"/>
        </w:rPr>
        <w:t xml:space="preserve">   The volatility smile for equity options corresponds to the implied probability distribution given by the solid line in Figure 4. A lognormal distribution with the same mean and standard deviation as the implied distribution is represented by the dotted line. It can be seen that the implied distribution has a heavier left tail and less heavy right tail than the lognormal distribution. </w:t>
      </w:r>
      <w:r>
        <w:rPr>
          <w:rFonts w:eastAsiaTheme="minorEastAsia"/>
          <w:b/>
        </w:rPr>
        <w:t xml:space="preserve"> </w:t>
      </w:r>
      <w:r w:rsidRPr="00570BD0">
        <w:rPr>
          <w:rFonts w:eastAsiaTheme="minorEastAsia"/>
          <w:noProof/>
          <w:lang w:eastAsia="en-US"/>
        </w:rPr>
        <w:drawing>
          <wp:inline distT="0" distB="0" distL="0" distR="0">
            <wp:extent cx="5943600" cy="50442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3600" cy="5044284"/>
                    </a:xfrm>
                    <a:prstGeom prst="rect">
                      <a:avLst/>
                    </a:prstGeom>
                    <a:noFill/>
                    <a:ln>
                      <a:noFill/>
                    </a:ln>
                  </pic:spPr>
                </pic:pic>
              </a:graphicData>
            </a:graphic>
          </wp:inline>
        </w:drawing>
      </w:r>
    </w:p>
    <w:p w:rsidR="00A236D7" w:rsidRPr="00570BD0" w:rsidRDefault="00A236D7" w:rsidP="0076768D">
      <w:pPr>
        <w:spacing w:line="480" w:lineRule="auto"/>
        <w:contextualSpacing/>
        <w:rPr>
          <w:rFonts w:eastAsiaTheme="minorEastAsia"/>
        </w:rPr>
      </w:pPr>
      <w:r>
        <w:rPr>
          <w:rFonts w:eastAsiaTheme="minorEastAsia"/>
          <w:b/>
        </w:rPr>
        <w:t xml:space="preserve">Figure 3 </w:t>
      </w:r>
      <w:r>
        <w:rPr>
          <w:rFonts w:eastAsiaTheme="minorEastAsia"/>
        </w:rPr>
        <w:t>Volatility smile for equities</w:t>
      </w:r>
    </w:p>
    <w:p w:rsidR="00A236D7" w:rsidRDefault="00A236D7" w:rsidP="0076768D">
      <w:pPr>
        <w:spacing w:line="480" w:lineRule="auto"/>
        <w:contextualSpacing/>
        <w:rPr>
          <w:rFonts w:eastAsiaTheme="minorEastAsia"/>
        </w:rPr>
      </w:pPr>
    </w:p>
    <w:tbl>
      <w:tblPr>
        <w:tblStyle w:val="TableGrid"/>
        <w:tblW w:w="0" w:type="auto"/>
        <w:tblLook w:val="04A0" w:firstRow="1" w:lastRow="0" w:firstColumn="1" w:lastColumn="0" w:noHBand="0" w:noVBand="1"/>
      </w:tblPr>
      <w:tblGrid>
        <w:gridCol w:w="9350"/>
      </w:tblGrid>
      <w:tr w:rsidR="00A236D7" w:rsidTr="007F0B5A">
        <w:tc>
          <w:tcPr>
            <w:tcW w:w="9350" w:type="dxa"/>
          </w:tcPr>
          <w:p w:rsidR="00A236D7" w:rsidRDefault="00A236D7" w:rsidP="0076768D">
            <w:pPr>
              <w:spacing w:line="480" w:lineRule="auto"/>
              <w:contextualSpacing/>
              <w:rPr>
                <w:rFonts w:eastAsiaTheme="minorEastAsia"/>
                <w:u w:val="single"/>
              </w:rPr>
            </w:pPr>
            <w:r>
              <w:rPr>
                <w:rFonts w:eastAsiaTheme="minorEastAsia"/>
                <w:b/>
                <w:u w:val="single"/>
              </w:rPr>
              <w:t xml:space="preserve">Business Snapshot 2 </w:t>
            </w:r>
            <w:r>
              <w:rPr>
                <w:rFonts w:eastAsiaTheme="minorEastAsia"/>
                <w:u w:val="single"/>
              </w:rPr>
              <w:t>Crashophobia</w:t>
            </w:r>
          </w:p>
          <w:p w:rsidR="00A236D7" w:rsidRDefault="00A236D7" w:rsidP="0076768D">
            <w:pPr>
              <w:spacing w:line="480" w:lineRule="auto"/>
              <w:contextualSpacing/>
              <w:rPr>
                <w:rFonts w:eastAsiaTheme="minorEastAsia"/>
              </w:rPr>
            </w:pPr>
            <w:r>
              <w:rPr>
                <w:rFonts w:eastAsiaTheme="minorEastAsia"/>
              </w:rPr>
              <w:t xml:space="preserve">It is interesting that the pattern for equities in Figure 3 has existed only since the stock market crash of October 1987. Prior to October 1987, implied volatilities were much less dependent on strike price. This has led Mark Rubinstein to suggest that one reason for the equity volatility smile may be “crashophobia.” Traders are concerned about the possibility of another crash similar to October 1987, and they price options accordingly. </w:t>
            </w:r>
          </w:p>
          <w:p w:rsidR="00A236D7" w:rsidRPr="00C413A0" w:rsidRDefault="00A236D7" w:rsidP="0076768D">
            <w:pPr>
              <w:spacing w:line="480" w:lineRule="auto"/>
              <w:contextualSpacing/>
              <w:rPr>
                <w:rFonts w:eastAsiaTheme="minorEastAsia"/>
              </w:rPr>
            </w:pPr>
            <w:r>
              <w:rPr>
                <w:rFonts w:eastAsiaTheme="minorEastAsia"/>
              </w:rPr>
              <w:t xml:space="preserve">   There is some empirical support for this explanation. Declines in the S&amp;P 500 tend to be accompanied by a steepening of the skew. When the S&amp;P 500 increases, the skew tends to become </w:t>
            </w:r>
            <w:r w:rsidR="0076768D">
              <w:rPr>
                <w:rFonts w:eastAsiaTheme="minorEastAsia"/>
              </w:rPr>
              <w:t xml:space="preserve">less steep. </w:t>
            </w:r>
          </w:p>
        </w:tc>
      </w:tr>
    </w:tbl>
    <w:p w:rsidR="00A236D7"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r>
        <w:rPr>
          <w:rFonts w:eastAsiaTheme="minorEastAsia"/>
        </w:rPr>
        <w:t xml:space="preserve">   To see that Figures 3 and 4 are consistent with each other, we proceed as for Figures 1 and 2 and consider options that are deep out of the money. From Figure 4, a deep-out-of-the-money call with a strike price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oMath>
      <w:r>
        <w:rPr>
          <w:rFonts w:eastAsiaTheme="minorEastAsia"/>
        </w:rPr>
        <w:t xml:space="preserve"> has a lower price when the implied distribution is used than when the lognormal distribution is used. This is because the option pays off only if the stock price proves to be above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oMath>
      <w:r>
        <w:rPr>
          <w:rFonts w:eastAsiaTheme="minorEastAsia"/>
        </w:rPr>
        <w:t xml:space="preserve">, and the probability of this is lower for the implied probability distribution than for the lognormal distribution. We therefore expect the implied distribution to give a relatively low price for the option. A relatively low price leads to a relatively low implied volatility—and this is exactly what we observe in Figure 3 for the option. Consider next a deep-out-of-the-money put option with a strike price of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Pr>
          <w:rFonts w:eastAsiaTheme="minorEastAsia"/>
        </w:rPr>
        <w:t xml:space="preserve">. This option pays off only if the stock price proves to be below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Pr>
          <w:rFonts w:eastAsiaTheme="minorEastAsia"/>
        </w:rPr>
        <w:t>. Figure 4 shows that the probability of this is higher for the implied probability distribution than for the lognormal distribution. We therefore expect the implied distribution to give a relatively high price, and a relatively high implied volatility, for this option. Again, this is exactly what we observe in Figure 3.</w:t>
      </w:r>
    </w:p>
    <w:p w:rsidR="00A236D7" w:rsidRDefault="00CE2599" w:rsidP="0076768D">
      <w:pPr>
        <w:spacing w:line="480" w:lineRule="auto"/>
        <w:contextualSpacing/>
        <w:rPr>
          <w:rFonts w:eastAsiaTheme="minorEastAsia"/>
        </w:rPr>
      </w:pPr>
      <w:r w:rsidRPr="00CE2599">
        <w:rPr>
          <w:rFonts w:eastAsiaTheme="minorEastAsia"/>
          <w:noProof/>
          <w:lang w:eastAsia="en-US"/>
        </w:rPr>
        <w:drawing>
          <wp:inline distT="0" distB="0" distL="0" distR="0" wp14:anchorId="5CE93E13" wp14:editId="2C953E2C">
            <wp:extent cx="5648325" cy="3819525"/>
            <wp:effectExtent l="0" t="0" r="9525" b="952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4"/>
                    <a:stretch>
                      <a:fillRect/>
                    </a:stretch>
                  </pic:blipFill>
                  <pic:spPr>
                    <a:xfrm>
                      <a:off x="0" y="0"/>
                      <a:ext cx="5648325" cy="3819525"/>
                    </a:xfrm>
                    <a:prstGeom prst="rect">
                      <a:avLst/>
                    </a:prstGeom>
                  </pic:spPr>
                </pic:pic>
              </a:graphicData>
            </a:graphic>
          </wp:inline>
        </w:drawing>
      </w:r>
    </w:p>
    <w:p w:rsidR="00A236D7" w:rsidRDefault="00A236D7" w:rsidP="0076768D">
      <w:pPr>
        <w:spacing w:line="480" w:lineRule="auto"/>
        <w:contextualSpacing/>
        <w:rPr>
          <w:rFonts w:eastAsiaTheme="minorEastAsia"/>
        </w:rPr>
      </w:pPr>
      <w:r>
        <w:rPr>
          <w:rFonts w:eastAsiaTheme="minorEastAsia"/>
          <w:b/>
        </w:rPr>
        <w:t xml:space="preserve">Figure 4 </w:t>
      </w:r>
      <w:r>
        <w:rPr>
          <w:rFonts w:eastAsiaTheme="minorEastAsia"/>
        </w:rPr>
        <w:t>Implied distribution and lognormal distribution for equity options</w:t>
      </w:r>
    </w:p>
    <w:p w:rsidR="00A236D7" w:rsidRPr="00570BD0"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b/>
        </w:rPr>
      </w:pPr>
      <w:r>
        <w:rPr>
          <w:rFonts w:eastAsiaTheme="minorEastAsia"/>
          <w:b/>
        </w:rPr>
        <w:t>The Reason for the Smile in Equity Options</w:t>
      </w:r>
    </w:p>
    <w:p w:rsidR="00A236D7" w:rsidRDefault="00A236D7" w:rsidP="0076768D">
      <w:pPr>
        <w:spacing w:line="480" w:lineRule="auto"/>
        <w:contextualSpacing/>
        <w:rPr>
          <w:rFonts w:eastAsiaTheme="minorEastAsia"/>
        </w:rPr>
      </w:pPr>
      <w:r>
        <w:rPr>
          <w:rFonts w:eastAsiaTheme="minorEastAsia"/>
        </w:rPr>
        <w:t xml:space="preserve">One possible explanation for the smile in equity options concerns leverage. As a company’s equity declines in value, the company’s leverage increases. This means that the equity becomes more risky and its volatility increases. As a company’s equity increases in value, leverage decreases. The equity then becomes less risky and its volatility decreases. This argument suggests that we can expect the volatility of a stock to be a decreasing function of the stock price and is consistent with Figures 3 and 4. Another explanation is “crashophobia” (see Business Snapshot 2). </w:t>
      </w:r>
    </w:p>
    <w:p w:rsidR="00A236D7" w:rsidRDefault="00A236D7" w:rsidP="0076768D">
      <w:pPr>
        <w:spacing w:line="480" w:lineRule="auto"/>
        <w:contextualSpacing/>
        <w:rPr>
          <w:rFonts w:eastAsiaTheme="minorEastAsia"/>
          <w:b/>
        </w:rPr>
      </w:pPr>
      <w:r>
        <w:rPr>
          <w:rFonts w:eastAsiaTheme="minorEastAsia"/>
          <w:b/>
        </w:rPr>
        <w:t>5.3 The Volatility Term Structure and Volatility Surfaces</w:t>
      </w:r>
    </w:p>
    <w:p w:rsidR="00A236D7" w:rsidRDefault="00A236D7" w:rsidP="0076768D">
      <w:pPr>
        <w:spacing w:line="480" w:lineRule="auto"/>
        <w:contextualSpacing/>
        <w:rPr>
          <w:rFonts w:eastAsiaTheme="minorEastAsia"/>
        </w:rPr>
      </w:pPr>
      <w:r>
        <w:rPr>
          <w:rFonts w:eastAsiaTheme="minorEastAsia"/>
        </w:rPr>
        <w:t xml:space="preserve">Traders allow implied volatility to depend on time to maturity as well as strike price. Implied volatility tends to be an increasing function of maturity when short-dated volatilities are historically low. This is because there is then an expectation that volatilities will increase. </w:t>
      </w:r>
    </w:p>
    <w:p w:rsidR="00A236D7"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r>
        <w:rPr>
          <w:rFonts w:eastAsiaTheme="minorEastAsia"/>
          <w:b/>
        </w:rPr>
        <w:t xml:space="preserve">Table </w:t>
      </w:r>
      <w:r w:rsidR="00453FDE">
        <w:rPr>
          <w:rFonts w:eastAsiaTheme="minorEastAsia"/>
          <w:b/>
        </w:rPr>
        <w:t>4</w:t>
      </w:r>
      <w:r>
        <w:rPr>
          <w:rFonts w:eastAsiaTheme="minorEastAsia"/>
          <w:b/>
        </w:rPr>
        <w:t xml:space="preserve"> </w:t>
      </w:r>
      <w:r>
        <w:rPr>
          <w:rFonts w:eastAsiaTheme="minorEastAsia"/>
        </w:rPr>
        <w:t>Volatility Surface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A236D7" w:rsidTr="00221F10">
        <w:tc>
          <w:tcPr>
            <w:tcW w:w="1558" w:type="dxa"/>
          </w:tcPr>
          <w:p w:rsidR="00A236D7" w:rsidRPr="005F424A" w:rsidRDefault="00A236D7" w:rsidP="0076768D">
            <w:pPr>
              <w:spacing w:line="480" w:lineRule="auto"/>
              <w:contextualSpacing/>
              <w:rPr>
                <w:rFonts w:eastAsiaTheme="minorEastAsia"/>
                <w:i/>
              </w:rPr>
            </w:pPr>
            <w:r>
              <w:rPr>
                <w:rFonts w:eastAsiaTheme="minorEastAsia"/>
                <w:i/>
              </w:rPr>
              <w:t>Option Maturity</w:t>
            </w:r>
          </w:p>
        </w:tc>
        <w:tc>
          <w:tcPr>
            <w:tcW w:w="7792" w:type="dxa"/>
            <w:gridSpan w:val="5"/>
          </w:tcPr>
          <w:p w:rsidR="00A236D7" w:rsidRPr="005F424A" w:rsidRDefault="00A236D7" w:rsidP="005F424A">
            <w:pPr>
              <w:spacing w:line="480" w:lineRule="auto"/>
              <w:contextualSpacing/>
              <w:jc w:val="center"/>
              <w:rPr>
                <w:rFonts w:eastAsiaTheme="minorEastAsia"/>
                <w:i/>
              </w:rPr>
            </w:pPr>
            <w:r>
              <w:rPr>
                <w:rFonts w:eastAsiaTheme="minorEastAsia"/>
                <w:i/>
              </w:rPr>
              <w:t>Strike Price</w:t>
            </w:r>
          </w:p>
        </w:tc>
      </w:tr>
      <w:tr w:rsidR="00A236D7" w:rsidTr="00562BC1">
        <w:tc>
          <w:tcPr>
            <w:tcW w:w="1558" w:type="dxa"/>
          </w:tcPr>
          <w:p w:rsidR="00A236D7" w:rsidRDefault="00A236D7" w:rsidP="0076768D">
            <w:pPr>
              <w:spacing w:line="480" w:lineRule="auto"/>
              <w:contextualSpacing/>
              <w:rPr>
                <w:rFonts w:eastAsiaTheme="minorEastAsia"/>
              </w:rPr>
            </w:pPr>
          </w:p>
        </w:tc>
        <w:tc>
          <w:tcPr>
            <w:tcW w:w="1558" w:type="dxa"/>
          </w:tcPr>
          <w:p w:rsidR="00A236D7" w:rsidRDefault="00A236D7" w:rsidP="0076768D">
            <w:pPr>
              <w:spacing w:line="480" w:lineRule="auto"/>
              <w:contextualSpacing/>
              <w:rPr>
                <w:rFonts w:eastAsiaTheme="minorEastAsia"/>
              </w:rPr>
            </w:pPr>
            <w:r>
              <w:rPr>
                <w:rFonts w:eastAsiaTheme="minorEastAsia"/>
              </w:rPr>
              <w:t>0.90</w:t>
            </w:r>
          </w:p>
        </w:tc>
        <w:tc>
          <w:tcPr>
            <w:tcW w:w="1558" w:type="dxa"/>
          </w:tcPr>
          <w:p w:rsidR="00A236D7" w:rsidRDefault="00A236D7" w:rsidP="0076768D">
            <w:pPr>
              <w:spacing w:line="480" w:lineRule="auto"/>
              <w:contextualSpacing/>
              <w:rPr>
                <w:rFonts w:eastAsiaTheme="minorEastAsia"/>
              </w:rPr>
            </w:pPr>
            <w:r>
              <w:rPr>
                <w:rFonts w:eastAsiaTheme="minorEastAsia"/>
              </w:rPr>
              <w:t>0.95</w:t>
            </w:r>
          </w:p>
        </w:tc>
        <w:tc>
          <w:tcPr>
            <w:tcW w:w="1558" w:type="dxa"/>
          </w:tcPr>
          <w:p w:rsidR="00A236D7" w:rsidRDefault="00A236D7" w:rsidP="0076768D">
            <w:pPr>
              <w:spacing w:line="480" w:lineRule="auto"/>
              <w:contextualSpacing/>
              <w:rPr>
                <w:rFonts w:eastAsiaTheme="minorEastAsia"/>
              </w:rPr>
            </w:pPr>
            <w:r>
              <w:rPr>
                <w:rFonts w:eastAsiaTheme="minorEastAsia"/>
              </w:rPr>
              <w:t>1.00</w:t>
            </w:r>
          </w:p>
        </w:tc>
        <w:tc>
          <w:tcPr>
            <w:tcW w:w="1559" w:type="dxa"/>
          </w:tcPr>
          <w:p w:rsidR="00A236D7" w:rsidRDefault="00A236D7" w:rsidP="0076768D">
            <w:pPr>
              <w:spacing w:line="480" w:lineRule="auto"/>
              <w:contextualSpacing/>
              <w:rPr>
                <w:rFonts w:eastAsiaTheme="minorEastAsia"/>
              </w:rPr>
            </w:pPr>
            <w:r>
              <w:rPr>
                <w:rFonts w:eastAsiaTheme="minorEastAsia"/>
              </w:rPr>
              <w:t>1.05</w:t>
            </w:r>
          </w:p>
        </w:tc>
        <w:tc>
          <w:tcPr>
            <w:tcW w:w="1559" w:type="dxa"/>
          </w:tcPr>
          <w:p w:rsidR="00A236D7" w:rsidRDefault="00A236D7" w:rsidP="0076768D">
            <w:pPr>
              <w:spacing w:line="480" w:lineRule="auto"/>
              <w:contextualSpacing/>
              <w:rPr>
                <w:rFonts w:eastAsiaTheme="minorEastAsia"/>
              </w:rPr>
            </w:pPr>
            <w:r>
              <w:rPr>
                <w:rFonts w:eastAsiaTheme="minorEastAsia"/>
              </w:rPr>
              <w:t>1.10</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1 month</w:t>
            </w:r>
          </w:p>
        </w:tc>
        <w:tc>
          <w:tcPr>
            <w:tcW w:w="1558" w:type="dxa"/>
          </w:tcPr>
          <w:p w:rsidR="00A236D7" w:rsidRDefault="00A236D7" w:rsidP="0076768D">
            <w:pPr>
              <w:spacing w:line="480" w:lineRule="auto"/>
              <w:contextualSpacing/>
              <w:rPr>
                <w:rFonts w:eastAsiaTheme="minorEastAsia"/>
              </w:rPr>
            </w:pPr>
            <w:r>
              <w:rPr>
                <w:rFonts w:eastAsiaTheme="minorEastAsia"/>
              </w:rPr>
              <w:t>14.2</w:t>
            </w:r>
          </w:p>
        </w:tc>
        <w:tc>
          <w:tcPr>
            <w:tcW w:w="1558" w:type="dxa"/>
          </w:tcPr>
          <w:p w:rsidR="00A236D7" w:rsidRDefault="00A236D7" w:rsidP="0076768D">
            <w:pPr>
              <w:spacing w:line="480" w:lineRule="auto"/>
              <w:contextualSpacing/>
              <w:rPr>
                <w:rFonts w:eastAsiaTheme="minorEastAsia"/>
              </w:rPr>
            </w:pPr>
            <w:r>
              <w:rPr>
                <w:rFonts w:eastAsiaTheme="minorEastAsia"/>
              </w:rPr>
              <w:t>13.0</w:t>
            </w:r>
          </w:p>
        </w:tc>
        <w:tc>
          <w:tcPr>
            <w:tcW w:w="1558" w:type="dxa"/>
          </w:tcPr>
          <w:p w:rsidR="00A236D7" w:rsidRDefault="00A236D7" w:rsidP="0076768D">
            <w:pPr>
              <w:spacing w:line="480" w:lineRule="auto"/>
              <w:contextualSpacing/>
              <w:rPr>
                <w:rFonts w:eastAsiaTheme="minorEastAsia"/>
              </w:rPr>
            </w:pPr>
            <w:r>
              <w:rPr>
                <w:rFonts w:eastAsiaTheme="minorEastAsia"/>
              </w:rPr>
              <w:t>12.0</w:t>
            </w:r>
          </w:p>
        </w:tc>
        <w:tc>
          <w:tcPr>
            <w:tcW w:w="1559" w:type="dxa"/>
          </w:tcPr>
          <w:p w:rsidR="00A236D7" w:rsidRDefault="00A236D7" w:rsidP="0076768D">
            <w:pPr>
              <w:spacing w:line="480" w:lineRule="auto"/>
              <w:contextualSpacing/>
              <w:rPr>
                <w:rFonts w:eastAsiaTheme="minorEastAsia"/>
              </w:rPr>
            </w:pPr>
            <w:r>
              <w:rPr>
                <w:rFonts w:eastAsiaTheme="minorEastAsia"/>
              </w:rPr>
              <w:t>13.1</w:t>
            </w:r>
          </w:p>
        </w:tc>
        <w:tc>
          <w:tcPr>
            <w:tcW w:w="1559" w:type="dxa"/>
          </w:tcPr>
          <w:p w:rsidR="00A236D7" w:rsidRDefault="00A236D7" w:rsidP="0076768D">
            <w:pPr>
              <w:spacing w:line="480" w:lineRule="auto"/>
              <w:contextualSpacing/>
              <w:rPr>
                <w:rFonts w:eastAsiaTheme="minorEastAsia"/>
              </w:rPr>
            </w:pPr>
            <w:r>
              <w:rPr>
                <w:rFonts w:eastAsiaTheme="minorEastAsia"/>
              </w:rPr>
              <w:t>14.5</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3 months</w:t>
            </w:r>
          </w:p>
        </w:tc>
        <w:tc>
          <w:tcPr>
            <w:tcW w:w="1558" w:type="dxa"/>
          </w:tcPr>
          <w:p w:rsidR="00A236D7" w:rsidRDefault="00A236D7" w:rsidP="0076768D">
            <w:pPr>
              <w:spacing w:line="480" w:lineRule="auto"/>
              <w:contextualSpacing/>
              <w:rPr>
                <w:rFonts w:eastAsiaTheme="minorEastAsia"/>
              </w:rPr>
            </w:pPr>
            <w:r>
              <w:rPr>
                <w:rFonts w:eastAsiaTheme="minorEastAsia"/>
              </w:rPr>
              <w:t>14.0</w:t>
            </w:r>
          </w:p>
        </w:tc>
        <w:tc>
          <w:tcPr>
            <w:tcW w:w="1558" w:type="dxa"/>
          </w:tcPr>
          <w:p w:rsidR="00A236D7" w:rsidRDefault="00A236D7" w:rsidP="0076768D">
            <w:pPr>
              <w:spacing w:line="480" w:lineRule="auto"/>
              <w:contextualSpacing/>
              <w:rPr>
                <w:rFonts w:eastAsiaTheme="minorEastAsia"/>
              </w:rPr>
            </w:pPr>
            <w:r>
              <w:rPr>
                <w:rFonts w:eastAsiaTheme="minorEastAsia"/>
              </w:rPr>
              <w:t>13.0</w:t>
            </w:r>
          </w:p>
        </w:tc>
        <w:tc>
          <w:tcPr>
            <w:tcW w:w="1558" w:type="dxa"/>
          </w:tcPr>
          <w:p w:rsidR="00A236D7" w:rsidRDefault="00A236D7" w:rsidP="0076768D">
            <w:pPr>
              <w:spacing w:line="480" w:lineRule="auto"/>
              <w:contextualSpacing/>
              <w:rPr>
                <w:rFonts w:eastAsiaTheme="minorEastAsia"/>
              </w:rPr>
            </w:pPr>
            <w:r>
              <w:rPr>
                <w:rFonts w:eastAsiaTheme="minorEastAsia"/>
              </w:rPr>
              <w:t>12.0</w:t>
            </w:r>
          </w:p>
        </w:tc>
        <w:tc>
          <w:tcPr>
            <w:tcW w:w="1559" w:type="dxa"/>
          </w:tcPr>
          <w:p w:rsidR="00A236D7" w:rsidRDefault="00A236D7" w:rsidP="0076768D">
            <w:pPr>
              <w:spacing w:line="480" w:lineRule="auto"/>
              <w:contextualSpacing/>
              <w:rPr>
                <w:rFonts w:eastAsiaTheme="minorEastAsia"/>
              </w:rPr>
            </w:pPr>
            <w:r>
              <w:rPr>
                <w:rFonts w:eastAsiaTheme="minorEastAsia"/>
              </w:rPr>
              <w:t>13.1</w:t>
            </w:r>
          </w:p>
        </w:tc>
        <w:tc>
          <w:tcPr>
            <w:tcW w:w="1559" w:type="dxa"/>
          </w:tcPr>
          <w:p w:rsidR="00A236D7" w:rsidRDefault="00A236D7" w:rsidP="0076768D">
            <w:pPr>
              <w:spacing w:line="480" w:lineRule="auto"/>
              <w:contextualSpacing/>
              <w:rPr>
                <w:rFonts w:eastAsiaTheme="minorEastAsia"/>
              </w:rPr>
            </w:pPr>
            <w:r>
              <w:rPr>
                <w:rFonts w:eastAsiaTheme="minorEastAsia"/>
              </w:rPr>
              <w:t>14.2</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6 months</w:t>
            </w:r>
          </w:p>
        </w:tc>
        <w:tc>
          <w:tcPr>
            <w:tcW w:w="1558" w:type="dxa"/>
          </w:tcPr>
          <w:p w:rsidR="00A236D7" w:rsidRDefault="00A236D7" w:rsidP="0076768D">
            <w:pPr>
              <w:spacing w:line="480" w:lineRule="auto"/>
              <w:contextualSpacing/>
              <w:rPr>
                <w:rFonts w:eastAsiaTheme="minorEastAsia"/>
              </w:rPr>
            </w:pPr>
            <w:r>
              <w:rPr>
                <w:rFonts w:eastAsiaTheme="minorEastAsia"/>
              </w:rPr>
              <w:t>14.1</w:t>
            </w:r>
          </w:p>
        </w:tc>
        <w:tc>
          <w:tcPr>
            <w:tcW w:w="1558" w:type="dxa"/>
          </w:tcPr>
          <w:p w:rsidR="00A236D7" w:rsidRDefault="00A236D7" w:rsidP="0076768D">
            <w:pPr>
              <w:spacing w:line="480" w:lineRule="auto"/>
              <w:contextualSpacing/>
              <w:rPr>
                <w:rFonts w:eastAsiaTheme="minorEastAsia"/>
              </w:rPr>
            </w:pPr>
            <w:r>
              <w:rPr>
                <w:rFonts w:eastAsiaTheme="minorEastAsia"/>
              </w:rPr>
              <w:t>13.3</w:t>
            </w:r>
          </w:p>
        </w:tc>
        <w:tc>
          <w:tcPr>
            <w:tcW w:w="1558" w:type="dxa"/>
          </w:tcPr>
          <w:p w:rsidR="00A236D7" w:rsidRDefault="00A236D7" w:rsidP="0076768D">
            <w:pPr>
              <w:spacing w:line="480" w:lineRule="auto"/>
              <w:contextualSpacing/>
              <w:rPr>
                <w:rFonts w:eastAsiaTheme="minorEastAsia"/>
              </w:rPr>
            </w:pPr>
            <w:r>
              <w:rPr>
                <w:rFonts w:eastAsiaTheme="minorEastAsia"/>
              </w:rPr>
              <w:t>12.5</w:t>
            </w:r>
          </w:p>
        </w:tc>
        <w:tc>
          <w:tcPr>
            <w:tcW w:w="1559" w:type="dxa"/>
          </w:tcPr>
          <w:p w:rsidR="00A236D7" w:rsidRDefault="00A236D7" w:rsidP="0076768D">
            <w:pPr>
              <w:spacing w:line="480" w:lineRule="auto"/>
              <w:contextualSpacing/>
              <w:rPr>
                <w:rFonts w:eastAsiaTheme="minorEastAsia"/>
              </w:rPr>
            </w:pPr>
            <w:r>
              <w:rPr>
                <w:rFonts w:eastAsiaTheme="minorEastAsia"/>
              </w:rPr>
              <w:t>13.4</w:t>
            </w:r>
          </w:p>
        </w:tc>
        <w:tc>
          <w:tcPr>
            <w:tcW w:w="1559" w:type="dxa"/>
          </w:tcPr>
          <w:p w:rsidR="00A236D7" w:rsidRDefault="00A236D7" w:rsidP="0076768D">
            <w:pPr>
              <w:spacing w:line="480" w:lineRule="auto"/>
              <w:contextualSpacing/>
              <w:rPr>
                <w:rFonts w:eastAsiaTheme="minorEastAsia"/>
              </w:rPr>
            </w:pPr>
            <w:r>
              <w:rPr>
                <w:rFonts w:eastAsiaTheme="minorEastAsia"/>
              </w:rPr>
              <w:t>14.3</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1 year</w:t>
            </w:r>
          </w:p>
        </w:tc>
        <w:tc>
          <w:tcPr>
            <w:tcW w:w="1558" w:type="dxa"/>
          </w:tcPr>
          <w:p w:rsidR="00A236D7" w:rsidRDefault="00A236D7" w:rsidP="0076768D">
            <w:pPr>
              <w:spacing w:line="480" w:lineRule="auto"/>
              <w:contextualSpacing/>
              <w:rPr>
                <w:rFonts w:eastAsiaTheme="minorEastAsia"/>
              </w:rPr>
            </w:pPr>
            <w:r>
              <w:rPr>
                <w:rFonts w:eastAsiaTheme="minorEastAsia"/>
              </w:rPr>
              <w:t>14.7</w:t>
            </w:r>
          </w:p>
        </w:tc>
        <w:tc>
          <w:tcPr>
            <w:tcW w:w="1558" w:type="dxa"/>
          </w:tcPr>
          <w:p w:rsidR="00A236D7" w:rsidRDefault="00A236D7" w:rsidP="0076768D">
            <w:pPr>
              <w:spacing w:line="480" w:lineRule="auto"/>
              <w:contextualSpacing/>
              <w:rPr>
                <w:rFonts w:eastAsiaTheme="minorEastAsia"/>
              </w:rPr>
            </w:pPr>
            <w:r>
              <w:rPr>
                <w:rFonts w:eastAsiaTheme="minorEastAsia"/>
              </w:rPr>
              <w:t>14.0</w:t>
            </w:r>
          </w:p>
        </w:tc>
        <w:tc>
          <w:tcPr>
            <w:tcW w:w="1558" w:type="dxa"/>
          </w:tcPr>
          <w:p w:rsidR="00A236D7" w:rsidRDefault="00A236D7" w:rsidP="0076768D">
            <w:pPr>
              <w:spacing w:line="480" w:lineRule="auto"/>
              <w:contextualSpacing/>
              <w:rPr>
                <w:rFonts w:eastAsiaTheme="minorEastAsia"/>
              </w:rPr>
            </w:pPr>
            <w:r>
              <w:rPr>
                <w:rFonts w:eastAsiaTheme="minorEastAsia"/>
              </w:rPr>
              <w:t>13.5</w:t>
            </w:r>
          </w:p>
        </w:tc>
        <w:tc>
          <w:tcPr>
            <w:tcW w:w="1559" w:type="dxa"/>
          </w:tcPr>
          <w:p w:rsidR="00A236D7" w:rsidRDefault="00A236D7" w:rsidP="0076768D">
            <w:pPr>
              <w:spacing w:line="480" w:lineRule="auto"/>
              <w:contextualSpacing/>
              <w:rPr>
                <w:rFonts w:eastAsiaTheme="minorEastAsia"/>
              </w:rPr>
            </w:pPr>
            <w:r>
              <w:rPr>
                <w:rFonts w:eastAsiaTheme="minorEastAsia"/>
              </w:rPr>
              <w:t>14.0</w:t>
            </w:r>
          </w:p>
        </w:tc>
        <w:tc>
          <w:tcPr>
            <w:tcW w:w="1559" w:type="dxa"/>
          </w:tcPr>
          <w:p w:rsidR="00A236D7" w:rsidRDefault="00A236D7" w:rsidP="0076768D">
            <w:pPr>
              <w:spacing w:line="480" w:lineRule="auto"/>
              <w:contextualSpacing/>
              <w:rPr>
                <w:rFonts w:eastAsiaTheme="minorEastAsia"/>
              </w:rPr>
            </w:pPr>
            <w:r>
              <w:rPr>
                <w:rFonts w:eastAsiaTheme="minorEastAsia"/>
              </w:rPr>
              <w:t>14.8</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2 years</w:t>
            </w:r>
          </w:p>
        </w:tc>
        <w:tc>
          <w:tcPr>
            <w:tcW w:w="1558" w:type="dxa"/>
          </w:tcPr>
          <w:p w:rsidR="00A236D7" w:rsidRDefault="00A236D7" w:rsidP="0076768D">
            <w:pPr>
              <w:spacing w:line="480" w:lineRule="auto"/>
              <w:contextualSpacing/>
              <w:rPr>
                <w:rFonts w:eastAsiaTheme="minorEastAsia"/>
              </w:rPr>
            </w:pPr>
            <w:r>
              <w:rPr>
                <w:rFonts w:eastAsiaTheme="minorEastAsia"/>
              </w:rPr>
              <w:t>15.0</w:t>
            </w:r>
          </w:p>
        </w:tc>
        <w:tc>
          <w:tcPr>
            <w:tcW w:w="1558" w:type="dxa"/>
          </w:tcPr>
          <w:p w:rsidR="00A236D7" w:rsidRDefault="00A236D7" w:rsidP="0076768D">
            <w:pPr>
              <w:spacing w:line="480" w:lineRule="auto"/>
              <w:contextualSpacing/>
              <w:rPr>
                <w:rFonts w:eastAsiaTheme="minorEastAsia"/>
              </w:rPr>
            </w:pPr>
            <w:r>
              <w:rPr>
                <w:rFonts w:eastAsiaTheme="minorEastAsia"/>
              </w:rPr>
              <w:t>14.4</w:t>
            </w:r>
          </w:p>
        </w:tc>
        <w:tc>
          <w:tcPr>
            <w:tcW w:w="1558" w:type="dxa"/>
          </w:tcPr>
          <w:p w:rsidR="00A236D7" w:rsidRDefault="00A236D7" w:rsidP="0076768D">
            <w:pPr>
              <w:spacing w:line="480" w:lineRule="auto"/>
              <w:contextualSpacing/>
              <w:rPr>
                <w:rFonts w:eastAsiaTheme="minorEastAsia"/>
              </w:rPr>
            </w:pPr>
            <w:r>
              <w:rPr>
                <w:rFonts w:eastAsiaTheme="minorEastAsia"/>
              </w:rPr>
              <w:t>14.0</w:t>
            </w:r>
          </w:p>
        </w:tc>
        <w:tc>
          <w:tcPr>
            <w:tcW w:w="1559" w:type="dxa"/>
          </w:tcPr>
          <w:p w:rsidR="00A236D7" w:rsidRDefault="00A236D7" w:rsidP="0076768D">
            <w:pPr>
              <w:spacing w:line="480" w:lineRule="auto"/>
              <w:contextualSpacing/>
              <w:rPr>
                <w:rFonts w:eastAsiaTheme="minorEastAsia"/>
              </w:rPr>
            </w:pPr>
            <w:r>
              <w:rPr>
                <w:rFonts w:eastAsiaTheme="minorEastAsia"/>
              </w:rPr>
              <w:t>14.5</w:t>
            </w:r>
          </w:p>
        </w:tc>
        <w:tc>
          <w:tcPr>
            <w:tcW w:w="1559" w:type="dxa"/>
          </w:tcPr>
          <w:p w:rsidR="00A236D7" w:rsidRDefault="00A236D7" w:rsidP="0076768D">
            <w:pPr>
              <w:spacing w:line="480" w:lineRule="auto"/>
              <w:contextualSpacing/>
              <w:rPr>
                <w:rFonts w:eastAsiaTheme="minorEastAsia"/>
              </w:rPr>
            </w:pPr>
            <w:r>
              <w:rPr>
                <w:rFonts w:eastAsiaTheme="minorEastAsia"/>
              </w:rPr>
              <w:t>15.1</w:t>
            </w:r>
          </w:p>
        </w:tc>
      </w:tr>
      <w:tr w:rsidR="00A236D7" w:rsidTr="00562BC1">
        <w:tc>
          <w:tcPr>
            <w:tcW w:w="1558" w:type="dxa"/>
          </w:tcPr>
          <w:p w:rsidR="00A236D7" w:rsidRDefault="00A236D7" w:rsidP="0076768D">
            <w:pPr>
              <w:spacing w:line="480" w:lineRule="auto"/>
              <w:contextualSpacing/>
              <w:rPr>
                <w:rFonts w:eastAsiaTheme="minorEastAsia"/>
              </w:rPr>
            </w:pPr>
            <w:r>
              <w:rPr>
                <w:rFonts w:eastAsiaTheme="minorEastAsia"/>
              </w:rPr>
              <w:t>5 years</w:t>
            </w:r>
          </w:p>
        </w:tc>
        <w:tc>
          <w:tcPr>
            <w:tcW w:w="1558" w:type="dxa"/>
          </w:tcPr>
          <w:p w:rsidR="00A236D7" w:rsidRDefault="00A236D7" w:rsidP="0076768D">
            <w:pPr>
              <w:spacing w:line="480" w:lineRule="auto"/>
              <w:contextualSpacing/>
              <w:rPr>
                <w:rFonts w:eastAsiaTheme="minorEastAsia"/>
              </w:rPr>
            </w:pPr>
            <w:r>
              <w:rPr>
                <w:rFonts w:eastAsiaTheme="minorEastAsia"/>
              </w:rPr>
              <w:t>14.8</w:t>
            </w:r>
          </w:p>
        </w:tc>
        <w:tc>
          <w:tcPr>
            <w:tcW w:w="1558" w:type="dxa"/>
          </w:tcPr>
          <w:p w:rsidR="00A236D7" w:rsidRDefault="00A236D7" w:rsidP="0076768D">
            <w:pPr>
              <w:spacing w:line="480" w:lineRule="auto"/>
              <w:contextualSpacing/>
              <w:rPr>
                <w:rFonts w:eastAsiaTheme="minorEastAsia"/>
              </w:rPr>
            </w:pPr>
            <w:r>
              <w:rPr>
                <w:rFonts w:eastAsiaTheme="minorEastAsia"/>
              </w:rPr>
              <w:t>14.6</w:t>
            </w:r>
          </w:p>
        </w:tc>
        <w:tc>
          <w:tcPr>
            <w:tcW w:w="1558" w:type="dxa"/>
          </w:tcPr>
          <w:p w:rsidR="00A236D7" w:rsidRDefault="00A236D7" w:rsidP="0076768D">
            <w:pPr>
              <w:spacing w:line="480" w:lineRule="auto"/>
              <w:contextualSpacing/>
              <w:rPr>
                <w:rFonts w:eastAsiaTheme="minorEastAsia"/>
              </w:rPr>
            </w:pPr>
            <w:r>
              <w:rPr>
                <w:rFonts w:eastAsiaTheme="minorEastAsia"/>
              </w:rPr>
              <w:t>14.4</w:t>
            </w:r>
          </w:p>
        </w:tc>
        <w:tc>
          <w:tcPr>
            <w:tcW w:w="1559" w:type="dxa"/>
          </w:tcPr>
          <w:p w:rsidR="00A236D7" w:rsidRDefault="00A236D7" w:rsidP="0076768D">
            <w:pPr>
              <w:spacing w:line="480" w:lineRule="auto"/>
              <w:contextualSpacing/>
              <w:rPr>
                <w:rFonts w:eastAsiaTheme="minorEastAsia"/>
              </w:rPr>
            </w:pPr>
            <w:r>
              <w:rPr>
                <w:rFonts w:eastAsiaTheme="minorEastAsia"/>
              </w:rPr>
              <w:t>14.7</w:t>
            </w:r>
          </w:p>
        </w:tc>
        <w:tc>
          <w:tcPr>
            <w:tcW w:w="1559" w:type="dxa"/>
          </w:tcPr>
          <w:p w:rsidR="00A236D7" w:rsidRDefault="00A236D7" w:rsidP="0076768D">
            <w:pPr>
              <w:spacing w:line="480" w:lineRule="auto"/>
              <w:contextualSpacing/>
              <w:rPr>
                <w:rFonts w:eastAsiaTheme="minorEastAsia"/>
              </w:rPr>
            </w:pPr>
            <w:r>
              <w:rPr>
                <w:rFonts w:eastAsiaTheme="minorEastAsia"/>
              </w:rPr>
              <w:t>15.0</w:t>
            </w:r>
          </w:p>
        </w:tc>
      </w:tr>
    </w:tbl>
    <w:p w:rsidR="0076768D" w:rsidRDefault="0076768D"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r>
        <w:rPr>
          <w:rFonts w:eastAsiaTheme="minorEastAsia"/>
        </w:rPr>
        <w:t xml:space="preserve">Similarly, volatility tends to be a decreasing function of maturity when short-dated volatilities are historically high. This is because there is then an expectation that volatilities will decrease, </w:t>
      </w:r>
    </w:p>
    <w:p w:rsidR="00A236D7" w:rsidRDefault="00A236D7" w:rsidP="0076768D">
      <w:pPr>
        <w:spacing w:line="480" w:lineRule="auto"/>
        <w:contextualSpacing/>
        <w:rPr>
          <w:rFonts w:eastAsiaTheme="minorEastAsia"/>
        </w:rPr>
      </w:pPr>
      <w:r>
        <w:rPr>
          <w:rFonts w:eastAsiaTheme="minorEastAsia"/>
        </w:rPr>
        <w:t xml:space="preserve">   Volatility surfaces combine volatility smiles with the volatility term structure to tabulate the volatilities appropriate for pricing an option with any strike price and any maturity. An example of a volatility surface that might be used for foreign currency options is shown in Table </w:t>
      </w:r>
      <w:r w:rsidR="00453FDE">
        <w:rPr>
          <w:rFonts w:eastAsiaTheme="minorEastAsia"/>
        </w:rPr>
        <w:t>4</w:t>
      </w:r>
      <w:r>
        <w:rPr>
          <w:rFonts w:eastAsiaTheme="minorEastAsia"/>
        </w:rPr>
        <w:t>. (The current exchange rate is assumed to be 1.00.) In this table, the volatility smile becomes less pronounced as the option maturity increases. As mentioned earlier, this is what is observed for currency options. It is also what is observed for options on most other assets.</w:t>
      </w:r>
    </w:p>
    <w:p w:rsidR="00A236D7" w:rsidRDefault="00A236D7" w:rsidP="0076768D">
      <w:pPr>
        <w:spacing w:line="480" w:lineRule="auto"/>
        <w:contextualSpacing/>
        <w:rPr>
          <w:rFonts w:eastAsiaTheme="minorEastAsia"/>
        </w:rPr>
      </w:pPr>
      <w:r>
        <w:rPr>
          <w:rFonts w:eastAsiaTheme="minorEastAsia"/>
        </w:rPr>
        <w:t xml:space="preserve">   One dimension of a volatility surface is strike price; the other is time to maturity. The main body of the volatility surface shows implied volatilities calculated from the Black-Scholes-Merton model. At any given time, some of the entries in the volatility surface are likely to correspond to options for which reliable market data are available. The implied volatilities for these options are calculated directly from their market prices and entered into the table. The rest of the volatility surface is typically determined using some form of interpolation. </w:t>
      </w:r>
    </w:p>
    <w:p w:rsidR="00A236D7" w:rsidRDefault="00A236D7" w:rsidP="0076768D">
      <w:pPr>
        <w:spacing w:line="480" w:lineRule="auto"/>
        <w:contextualSpacing/>
        <w:rPr>
          <w:rFonts w:eastAsiaTheme="minorEastAsia"/>
        </w:rPr>
      </w:pPr>
      <w:r>
        <w:rPr>
          <w:rFonts w:eastAsiaTheme="minorEastAsia"/>
        </w:rPr>
        <w:t xml:space="preserve">   When a new option has to be valued, financial engineers look up the appropriate volatility in the table. For example, when valuing a nine-month option with a strike price of 1.05, a financial engineer would interpolate between 13.4 and 14.0 to obtain a volatility of 13.7%. This is the volatility that would be used in the Black-Scholes-Merton formula or in a binomial tree. When valuing a 1.5 year option with a strike price of 0.925, a two-dimensional interpolation would be used to give an implied volatility of 14.525%.</w:t>
      </w:r>
    </w:p>
    <w:p w:rsidR="00A236D7" w:rsidRDefault="00A236D7" w:rsidP="0076768D">
      <w:pPr>
        <w:spacing w:line="480" w:lineRule="auto"/>
        <w:contextualSpacing/>
        <w:rPr>
          <w:rFonts w:eastAsiaTheme="minorEastAsia"/>
        </w:rPr>
      </w:pPr>
      <w:r>
        <w:rPr>
          <w:rFonts w:eastAsiaTheme="minorEastAsia"/>
        </w:rPr>
        <w:t xml:space="preserve">   Define </w:t>
      </w:r>
      <w:r>
        <w:rPr>
          <w:rFonts w:eastAsiaTheme="minorEastAsia"/>
          <w:i/>
        </w:rPr>
        <w:t xml:space="preserve">T </w:t>
      </w:r>
      <w:r>
        <w:rPr>
          <w:rFonts w:eastAsiaTheme="minorEastAsia"/>
        </w:rPr>
        <w:t xml:space="preserve">as the time to maturity,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Pr>
          <w:rFonts w:eastAsiaTheme="minorEastAsia"/>
        </w:rPr>
        <w:t xml:space="preserve"> as the asset price, and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oMath>
      <w:r>
        <w:rPr>
          <w:rFonts w:eastAsiaTheme="minorEastAsia"/>
        </w:rPr>
        <w:t xml:space="preserve"> as the forward price of the asset. Sometimes the volatility smile is defined as the relationship between the implied volatility and </w:t>
      </w:r>
      <w:r>
        <w:rPr>
          <w:rFonts w:eastAsiaTheme="minorEastAsia"/>
          <w:i/>
        </w:rPr>
        <w:t>K/</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0</m:t>
            </m:r>
          </m:sub>
        </m:sSub>
      </m:oMath>
      <w:r>
        <w:rPr>
          <w:rFonts w:eastAsiaTheme="minorEastAsia"/>
          <w:i/>
        </w:rPr>
        <w:t xml:space="preserve"> </w:t>
      </w:r>
      <w:r>
        <w:rPr>
          <w:rFonts w:eastAsiaTheme="minorEastAsia"/>
        </w:rPr>
        <w:t xml:space="preserve">rather than between the implied volatility and </w:t>
      </w:r>
      <w:r>
        <w:rPr>
          <w:rFonts w:eastAsiaTheme="minorEastAsia"/>
          <w:i/>
        </w:rPr>
        <w:t xml:space="preserve">K. </w:t>
      </w:r>
      <w:r>
        <w:rPr>
          <w:rFonts w:eastAsiaTheme="minorEastAsia"/>
        </w:rPr>
        <w:t>A more sophisticated approach is to relate the implied volatility to</w:t>
      </w:r>
    </w:p>
    <w:p w:rsidR="00A236D7" w:rsidRPr="00103E87" w:rsidRDefault="00C56419" w:rsidP="0076768D">
      <w:pPr>
        <w:spacing w:line="480" w:lineRule="auto"/>
        <w:contextualSpacing/>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1</m:t>
              </m:r>
            </m:num>
            <m:den>
              <m:rad>
                <m:radPr>
                  <m:degHide m:val="1"/>
                  <m:ctrlPr>
                    <w:rPr>
                      <w:rFonts w:ascii="Cambria Math" w:eastAsiaTheme="minorEastAsia" w:hAnsi="Cambria Math"/>
                      <w:i/>
                    </w:rPr>
                  </m:ctrlPr>
                </m:radPr>
                <m:deg/>
                <m:e>
                  <m:r>
                    <w:rPr>
                      <w:rFonts w:ascii="Cambria Math" w:eastAsiaTheme="minorEastAsia" w:hAnsi="Cambria Math"/>
                    </w:rPr>
                    <m:t>T</m:t>
                  </m:r>
                </m:e>
              </m:rad>
            </m:den>
          </m:f>
          <m:r>
            <w:rPr>
              <w:rFonts w:ascii="Cambria Math" w:eastAsiaTheme="minorEastAsia" w:hAnsi="Cambria Math"/>
            </w:rPr>
            <m:t>ln</m:t>
          </m:r>
          <m:f>
            <m:fPr>
              <m:ctrlPr>
                <w:rPr>
                  <w:rFonts w:ascii="Cambria Math" w:eastAsiaTheme="minorEastAsia" w:hAnsi="Cambria Math"/>
                  <w:i/>
                </w:rPr>
              </m:ctrlPr>
            </m:fPr>
            <m:num>
              <m:r>
                <w:rPr>
                  <w:rFonts w:ascii="Cambria Math" w:eastAsiaTheme="minorEastAsia" w:hAnsi="Cambria Math"/>
                </w:rPr>
                <m:t>K</m:t>
              </m:r>
            </m:num>
            <m:den>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den>
          </m:f>
        </m:oMath>
      </m:oMathPara>
    </w:p>
    <w:p w:rsidR="00A236D7" w:rsidRDefault="00A236D7" w:rsidP="0076768D">
      <w:pPr>
        <w:spacing w:line="480" w:lineRule="auto"/>
        <w:contextualSpacing/>
        <w:rPr>
          <w:rFonts w:eastAsiaTheme="minorEastAsia"/>
        </w:rPr>
      </w:pPr>
      <w:r>
        <w:rPr>
          <w:rFonts w:eastAsiaTheme="minorEastAsia"/>
        </w:rPr>
        <w:t xml:space="preserve">The smile is then usually much less dependent on the time to maturity. </w:t>
      </w:r>
    </w:p>
    <w:p w:rsidR="00A236D7" w:rsidRDefault="00A236D7" w:rsidP="0076768D">
      <w:pPr>
        <w:spacing w:line="480" w:lineRule="auto"/>
        <w:contextualSpacing/>
        <w:rPr>
          <w:rFonts w:eastAsiaTheme="minorEastAsia"/>
          <w:b/>
        </w:rPr>
      </w:pPr>
      <w:r>
        <w:rPr>
          <w:rFonts w:eastAsiaTheme="minorEastAsia"/>
          <w:b/>
        </w:rPr>
        <w:t>The Role of the Model</w:t>
      </w:r>
    </w:p>
    <w:p w:rsidR="00A236D7" w:rsidRDefault="00A236D7" w:rsidP="0076768D">
      <w:pPr>
        <w:spacing w:line="480" w:lineRule="auto"/>
        <w:contextualSpacing/>
        <w:rPr>
          <w:rFonts w:eastAsiaTheme="minorEastAsia"/>
        </w:rPr>
      </w:pPr>
      <w:r>
        <w:rPr>
          <w:rFonts w:eastAsiaTheme="minorEastAsia"/>
        </w:rPr>
        <w:t xml:space="preserve">How important is an option-pricing model if traders are prepared to use a different volatility for every deal? It can be argued that the Black-Scholes-Merton model is no more than a sophisticated interpolation tool used by traders for ensuring that an option is priced consistently with the market prices of other actively traded options. If traders stopped using Black-Scholes-Merton and switched to another plausible model, the volatility surface would change and the shape of the smile would change. But arguably, the dollar prices quoted in the market would not change appreciably. Of course, the model used can affect Greek letters and are important for pricing in situations where similar derivatives do not trade. </w:t>
      </w:r>
    </w:p>
    <w:p w:rsidR="00A236D7" w:rsidRDefault="00A236D7" w:rsidP="0076768D">
      <w:pPr>
        <w:spacing w:line="480" w:lineRule="auto"/>
        <w:contextualSpacing/>
        <w:rPr>
          <w:rFonts w:eastAsiaTheme="minorEastAsia"/>
          <w:b/>
        </w:rPr>
      </w:pPr>
      <w:r>
        <w:rPr>
          <w:rFonts w:eastAsiaTheme="minorEastAsia"/>
          <w:b/>
        </w:rPr>
        <w:t>5.4 When a Single Large Jump is Anticipated</w:t>
      </w:r>
    </w:p>
    <w:p w:rsidR="00A236D7" w:rsidRDefault="00A236D7" w:rsidP="0076768D">
      <w:pPr>
        <w:spacing w:line="480" w:lineRule="auto"/>
        <w:contextualSpacing/>
        <w:rPr>
          <w:rFonts w:eastAsiaTheme="minorEastAsia"/>
        </w:rPr>
      </w:pPr>
      <w:r>
        <w:rPr>
          <w:rFonts w:eastAsiaTheme="minorEastAsia"/>
        </w:rPr>
        <w:t>We now consider an example of how an unusual volatility smile could arise in equity markets. Suppose that a stock price is currently $50 and an important news announcement in a few days is expected to either increase the stock by $8 or reduce it by $8. (This announcement might concern the outcome of a takeover attempt or the verdict in an important law suit.)</w:t>
      </w:r>
    </w:p>
    <w:p w:rsidR="00A236D7" w:rsidRDefault="00A236D7" w:rsidP="0076768D">
      <w:pPr>
        <w:spacing w:line="480" w:lineRule="auto"/>
        <w:contextualSpacing/>
        <w:rPr>
          <w:rFonts w:eastAsiaTheme="minorEastAsia"/>
        </w:rPr>
      </w:pPr>
      <w:r>
        <w:rPr>
          <w:rFonts w:eastAsiaTheme="minorEastAsia"/>
        </w:rPr>
        <w:t xml:space="preserve">   The probability distribution of the stock price in, say, one month might then consist of a mixture of two lognormal distributions, the first corresponding to favorable news, and the second to unfavorable news. The situation is illustrated in Figure 5. The solid line shows the mixture-of-lognormals distribution for the stock price on one month; the dashed line shows lognormal distribution with the same mean and standard deviation as this distribution.</w:t>
      </w:r>
    </w:p>
    <w:p w:rsidR="00A236D7" w:rsidRDefault="00A236D7" w:rsidP="0076768D">
      <w:pPr>
        <w:spacing w:line="480" w:lineRule="auto"/>
        <w:contextualSpacing/>
        <w:rPr>
          <w:rFonts w:eastAsiaTheme="minorEastAsia"/>
        </w:rPr>
      </w:pPr>
      <w:r w:rsidRPr="00FC3A4D">
        <w:rPr>
          <w:rFonts w:eastAsiaTheme="minorEastAsia"/>
          <w:noProof/>
          <w:lang w:eastAsia="en-US"/>
        </w:rPr>
        <w:drawing>
          <wp:inline distT="0" distB="0" distL="0" distR="0">
            <wp:extent cx="5943600" cy="3422797"/>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22797"/>
                    </a:xfrm>
                    <a:prstGeom prst="rect">
                      <a:avLst/>
                    </a:prstGeom>
                    <a:noFill/>
                    <a:ln>
                      <a:noFill/>
                    </a:ln>
                  </pic:spPr>
                </pic:pic>
              </a:graphicData>
            </a:graphic>
          </wp:inline>
        </w:drawing>
      </w:r>
    </w:p>
    <w:p w:rsidR="00A236D7" w:rsidRDefault="00A236D7" w:rsidP="0076768D">
      <w:pPr>
        <w:spacing w:line="480" w:lineRule="auto"/>
        <w:contextualSpacing/>
        <w:rPr>
          <w:rFonts w:eastAsiaTheme="minorEastAsia"/>
        </w:rPr>
      </w:pPr>
      <w:r>
        <w:rPr>
          <w:rFonts w:eastAsiaTheme="minorEastAsia"/>
          <w:b/>
        </w:rPr>
        <w:t xml:space="preserve">Figure 5 </w:t>
      </w:r>
      <w:r>
        <w:rPr>
          <w:rFonts w:eastAsiaTheme="minorEastAsia"/>
        </w:rPr>
        <w:t xml:space="preserve">Effect of a single large jump. The solid line is the true distribution; the dashed line is the lognormal distribution. </w:t>
      </w:r>
    </w:p>
    <w:p w:rsidR="00A236D7" w:rsidRDefault="00A236D7" w:rsidP="0076768D">
      <w:pPr>
        <w:spacing w:line="480" w:lineRule="auto"/>
        <w:contextualSpacing/>
        <w:rPr>
          <w:rFonts w:eastAsiaTheme="minorEastAsia"/>
        </w:rPr>
      </w:pPr>
      <w:r w:rsidRPr="00FC3A4D">
        <w:rPr>
          <w:rFonts w:eastAsiaTheme="minorEastAsia"/>
          <w:noProof/>
          <w:lang w:eastAsia="en-US"/>
        </w:rPr>
        <w:drawing>
          <wp:inline distT="0" distB="0" distL="0" distR="0" wp14:anchorId="280E28AC" wp14:editId="423B15F7">
            <wp:extent cx="5943600" cy="38665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66515"/>
                    </a:xfrm>
                    <a:prstGeom prst="rect">
                      <a:avLst/>
                    </a:prstGeom>
                    <a:noFill/>
                    <a:ln>
                      <a:noFill/>
                    </a:ln>
                  </pic:spPr>
                </pic:pic>
              </a:graphicData>
            </a:graphic>
          </wp:inline>
        </w:drawing>
      </w:r>
    </w:p>
    <w:p w:rsidR="00A236D7" w:rsidRDefault="00A236D7" w:rsidP="0076768D">
      <w:pPr>
        <w:spacing w:line="480" w:lineRule="auto"/>
        <w:contextualSpacing/>
        <w:rPr>
          <w:rFonts w:eastAsiaTheme="minorEastAsia"/>
        </w:rPr>
      </w:pPr>
      <w:r>
        <w:rPr>
          <w:rFonts w:eastAsiaTheme="minorEastAsia"/>
          <w:b/>
        </w:rPr>
        <w:t>Figure 6</w:t>
      </w:r>
      <w:r>
        <w:rPr>
          <w:rFonts w:eastAsiaTheme="minorEastAsia"/>
        </w:rPr>
        <w:t xml:space="preserve"> Change in stock price in one month</w:t>
      </w:r>
    </w:p>
    <w:p w:rsidR="00A236D7" w:rsidRPr="00FC3A4D" w:rsidRDefault="00A236D7" w:rsidP="0076768D">
      <w:pPr>
        <w:spacing w:line="480" w:lineRule="auto"/>
        <w:contextualSpacing/>
        <w:rPr>
          <w:rFonts w:eastAsiaTheme="minorEastAsia"/>
        </w:rPr>
      </w:pPr>
    </w:p>
    <w:p w:rsidR="00A236D7" w:rsidRDefault="00A236D7" w:rsidP="0076768D">
      <w:pPr>
        <w:spacing w:line="480" w:lineRule="auto"/>
        <w:contextualSpacing/>
        <w:rPr>
          <w:rFonts w:eastAsiaTheme="minorEastAsia"/>
        </w:rPr>
      </w:pPr>
      <w:r>
        <w:rPr>
          <w:rFonts w:eastAsiaTheme="minorEastAsia"/>
        </w:rPr>
        <w:t xml:space="preserve">   The true probability distribution is bimodal (certainly not lognormal). One easy way to investigate the general effect of a bimodal stock price distribution is to consider the extreme case where there are only two possible future stock prices. This is what we will now do. Suppose that the stock price is currently $50 and that it is known that in one month it will be either $42 or $58. Suppose further that the risk-free rate is 12% per annum. The situation is illustrated in Figure 6. Options can be valued using the binomial model from Chapters 12 and 18. In this case, </w:t>
      </w:r>
      <w:r>
        <w:rPr>
          <w:rFonts w:eastAsiaTheme="minorEastAsia"/>
          <w:i/>
        </w:rPr>
        <w:t xml:space="preserve">u </w:t>
      </w:r>
      <w:r>
        <w:rPr>
          <w:rFonts w:eastAsiaTheme="minorEastAsia"/>
        </w:rPr>
        <w:t xml:space="preserve">= 1.16, </w:t>
      </w:r>
      <w:r>
        <w:rPr>
          <w:rFonts w:eastAsiaTheme="minorEastAsia"/>
          <w:i/>
        </w:rPr>
        <w:t xml:space="preserve">d </w:t>
      </w:r>
      <w:r>
        <w:rPr>
          <w:rFonts w:eastAsiaTheme="minorEastAsia"/>
        </w:rPr>
        <w:t xml:space="preserve">= 0.84, </w:t>
      </w:r>
      <w:r>
        <w:rPr>
          <w:rFonts w:eastAsiaTheme="minorEastAsia"/>
          <w:i/>
        </w:rPr>
        <w:t xml:space="preserve">a </w:t>
      </w:r>
      <w:r>
        <w:rPr>
          <w:rFonts w:eastAsiaTheme="minorEastAsia"/>
        </w:rPr>
        <w:t xml:space="preserve">= 1.0101, and </w:t>
      </w:r>
      <w:r>
        <w:rPr>
          <w:rFonts w:eastAsiaTheme="minorEastAsia"/>
          <w:i/>
        </w:rPr>
        <w:t xml:space="preserve">p </w:t>
      </w:r>
      <w:r>
        <w:rPr>
          <w:rFonts w:eastAsiaTheme="minorEastAsia"/>
        </w:rPr>
        <w:t>= 0.5314. The results from valuing a range of different options are shown in Table 4. The first column shows alternative strike prices; the second shows prices of one-month European call options; the third shows prices of one-month European put options; and the fourth shows implied volatilities. (As shown in the appendix to this chapter, implied volatility of a European put option is the same as that of a European call option when they have the same strike price and maturity.) Figure 7 displays the volatility smile from Table 4. It is actually a “frown” (the opposite of that observed for currencies) with volatilities declining as we move out or into the money. The volatility implied from an option with a strike price of 50 will overprice an option with a strike price of 44 or 56.</w:t>
      </w:r>
    </w:p>
    <w:p w:rsidR="00A236D7" w:rsidRDefault="00A236D7" w:rsidP="0076768D">
      <w:pPr>
        <w:spacing w:line="480" w:lineRule="auto"/>
        <w:contextualSpacing/>
        <w:rPr>
          <w:rFonts w:eastAsiaTheme="minorEastAsia"/>
        </w:rPr>
      </w:pPr>
      <w:r w:rsidRPr="00FC3A4D">
        <w:rPr>
          <w:rFonts w:eastAsiaTheme="minorEastAsia"/>
          <w:noProof/>
          <w:lang w:eastAsia="en-US"/>
        </w:rPr>
        <w:drawing>
          <wp:inline distT="0" distB="0" distL="0" distR="0">
            <wp:extent cx="5943600" cy="46704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70422"/>
                    </a:xfrm>
                    <a:prstGeom prst="rect">
                      <a:avLst/>
                    </a:prstGeom>
                    <a:noFill/>
                    <a:ln>
                      <a:noFill/>
                    </a:ln>
                  </pic:spPr>
                </pic:pic>
              </a:graphicData>
            </a:graphic>
          </wp:inline>
        </w:drawing>
      </w:r>
    </w:p>
    <w:p w:rsidR="00A236D7" w:rsidRDefault="00A236D7" w:rsidP="0076768D">
      <w:pPr>
        <w:spacing w:line="480" w:lineRule="auto"/>
        <w:contextualSpacing/>
        <w:rPr>
          <w:rFonts w:eastAsiaTheme="minorEastAsia"/>
        </w:rPr>
      </w:pPr>
      <w:r>
        <w:rPr>
          <w:rFonts w:eastAsiaTheme="minorEastAsia"/>
          <w:b/>
        </w:rPr>
        <w:t xml:space="preserve">Figure 7 </w:t>
      </w:r>
      <w:r>
        <w:rPr>
          <w:rFonts w:eastAsiaTheme="minorEastAsia"/>
        </w:rPr>
        <w:t>Volatilit</w:t>
      </w:r>
      <w:r w:rsidR="00453FDE">
        <w:rPr>
          <w:rFonts w:eastAsiaTheme="minorEastAsia"/>
        </w:rPr>
        <w:t>y smile for situation in Table 4</w:t>
      </w:r>
    </w:p>
    <w:p w:rsidR="00A236D7" w:rsidRDefault="00A236D7" w:rsidP="0076768D">
      <w:pPr>
        <w:spacing w:line="480" w:lineRule="auto"/>
        <w:contextualSpacing/>
        <w:rPr>
          <w:rFonts w:eastAsiaTheme="minorEastAsia"/>
        </w:rPr>
      </w:pPr>
    </w:p>
    <w:p w:rsidR="0076768D" w:rsidRDefault="0076768D" w:rsidP="0076768D">
      <w:pPr>
        <w:spacing w:line="480" w:lineRule="auto"/>
        <w:contextualSpacing/>
        <w:rPr>
          <w:rFonts w:eastAsiaTheme="minorEastAsia"/>
        </w:rPr>
      </w:pPr>
      <w:r>
        <w:rPr>
          <w:rFonts w:eastAsiaTheme="minorEastAsia"/>
        </w:rPr>
        <w:t>The Black-Scholes-Merton model and its extensions assume that the probability distribution of the underlying asset at any given future time is lognormal. This assumption is not the one made by traders. They assume the probability distribution of an equity price has a heavier left tail and less heavy right trail than the lognormal distribution. They also assume that the probability distribution of an exchange rate has a heavier right tail and a heavier left tail than the lognormal distribution.</w:t>
      </w:r>
    </w:p>
    <w:p w:rsidR="0076768D" w:rsidRDefault="0076768D" w:rsidP="0076768D">
      <w:pPr>
        <w:spacing w:line="480" w:lineRule="auto"/>
        <w:contextualSpacing/>
        <w:rPr>
          <w:rFonts w:eastAsiaTheme="minorEastAsia"/>
        </w:rPr>
      </w:pPr>
    </w:p>
    <w:p w:rsidR="0076768D" w:rsidRDefault="0076768D" w:rsidP="0076768D">
      <w:pPr>
        <w:spacing w:line="480" w:lineRule="auto"/>
        <w:contextualSpacing/>
        <w:rPr>
          <w:rFonts w:eastAsiaTheme="minorEastAsia"/>
          <w:b/>
        </w:rPr>
      </w:pPr>
    </w:p>
    <w:p w:rsidR="0076768D" w:rsidRDefault="0076768D" w:rsidP="0076768D">
      <w:pPr>
        <w:spacing w:line="480" w:lineRule="auto"/>
        <w:contextualSpacing/>
        <w:rPr>
          <w:rFonts w:eastAsiaTheme="minorEastAsia"/>
        </w:rPr>
      </w:pPr>
      <w:r>
        <w:rPr>
          <w:rFonts w:eastAsiaTheme="minorEastAsia"/>
          <w:b/>
        </w:rPr>
        <w:t xml:space="preserve">Table 5 </w:t>
      </w:r>
      <w:r>
        <w:rPr>
          <w:rFonts w:eastAsiaTheme="minorEastAsia"/>
        </w:rPr>
        <w:t>Implied volatilities in a situation where it is known that the stock price will move from $50 to either $42 or $58</w:t>
      </w:r>
    </w:p>
    <w:p w:rsidR="0076768D" w:rsidRDefault="0076768D" w:rsidP="0076768D">
      <w:pPr>
        <w:spacing w:line="480" w:lineRule="auto"/>
        <w:contextualSpacing/>
        <w:rPr>
          <w:rFonts w:eastAsiaTheme="minorEastAsia"/>
        </w:rPr>
      </w:pPr>
    </w:p>
    <w:tbl>
      <w:tblPr>
        <w:tblStyle w:val="TableGrid"/>
        <w:tblW w:w="0" w:type="auto"/>
        <w:tblLook w:val="04A0" w:firstRow="1" w:lastRow="0" w:firstColumn="1" w:lastColumn="0" w:noHBand="0" w:noVBand="1"/>
      </w:tblPr>
      <w:tblGrid>
        <w:gridCol w:w="2337"/>
        <w:gridCol w:w="2337"/>
        <w:gridCol w:w="2338"/>
        <w:gridCol w:w="2338"/>
      </w:tblGrid>
      <w:tr w:rsidR="0076768D" w:rsidTr="00F70AFA">
        <w:tc>
          <w:tcPr>
            <w:tcW w:w="2337" w:type="dxa"/>
          </w:tcPr>
          <w:p w:rsidR="0076768D" w:rsidRPr="005F424A" w:rsidRDefault="0076768D" w:rsidP="0076768D">
            <w:pPr>
              <w:spacing w:line="480" w:lineRule="auto"/>
              <w:contextualSpacing/>
              <w:rPr>
                <w:rFonts w:eastAsiaTheme="minorEastAsia"/>
                <w:i/>
              </w:rPr>
            </w:pPr>
            <w:r>
              <w:rPr>
                <w:rFonts w:eastAsiaTheme="minorEastAsia"/>
                <w:i/>
              </w:rPr>
              <w:t>Strike Price ($)</w:t>
            </w:r>
          </w:p>
        </w:tc>
        <w:tc>
          <w:tcPr>
            <w:tcW w:w="2337" w:type="dxa"/>
          </w:tcPr>
          <w:p w:rsidR="0076768D" w:rsidRPr="005F424A" w:rsidRDefault="0076768D" w:rsidP="0076768D">
            <w:pPr>
              <w:spacing w:line="480" w:lineRule="auto"/>
              <w:contextualSpacing/>
              <w:rPr>
                <w:rFonts w:eastAsiaTheme="minorEastAsia"/>
                <w:i/>
              </w:rPr>
            </w:pPr>
            <w:r>
              <w:rPr>
                <w:rFonts w:eastAsiaTheme="minorEastAsia"/>
                <w:i/>
              </w:rPr>
              <w:t>Call Price ($)</w:t>
            </w:r>
          </w:p>
        </w:tc>
        <w:tc>
          <w:tcPr>
            <w:tcW w:w="2338" w:type="dxa"/>
          </w:tcPr>
          <w:p w:rsidR="0076768D" w:rsidRPr="005F424A" w:rsidRDefault="0076768D" w:rsidP="0076768D">
            <w:pPr>
              <w:spacing w:line="480" w:lineRule="auto"/>
              <w:contextualSpacing/>
              <w:rPr>
                <w:rFonts w:eastAsiaTheme="minorEastAsia"/>
                <w:i/>
              </w:rPr>
            </w:pPr>
            <w:r>
              <w:rPr>
                <w:rFonts w:eastAsiaTheme="minorEastAsia"/>
                <w:i/>
              </w:rPr>
              <w:t>Put Price ($)</w:t>
            </w:r>
          </w:p>
        </w:tc>
        <w:tc>
          <w:tcPr>
            <w:tcW w:w="2338" w:type="dxa"/>
          </w:tcPr>
          <w:p w:rsidR="0076768D" w:rsidRPr="005F424A" w:rsidRDefault="0076768D" w:rsidP="0076768D">
            <w:pPr>
              <w:spacing w:line="480" w:lineRule="auto"/>
              <w:contextualSpacing/>
              <w:rPr>
                <w:rFonts w:eastAsiaTheme="minorEastAsia"/>
                <w:i/>
              </w:rPr>
            </w:pPr>
            <w:r>
              <w:rPr>
                <w:rFonts w:eastAsiaTheme="minorEastAsia"/>
                <w:i/>
              </w:rPr>
              <w:t>Implied Volatility (%)</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42</w:t>
            </w:r>
          </w:p>
        </w:tc>
        <w:tc>
          <w:tcPr>
            <w:tcW w:w="2337" w:type="dxa"/>
          </w:tcPr>
          <w:p w:rsidR="0076768D" w:rsidRDefault="0076768D" w:rsidP="0076768D">
            <w:pPr>
              <w:spacing w:line="480" w:lineRule="auto"/>
              <w:contextualSpacing/>
              <w:rPr>
                <w:rFonts w:eastAsiaTheme="minorEastAsia"/>
              </w:rPr>
            </w:pPr>
            <w:r>
              <w:rPr>
                <w:rFonts w:eastAsiaTheme="minorEastAsia"/>
              </w:rPr>
              <w:t>8.42</w:t>
            </w:r>
          </w:p>
        </w:tc>
        <w:tc>
          <w:tcPr>
            <w:tcW w:w="2338" w:type="dxa"/>
          </w:tcPr>
          <w:p w:rsidR="0076768D" w:rsidRDefault="0076768D" w:rsidP="0076768D">
            <w:pPr>
              <w:spacing w:line="480" w:lineRule="auto"/>
              <w:contextualSpacing/>
              <w:rPr>
                <w:rFonts w:eastAsiaTheme="minorEastAsia"/>
              </w:rPr>
            </w:pPr>
            <w:r>
              <w:rPr>
                <w:rFonts w:eastAsiaTheme="minorEastAsia"/>
              </w:rPr>
              <w:t>0.00</w:t>
            </w:r>
          </w:p>
        </w:tc>
        <w:tc>
          <w:tcPr>
            <w:tcW w:w="2338" w:type="dxa"/>
          </w:tcPr>
          <w:p w:rsidR="0076768D" w:rsidRDefault="0076768D" w:rsidP="0076768D">
            <w:pPr>
              <w:spacing w:line="480" w:lineRule="auto"/>
              <w:contextualSpacing/>
              <w:rPr>
                <w:rFonts w:eastAsiaTheme="minorEastAsia"/>
              </w:rPr>
            </w:pPr>
            <w:r>
              <w:rPr>
                <w:rFonts w:eastAsiaTheme="minorEastAsia"/>
              </w:rPr>
              <w:t>0.0</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44</w:t>
            </w:r>
          </w:p>
        </w:tc>
        <w:tc>
          <w:tcPr>
            <w:tcW w:w="2337" w:type="dxa"/>
          </w:tcPr>
          <w:p w:rsidR="0076768D" w:rsidRDefault="0076768D" w:rsidP="0076768D">
            <w:pPr>
              <w:spacing w:line="480" w:lineRule="auto"/>
              <w:contextualSpacing/>
              <w:rPr>
                <w:rFonts w:eastAsiaTheme="minorEastAsia"/>
              </w:rPr>
            </w:pPr>
            <w:r>
              <w:rPr>
                <w:rFonts w:eastAsiaTheme="minorEastAsia"/>
              </w:rPr>
              <w:t>7.37</w:t>
            </w:r>
          </w:p>
        </w:tc>
        <w:tc>
          <w:tcPr>
            <w:tcW w:w="2338" w:type="dxa"/>
          </w:tcPr>
          <w:p w:rsidR="0076768D" w:rsidRDefault="0076768D" w:rsidP="0076768D">
            <w:pPr>
              <w:spacing w:line="480" w:lineRule="auto"/>
              <w:contextualSpacing/>
              <w:rPr>
                <w:rFonts w:eastAsiaTheme="minorEastAsia"/>
              </w:rPr>
            </w:pPr>
            <w:r>
              <w:rPr>
                <w:rFonts w:eastAsiaTheme="minorEastAsia"/>
              </w:rPr>
              <w:t>0.93</w:t>
            </w:r>
          </w:p>
        </w:tc>
        <w:tc>
          <w:tcPr>
            <w:tcW w:w="2338" w:type="dxa"/>
          </w:tcPr>
          <w:p w:rsidR="0076768D" w:rsidRDefault="0076768D" w:rsidP="0076768D">
            <w:pPr>
              <w:spacing w:line="480" w:lineRule="auto"/>
              <w:contextualSpacing/>
              <w:rPr>
                <w:rFonts w:eastAsiaTheme="minorEastAsia"/>
              </w:rPr>
            </w:pPr>
            <w:r>
              <w:rPr>
                <w:rFonts w:eastAsiaTheme="minorEastAsia"/>
              </w:rPr>
              <w:t>58.8</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46</w:t>
            </w:r>
          </w:p>
        </w:tc>
        <w:tc>
          <w:tcPr>
            <w:tcW w:w="2337" w:type="dxa"/>
          </w:tcPr>
          <w:p w:rsidR="0076768D" w:rsidRDefault="0076768D" w:rsidP="0076768D">
            <w:pPr>
              <w:spacing w:line="480" w:lineRule="auto"/>
              <w:contextualSpacing/>
              <w:rPr>
                <w:rFonts w:eastAsiaTheme="minorEastAsia"/>
              </w:rPr>
            </w:pPr>
            <w:r>
              <w:rPr>
                <w:rFonts w:eastAsiaTheme="minorEastAsia"/>
              </w:rPr>
              <w:t>6.31</w:t>
            </w:r>
          </w:p>
        </w:tc>
        <w:tc>
          <w:tcPr>
            <w:tcW w:w="2338" w:type="dxa"/>
          </w:tcPr>
          <w:p w:rsidR="0076768D" w:rsidRDefault="0076768D" w:rsidP="0076768D">
            <w:pPr>
              <w:spacing w:line="480" w:lineRule="auto"/>
              <w:contextualSpacing/>
              <w:rPr>
                <w:rFonts w:eastAsiaTheme="minorEastAsia"/>
              </w:rPr>
            </w:pPr>
            <w:r>
              <w:rPr>
                <w:rFonts w:eastAsiaTheme="minorEastAsia"/>
              </w:rPr>
              <w:t>1.86</w:t>
            </w:r>
          </w:p>
        </w:tc>
        <w:tc>
          <w:tcPr>
            <w:tcW w:w="2338" w:type="dxa"/>
          </w:tcPr>
          <w:p w:rsidR="0076768D" w:rsidRDefault="0076768D" w:rsidP="0076768D">
            <w:pPr>
              <w:spacing w:line="480" w:lineRule="auto"/>
              <w:contextualSpacing/>
              <w:rPr>
                <w:rFonts w:eastAsiaTheme="minorEastAsia"/>
              </w:rPr>
            </w:pPr>
            <w:r>
              <w:rPr>
                <w:rFonts w:eastAsiaTheme="minorEastAsia"/>
              </w:rPr>
              <w:t>66.6</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48</w:t>
            </w:r>
          </w:p>
        </w:tc>
        <w:tc>
          <w:tcPr>
            <w:tcW w:w="2337" w:type="dxa"/>
          </w:tcPr>
          <w:p w:rsidR="0076768D" w:rsidRDefault="0076768D" w:rsidP="0076768D">
            <w:pPr>
              <w:spacing w:line="480" w:lineRule="auto"/>
              <w:contextualSpacing/>
              <w:rPr>
                <w:rFonts w:eastAsiaTheme="minorEastAsia"/>
              </w:rPr>
            </w:pPr>
            <w:r>
              <w:rPr>
                <w:rFonts w:eastAsiaTheme="minorEastAsia"/>
              </w:rPr>
              <w:t>5.26</w:t>
            </w:r>
          </w:p>
        </w:tc>
        <w:tc>
          <w:tcPr>
            <w:tcW w:w="2338" w:type="dxa"/>
          </w:tcPr>
          <w:p w:rsidR="0076768D" w:rsidRDefault="0076768D" w:rsidP="0076768D">
            <w:pPr>
              <w:spacing w:line="480" w:lineRule="auto"/>
              <w:contextualSpacing/>
              <w:rPr>
                <w:rFonts w:eastAsiaTheme="minorEastAsia"/>
              </w:rPr>
            </w:pPr>
            <w:r>
              <w:rPr>
                <w:rFonts w:eastAsiaTheme="minorEastAsia"/>
              </w:rPr>
              <w:t>2.78</w:t>
            </w:r>
          </w:p>
        </w:tc>
        <w:tc>
          <w:tcPr>
            <w:tcW w:w="2338" w:type="dxa"/>
          </w:tcPr>
          <w:p w:rsidR="0076768D" w:rsidRDefault="0076768D" w:rsidP="0076768D">
            <w:pPr>
              <w:spacing w:line="480" w:lineRule="auto"/>
              <w:contextualSpacing/>
              <w:rPr>
                <w:rFonts w:eastAsiaTheme="minorEastAsia"/>
              </w:rPr>
            </w:pPr>
            <w:r>
              <w:rPr>
                <w:rFonts w:eastAsiaTheme="minorEastAsia"/>
              </w:rPr>
              <w:t>69.5</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50</w:t>
            </w:r>
          </w:p>
        </w:tc>
        <w:tc>
          <w:tcPr>
            <w:tcW w:w="2337" w:type="dxa"/>
          </w:tcPr>
          <w:p w:rsidR="0076768D" w:rsidRDefault="0076768D" w:rsidP="0076768D">
            <w:pPr>
              <w:spacing w:line="480" w:lineRule="auto"/>
              <w:contextualSpacing/>
              <w:rPr>
                <w:rFonts w:eastAsiaTheme="minorEastAsia"/>
              </w:rPr>
            </w:pPr>
            <w:r>
              <w:rPr>
                <w:rFonts w:eastAsiaTheme="minorEastAsia"/>
              </w:rPr>
              <w:t>4.21</w:t>
            </w:r>
          </w:p>
        </w:tc>
        <w:tc>
          <w:tcPr>
            <w:tcW w:w="2338" w:type="dxa"/>
          </w:tcPr>
          <w:p w:rsidR="0076768D" w:rsidRDefault="0076768D" w:rsidP="0076768D">
            <w:pPr>
              <w:spacing w:line="480" w:lineRule="auto"/>
              <w:contextualSpacing/>
              <w:rPr>
                <w:rFonts w:eastAsiaTheme="minorEastAsia"/>
              </w:rPr>
            </w:pPr>
            <w:r>
              <w:rPr>
                <w:rFonts w:eastAsiaTheme="minorEastAsia"/>
              </w:rPr>
              <w:t>3.71</w:t>
            </w:r>
          </w:p>
        </w:tc>
        <w:tc>
          <w:tcPr>
            <w:tcW w:w="2338" w:type="dxa"/>
          </w:tcPr>
          <w:p w:rsidR="0076768D" w:rsidRDefault="0076768D" w:rsidP="0076768D">
            <w:pPr>
              <w:spacing w:line="480" w:lineRule="auto"/>
              <w:contextualSpacing/>
              <w:rPr>
                <w:rFonts w:eastAsiaTheme="minorEastAsia"/>
              </w:rPr>
            </w:pPr>
            <w:r>
              <w:rPr>
                <w:rFonts w:eastAsiaTheme="minorEastAsia"/>
              </w:rPr>
              <w:t>69.2</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52</w:t>
            </w:r>
          </w:p>
        </w:tc>
        <w:tc>
          <w:tcPr>
            <w:tcW w:w="2337" w:type="dxa"/>
          </w:tcPr>
          <w:p w:rsidR="0076768D" w:rsidRDefault="0076768D" w:rsidP="0076768D">
            <w:pPr>
              <w:spacing w:line="480" w:lineRule="auto"/>
              <w:contextualSpacing/>
              <w:rPr>
                <w:rFonts w:eastAsiaTheme="minorEastAsia"/>
              </w:rPr>
            </w:pPr>
            <w:r>
              <w:rPr>
                <w:rFonts w:eastAsiaTheme="minorEastAsia"/>
              </w:rPr>
              <w:t>3.16</w:t>
            </w:r>
          </w:p>
        </w:tc>
        <w:tc>
          <w:tcPr>
            <w:tcW w:w="2338" w:type="dxa"/>
          </w:tcPr>
          <w:p w:rsidR="0076768D" w:rsidRDefault="0076768D" w:rsidP="0076768D">
            <w:pPr>
              <w:spacing w:line="480" w:lineRule="auto"/>
              <w:contextualSpacing/>
              <w:rPr>
                <w:rFonts w:eastAsiaTheme="minorEastAsia"/>
              </w:rPr>
            </w:pPr>
            <w:r>
              <w:rPr>
                <w:rFonts w:eastAsiaTheme="minorEastAsia"/>
              </w:rPr>
              <w:t>4.64</w:t>
            </w:r>
          </w:p>
        </w:tc>
        <w:tc>
          <w:tcPr>
            <w:tcW w:w="2338" w:type="dxa"/>
          </w:tcPr>
          <w:p w:rsidR="0076768D" w:rsidRDefault="0076768D" w:rsidP="0076768D">
            <w:pPr>
              <w:spacing w:line="480" w:lineRule="auto"/>
              <w:contextualSpacing/>
              <w:rPr>
                <w:rFonts w:eastAsiaTheme="minorEastAsia"/>
              </w:rPr>
            </w:pPr>
            <w:r>
              <w:rPr>
                <w:rFonts w:eastAsiaTheme="minorEastAsia"/>
              </w:rPr>
              <w:t>66.1</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54</w:t>
            </w:r>
          </w:p>
        </w:tc>
        <w:tc>
          <w:tcPr>
            <w:tcW w:w="2337" w:type="dxa"/>
          </w:tcPr>
          <w:p w:rsidR="0076768D" w:rsidRDefault="0076768D" w:rsidP="0076768D">
            <w:pPr>
              <w:spacing w:line="480" w:lineRule="auto"/>
              <w:contextualSpacing/>
              <w:rPr>
                <w:rFonts w:eastAsiaTheme="minorEastAsia"/>
              </w:rPr>
            </w:pPr>
            <w:r>
              <w:rPr>
                <w:rFonts w:eastAsiaTheme="minorEastAsia"/>
              </w:rPr>
              <w:t>2.10</w:t>
            </w:r>
          </w:p>
        </w:tc>
        <w:tc>
          <w:tcPr>
            <w:tcW w:w="2338" w:type="dxa"/>
          </w:tcPr>
          <w:p w:rsidR="0076768D" w:rsidRDefault="0076768D" w:rsidP="0076768D">
            <w:pPr>
              <w:spacing w:line="480" w:lineRule="auto"/>
              <w:contextualSpacing/>
              <w:rPr>
                <w:rFonts w:eastAsiaTheme="minorEastAsia"/>
              </w:rPr>
            </w:pPr>
            <w:r>
              <w:rPr>
                <w:rFonts w:eastAsiaTheme="minorEastAsia"/>
              </w:rPr>
              <w:t>5.57</w:t>
            </w:r>
          </w:p>
        </w:tc>
        <w:tc>
          <w:tcPr>
            <w:tcW w:w="2338" w:type="dxa"/>
          </w:tcPr>
          <w:p w:rsidR="0076768D" w:rsidRDefault="0076768D" w:rsidP="0076768D">
            <w:pPr>
              <w:spacing w:line="480" w:lineRule="auto"/>
              <w:contextualSpacing/>
              <w:rPr>
                <w:rFonts w:eastAsiaTheme="minorEastAsia"/>
              </w:rPr>
            </w:pPr>
            <w:r>
              <w:rPr>
                <w:rFonts w:eastAsiaTheme="minorEastAsia"/>
              </w:rPr>
              <w:t>60.0</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56</w:t>
            </w:r>
          </w:p>
        </w:tc>
        <w:tc>
          <w:tcPr>
            <w:tcW w:w="2337" w:type="dxa"/>
          </w:tcPr>
          <w:p w:rsidR="0076768D" w:rsidRDefault="0076768D" w:rsidP="0076768D">
            <w:pPr>
              <w:spacing w:line="480" w:lineRule="auto"/>
              <w:contextualSpacing/>
              <w:rPr>
                <w:rFonts w:eastAsiaTheme="minorEastAsia"/>
              </w:rPr>
            </w:pPr>
            <w:r>
              <w:rPr>
                <w:rFonts w:eastAsiaTheme="minorEastAsia"/>
              </w:rPr>
              <w:t>1.05</w:t>
            </w:r>
          </w:p>
        </w:tc>
        <w:tc>
          <w:tcPr>
            <w:tcW w:w="2338" w:type="dxa"/>
          </w:tcPr>
          <w:p w:rsidR="0076768D" w:rsidRDefault="0076768D" w:rsidP="0076768D">
            <w:pPr>
              <w:spacing w:line="480" w:lineRule="auto"/>
              <w:contextualSpacing/>
              <w:rPr>
                <w:rFonts w:eastAsiaTheme="minorEastAsia"/>
              </w:rPr>
            </w:pPr>
            <w:r>
              <w:rPr>
                <w:rFonts w:eastAsiaTheme="minorEastAsia"/>
              </w:rPr>
              <w:t>6.50</w:t>
            </w:r>
          </w:p>
        </w:tc>
        <w:tc>
          <w:tcPr>
            <w:tcW w:w="2338" w:type="dxa"/>
          </w:tcPr>
          <w:p w:rsidR="0076768D" w:rsidRDefault="0076768D" w:rsidP="0076768D">
            <w:pPr>
              <w:spacing w:line="480" w:lineRule="auto"/>
              <w:contextualSpacing/>
              <w:rPr>
                <w:rFonts w:eastAsiaTheme="minorEastAsia"/>
              </w:rPr>
            </w:pPr>
            <w:r>
              <w:rPr>
                <w:rFonts w:eastAsiaTheme="minorEastAsia"/>
              </w:rPr>
              <w:t>49.0</w:t>
            </w:r>
          </w:p>
        </w:tc>
      </w:tr>
      <w:tr w:rsidR="0076768D" w:rsidTr="00F70AFA">
        <w:tc>
          <w:tcPr>
            <w:tcW w:w="2337" w:type="dxa"/>
          </w:tcPr>
          <w:p w:rsidR="0076768D" w:rsidRDefault="0076768D" w:rsidP="0076768D">
            <w:pPr>
              <w:spacing w:line="480" w:lineRule="auto"/>
              <w:contextualSpacing/>
              <w:rPr>
                <w:rFonts w:eastAsiaTheme="minorEastAsia"/>
              </w:rPr>
            </w:pPr>
            <w:r>
              <w:rPr>
                <w:rFonts w:eastAsiaTheme="minorEastAsia"/>
              </w:rPr>
              <w:t>58</w:t>
            </w:r>
          </w:p>
        </w:tc>
        <w:tc>
          <w:tcPr>
            <w:tcW w:w="2337" w:type="dxa"/>
          </w:tcPr>
          <w:p w:rsidR="0076768D" w:rsidRDefault="0076768D" w:rsidP="0076768D">
            <w:pPr>
              <w:spacing w:line="480" w:lineRule="auto"/>
              <w:contextualSpacing/>
              <w:rPr>
                <w:rFonts w:eastAsiaTheme="minorEastAsia"/>
              </w:rPr>
            </w:pPr>
            <w:r>
              <w:rPr>
                <w:rFonts w:eastAsiaTheme="minorEastAsia"/>
              </w:rPr>
              <w:t>0.00</w:t>
            </w:r>
          </w:p>
        </w:tc>
        <w:tc>
          <w:tcPr>
            <w:tcW w:w="2338" w:type="dxa"/>
          </w:tcPr>
          <w:p w:rsidR="0076768D" w:rsidRDefault="0076768D" w:rsidP="0076768D">
            <w:pPr>
              <w:spacing w:line="480" w:lineRule="auto"/>
              <w:contextualSpacing/>
              <w:rPr>
                <w:rFonts w:eastAsiaTheme="minorEastAsia"/>
              </w:rPr>
            </w:pPr>
            <w:r>
              <w:rPr>
                <w:rFonts w:eastAsiaTheme="minorEastAsia"/>
              </w:rPr>
              <w:t>7.42</w:t>
            </w:r>
          </w:p>
        </w:tc>
        <w:tc>
          <w:tcPr>
            <w:tcW w:w="2338" w:type="dxa"/>
          </w:tcPr>
          <w:p w:rsidR="0076768D" w:rsidRDefault="0076768D" w:rsidP="0076768D">
            <w:pPr>
              <w:spacing w:line="480" w:lineRule="auto"/>
              <w:contextualSpacing/>
              <w:rPr>
                <w:rFonts w:eastAsiaTheme="minorEastAsia"/>
              </w:rPr>
            </w:pPr>
            <w:r>
              <w:rPr>
                <w:rFonts w:eastAsiaTheme="minorEastAsia"/>
              </w:rPr>
              <w:t>0.0</w:t>
            </w:r>
          </w:p>
        </w:tc>
      </w:tr>
    </w:tbl>
    <w:p w:rsidR="0076768D" w:rsidRDefault="0076768D" w:rsidP="0076768D">
      <w:pPr>
        <w:spacing w:line="480" w:lineRule="auto"/>
        <w:contextualSpacing/>
        <w:rPr>
          <w:rFonts w:eastAsiaTheme="minorEastAsia"/>
        </w:rPr>
      </w:pPr>
    </w:p>
    <w:p w:rsidR="0076768D" w:rsidRPr="00EA0E06" w:rsidRDefault="0076768D" w:rsidP="0076768D">
      <w:pPr>
        <w:spacing w:line="480" w:lineRule="auto"/>
        <w:contextualSpacing/>
        <w:rPr>
          <w:rFonts w:eastAsiaTheme="minorEastAsia"/>
        </w:rPr>
      </w:pPr>
    </w:p>
    <w:p w:rsidR="0076768D" w:rsidRDefault="0076768D" w:rsidP="0076768D">
      <w:pPr>
        <w:spacing w:line="480" w:lineRule="auto"/>
        <w:contextualSpacing/>
        <w:rPr>
          <w:rFonts w:eastAsiaTheme="minorEastAsia"/>
        </w:rPr>
      </w:pPr>
      <w:r>
        <w:rPr>
          <w:rFonts w:eastAsiaTheme="minorEastAsia"/>
        </w:rPr>
        <w:t xml:space="preserve">   Traders use volatility smiles to allow for nonlognormality. The volatility smile defines the relationship between the implied volatility of an option and its strike price. For equity options, the volatility smile tends to be downward sloping. This means that out-of-the-money puts and in-the-money calls tend to have high implied volatilities whereas out-of-the-money calls and in-the-money puts tend to have low implied volatilities. For foreign currency options, the volatility smile is U-shaped. Both out-of-the-money and in-the-money options have higher implied volatilities than at-the-money options. </w:t>
      </w:r>
    </w:p>
    <w:p w:rsidR="0076768D" w:rsidRPr="00F83018" w:rsidRDefault="0076768D" w:rsidP="0076768D">
      <w:pPr>
        <w:spacing w:line="480" w:lineRule="auto"/>
        <w:contextualSpacing/>
        <w:rPr>
          <w:rFonts w:eastAsiaTheme="minorEastAsia"/>
        </w:rPr>
      </w:pPr>
      <w:r>
        <w:rPr>
          <w:rFonts w:eastAsiaTheme="minorEastAsia"/>
        </w:rPr>
        <w:t xml:space="preserve">   Often traders also use a volatility term structure. The implied volatility of an option then depends on its life. When volatility smiles and volatility term structures are combined, they produce volatility surface. This defines implied volatility as a function of both the strike price and the time to maturity. </w:t>
      </w:r>
    </w:p>
    <w:p w:rsidR="00BF2279" w:rsidRDefault="00BF2279" w:rsidP="0076768D">
      <w:pPr>
        <w:spacing w:line="480" w:lineRule="auto"/>
        <w:contextualSpacing/>
        <w:rPr>
          <w:rFonts w:eastAsiaTheme="minorEastAsia"/>
          <w:b/>
        </w:rPr>
      </w:pPr>
      <w:r>
        <w:rPr>
          <w:rFonts w:eastAsiaTheme="minorEastAsia"/>
          <w:b/>
        </w:rPr>
        <w:t xml:space="preserve">6. MATLAB Approach for Calculating Implied Variance </w:t>
      </w:r>
    </w:p>
    <w:p w:rsidR="00BF2279" w:rsidRDefault="00BF2279" w:rsidP="0076768D">
      <w:pPr>
        <w:spacing w:line="480" w:lineRule="auto"/>
        <w:contextualSpacing/>
        <w:rPr>
          <w:rFonts w:eastAsiaTheme="minorEastAsia"/>
        </w:rPr>
      </w:pPr>
      <w:r>
        <w:rPr>
          <w:rFonts w:eastAsiaTheme="minorEastAsia"/>
        </w:rPr>
        <w:t>If we try to estimate implied standard deviation by non-linear option pricing model, we can use the MATLAB program to achieve this goal. Appendix 4B will show how the MATLAB approach can be used to estimate implied standard deviation in term</w:t>
      </w:r>
      <w:r w:rsidR="0076768D">
        <w:rPr>
          <w:rFonts w:eastAsiaTheme="minorEastAsia"/>
        </w:rPr>
        <w:t>s</w:t>
      </w:r>
      <w:r>
        <w:rPr>
          <w:rFonts w:eastAsiaTheme="minorEastAsia"/>
        </w:rPr>
        <w:t xml:space="preserve"> of the Black Scholes model. In addition, this approach can be used to estimate implied standard deviation in terms of </w:t>
      </w:r>
      <w:r w:rsidR="0076768D">
        <w:rPr>
          <w:rFonts w:eastAsiaTheme="minorEastAsia"/>
        </w:rPr>
        <w:t xml:space="preserve">the </w:t>
      </w:r>
      <w:r>
        <w:rPr>
          <w:rFonts w:eastAsiaTheme="minorEastAsia"/>
        </w:rPr>
        <w:t xml:space="preserve">Constant Elasticity Volatility (CEV) model. The detailed discussion of the CEV model can be found in Appendix 4C. </w:t>
      </w:r>
    </w:p>
    <w:p w:rsidR="00BF2279" w:rsidRPr="00BF2279" w:rsidRDefault="00BF2279" w:rsidP="00C76E48">
      <w:pPr>
        <w:rPr>
          <w:rFonts w:eastAsiaTheme="minorEastAsia"/>
        </w:rPr>
      </w:pPr>
    </w:p>
    <w:p w:rsidR="00A236D7" w:rsidRDefault="00BF2279" w:rsidP="00C76E48">
      <w:pPr>
        <w:rPr>
          <w:rFonts w:eastAsiaTheme="minorEastAsia"/>
          <w:b/>
        </w:rPr>
      </w:pPr>
      <w:r>
        <w:rPr>
          <w:rFonts w:eastAsiaTheme="minorEastAsia"/>
          <w:b/>
        </w:rPr>
        <w:t>7.</w:t>
      </w:r>
      <w:r w:rsidR="00A236D7">
        <w:rPr>
          <w:rFonts w:eastAsiaTheme="minorEastAsia"/>
          <w:b/>
        </w:rPr>
        <w:t xml:space="preserve"> Summary</w:t>
      </w:r>
    </w:p>
    <w:p w:rsidR="0076768D" w:rsidRPr="0076768D" w:rsidRDefault="0076768D" w:rsidP="007234F5">
      <w:pPr>
        <w:spacing w:line="480" w:lineRule="auto"/>
        <w:rPr>
          <w:b/>
        </w:rPr>
      </w:pPr>
      <w:r>
        <w:t xml:space="preserve">In this Chapter we discussed Implied Variance, Volatility Smile, and the Constant Elasticity Volatility (CEV) model. These topics will be further discussed in the appendixes. In Appendix 4A, we will discuss Corrado and Miller’s Approach to Estimate Implied Standard Deviation. In Appendix 4B, we will discuss the MATLAB Approach to Estimate Implied Variance. Finally, in Appendix 4C, we will </w:t>
      </w:r>
      <w:r w:rsidRPr="0076768D">
        <w:t>discuss</w:t>
      </w:r>
      <w:r w:rsidRPr="0076768D">
        <w:rPr>
          <w:bCs/>
          <w:color w:val="000000"/>
        </w:rPr>
        <w:t xml:space="preserve"> Noncentral χ</w:t>
      </w:r>
      <w:r w:rsidRPr="0076768D">
        <w:rPr>
          <w:bCs/>
          <w:color w:val="000000"/>
          <w:vertAlign w:val="superscript"/>
        </w:rPr>
        <w:t>2</w:t>
      </w:r>
      <w:r w:rsidRPr="0076768D">
        <w:rPr>
          <w:bCs/>
          <w:color w:val="000000"/>
        </w:rPr>
        <w:t xml:space="preserve"> and the Option Pricing Model</w:t>
      </w:r>
      <w:r>
        <w:rPr>
          <w:bCs/>
          <w:color w:val="000000"/>
        </w:rPr>
        <w:t xml:space="preserve">. </w:t>
      </w:r>
    </w:p>
    <w:p w:rsidR="0076768D" w:rsidRDefault="00972F5C" w:rsidP="008C0A15">
      <w:pPr>
        <w:spacing w:line="480" w:lineRule="auto"/>
        <w:rPr>
          <w:b/>
          <w:bCs/>
          <w:sz w:val="28"/>
          <w:szCs w:val="28"/>
        </w:rPr>
      </w:pPr>
      <w:r>
        <w:rPr>
          <w:b/>
          <w:bCs/>
          <w:sz w:val="28"/>
          <w:szCs w:val="28"/>
        </w:rPr>
        <w:t>References</w:t>
      </w:r>
    </w:p>
    <w:p w:rsidR="007D382D" w:rsidRDefault="007D382D" w:rsidP="008C0A15">
      <w:pPr>
        <w:spacing w:line="480" w:lineRule="auto"/>
        <w:rPr>
          <w:bCs/>
          <w:i/>
        </w:rPr>
      </w:pPr>
      <w:r>
        <w:rPr>
          <w:bCs/>
        </w:rPr>
        <w:t xml:space="preserve">Ang, James S., Gwoduan David Jou, and Tsong-Yue Lai. </w:t>
      </w:r>
      <w:r>
        <w:rPr>
          <w:bCs/>
          <w:i/>
        </w:rPr>
        <w:t xml:space="preserve">A Comparison of Formulas to Compute </w:t>
      </w:r>
    </w:p>
    <w:p w:rsidR="007D382D" w:rsidRDefault="007D382D" w:rsidP="007D382D">
      <w:pPr>
        <w:spacing w:line="480" w:lineRule="auto"/>
        <w:ind w:firstLine="720"/>
        <w:rPr>
          <w:bCs/>
        </w:rPr>
      </w:pPr>
      <w:r>
        <w:rPr>
          <w:bCs/>
          <w:i/>
        </w:rPr>
        <w:t xml:space="preserve">Implied Standard Deviation. </w:t>
      </w:r>
      <w:r>
        <w:rPr>
          <w:bCs/>
        </w:rPr>
        <w:t>Encyclopedia of Finance, 2</w:t>
      </w:r>
      <w:r w:rsidRPr="007D382D">
        <w:rPr>
          <w:bCs/>
          <w:vertAlign w:val="superscript"/>
        </w:rPr>
        <w:t>nd</w:t>
      </w:r>
      <w:r>
        <w:rPr>
          <w:bCs/>
        </w:rPr>
        <w:t xml:space="preserve"> Ed. Springer, NY. </w:t>
      </w:r>
    </w:p>
    <w:p w:rsidR="007D382D" w:rsidRDefault="007D382D" w:rsidP="007D382D">
      <w:pPr>
        <w:spacing w:line="480" w:lineRule="auto"/>
        <w:rPr>
          <w:bCs/>
          <w:i/>
        </w:rPr>
      </w:pPr>
      <w:r>
        <w:rPr>
          <w:bCs/>
        </w:rPr>
        <w:t xml:space="preserve">Black, F. and M. Scholes, “The Pricing of Options and Corporate Liabilities.” </w:t>
      </w:r>
      <w:r>
        <w:rPr>
          <w:bCs/>
          <w:i/>
        </w:rPr>
        <w:t xml:space="preserve">Journal of </w:t>
      </w:r>
    </w:p>
    <w:p w:rsidR="007D382D" w:rsidRDefault="007D382D" w:rsidP="007D382D">
      <w:pPr>
        <w:spacing w:line="480" w:lineRule="auto"/>
        <w:ind w:firstLine="720"/>
        <w:rPr>
          <w:bCs/>
        </w:rPr>
      </w:pPr>
      <w:r>
        <w:rPr>
          <w:bCs/>
          <w:i/>
        </w:rPr>
        <w:t xml:space="preserve">Political Economy </w:t>
      </w:r>
      <w:r>
        <w:rPr>
          <w:bCs/>
        </w:rPr>
        <w:t>81, 637-654, (May/June 1973).</w:t>
      </w:r>
    </w:p>
    <w:p w:rsidR="007D382D" w:rsidRDefault="007D382D" w:rsidP="007D382D">
      <w:pPr>
        <w:spacing w:line="480" w:lineRule="auto"/>
        <w:rPr>
          <w:bCs/>
        </w:rPr>
      </w:pPr>
      <w:r>
        <w:rPr>
          <w:bCs/>
        </w:rPr>
        <w:t xml:space="preserve">Corrado, C.J. and T.W. Miller, “A Note on a Simple, Accurate Formula to Compute Implied </w:t>
      </w:r>
    </w:p>
    <w:p w:rsidR="007D382D" w:rsidRDefault="007D382D" w:rsidP="007D382D">
      <w:pPr>
        <w:spacing w:line="480" w:lineRule="auto"/>
        <w:ind w:firstLine="720"/>
        <w:rPr>
          <w:bCs/>
        </w:rPr>
      </w:pPr>
      <w:r>
        <w:rPr>
          <w:bCs/>
        </w:rPr>
        <w:t xml:space="preserve">Standard Deviations.” </w:t>
      </w:r>
      <w:r>
        <w:rPr>
          <w:bCs/>
          <w:i/>
        </w:rPr>
        <w:t xml:space="preserve">Journal of Banking and Finance </w:t>
      </w:r>
      <w:r>
        <w:rPr>
          <w:bCs/>
        </w:rPr>
        <w:t>20, 595-603, (1996).</w:t>
      </w:r>
    </w:p>
    <w:p w:rsidR="007D382D" w:rsidRDefault="007D382D" w:rsidP="007D382D">
      <w:pPr>
        <w:spacing w:line="480" w:lineRule="auto"/>
        <w:rPr>
          <w:bCs/>
        </w:rPr>
      </w:pPr>
      <w:r>
        <w:rPr>
          <w:bCs/>
        </w:rPr>
        <w:t xml:space="preserve">Lai, T.Y., C.F. Lee and Al Tucker, “An Alternative Method for Obtaining the Implied Standard </w:t>
      </w:r>
    </w:p>
    <w:p w:rsidR="007D382D" w:rsidRDefault="007D382D" w:rsidP="007D382D">
      <w:pPr>
        <w:spacing w:line="480" w:lineRule="auto"/>
        <w:ind w:firstLine="720"/>
        <w:rPr>
          <w:bCs/>
        </w:rPr>
      </w:pPr>
      <w:r>
        <w:rPr>
          <w:bCs/>
        </w:rPr>
        <w:t xml:space="preserve">Deviation.” </w:t>
      </w:r>
      <w:r>
        <w:rPr>
          <w:bCs/>
          <w:i/>
        </w:rPr>
        <w:t xml:space="preserve">Journal of Financial Engineering </w:t>
      </w:r>
      <w:r>
        <w:rPr>
          <w:bCs/>
        </w:rPr>
        <w:t>1, 369-375, (December 1992).</w:t>
      </w:r>
    </w:p>
    <w:p w:rsidR="00793818" w:rsidRDefault="007D382D" w:rsidP="007D382D">
      <w:pPr>
        <w:spacing w:line="480" w:lineRule="auto"/>
        <w:rPr>
          <w:bCs/>
          <w:i/>
        </w:rPr>
      </w:pPr>
      <w:r>
        <w:rPr>
          <w:bCs/>
        </w:rPr>
        <w:t xml:space="preserve">Merton, R.C., “The Theory of Rational Option Pricing.” </w:t>
      </w:r>
      <w:r>
        <w:rPr>
          <w:bCs/>
          <w:i/>
        </w:rPr>
        <w:t xml:space="preserve">Bell Journal of Economics and </w:t>
      </w:r>
    </w:p>
    <w:p w:rsidR="007D382D" w:rsidRPr="00793818" w:rsidRDefault="007D382D" w:rsidP="00793818">
      <w:pPr>
        <w:spacing w:line="480" w:lineRule="auto"/>
        <w:ind w:firstLine="720"/>
        <w:rPr>
          <w:bCs/>
        </w:rPr>
      </w:pPr>
      <w:r>
        <w:rPr>
          <w:bCs/>
          <w:i/>
        </w:rPr>
        <w:t xml:space="preserve">Management </w:t>
      </w:r>
      <w:r w:rsidR="00793818">
        <w:rPr>
          <w:bCs/>
          <w:i/>
        </w:rPr>
        <w:t xml:space="preserve">Science </w:t>
      </w:r>
      <w:r w:rsidR="00793818">
        <w:rPr>
          <w:bCs/>
        </w:rPr>
        <w:t xml:space="preserve">4, 141-183, (1973). </w:t>
      </w:r>
    </w:p>
    <w:p w:rsidR="007D382D" w:rsidRPr="007D382D" w:rsidRDefault="007D382D" w:rsidP="007D382D">
      <w:pPr>
        <w:spacing w:line="480" w:lineRule="auto"/>
        <w:rPr>
          <w:bCs/>
        </w:rPr>
      </w:pPr>
    </w:p>
    <w:p w:rsidR="008C0A15" w:rsidRPr="008C0A15" w:rsidRDefault="008C0A15" w:rsidP="008C0A15">
      <w:pPr>
        <w:spacing w:line="480" w:lineRule="auto"/>
        <w:rPr>
          <w:sz w:val="28"/>
          <w:szCs w:val="28"/>
        </w:rPr>
      </w:pPr>
      <w:r w:rsidRPr="008C0A15">
        <w:rPr>
          <w:b/>
          <w:bCs/>
          <w:sz w:val="28"/>
          <w:szCs w:val="28"/>
        </w:rPr>
        <w:t>Appendix 4A: Corrado and Miller’s Approach to Estimate Implied Standard Deviation</w:t>
      </w:r>
    </w:p>
    <w:p w:rsidR="008C0A15" w:rsidRDefault="008C0A15" w:rsidP="008C0A15">
      <w:pPr>
        <w:spacing w:line="480" w:lineRule="auto"/>
        <w:ind w:firstLine="480"/>
      </w:pPr>
      <w:r>
        <w:t>Based upon Black and Scholes’ option pricing model, Brenner and Subrahmanyam (1988) derive the following formulae of ISD under the condition that the stock price S equal to the present value K of the exercise price E:</w:t>
      </w:r>
    </w:p>
    <w:p w:rsidR="008C0A15" w:rsidRDefault="008C0A15" w:rsidP="008C0A15">
      <w:pPr>
        <w:spacing w:line="480" w:lineRule="auto"/>
        <w:ind w:firstLine="480"/>
      </w:pPr>
      <w:r>
        <w:tab/>
      </w:r>
      <w:r w:rsidRPr="001722B5">
        <w:rPr>
          <w:position w:val="-8"/>
        </w:rPr>
        <w:object w:dxaOrig="1740" w:dyaOrig="360">
          <v:shape id="_x0000_i1076" type="#_x0000_t75" style="width:86.25pt;height:21.75pt" o:ole="" fillcolor="window">
            <v:imagedata r:id="rId8" o:title=""/>
          </v:shape>
          <o:OLEObject Type="Embed" ProgID="Equation.DSMT4" ShapeID="_x0000_i1076" DrawAspect="Content" ObjectID="_1520260011" r:id="rId9"/>
        </w:object>
      </w:r>
      <w:r>
        <w:tab/>
      </w:r>
      <w:r>
        <w:tab/>
      </w:r>
      <w:r>
        <w:tab/>
      </w:r>
      <w:r>
        <w:tab/>
      </w:r>
      <w:r>
        <w:tab/>
      </w:r>
      <w:r>
        <w:tab/>
      </w:r>
      <w:r>
        <w:tab/>
      </w:r>
      <w:r>
        <w:tab/>
      </w:r>
      <w:r>
        <w:tab/>
        <w:t>(4A.1)</w:t>
      </w:r>
    </w:p>
    <w:p w:rsidR="008C0A15" w:rsidRDefault="008C0A15" w:rsidP="008C0A15">
      <w:pPr>
        <w:spacing w:line="480" w:lineRule="auto"/>
        <w:ind w:firstLine="480"/>
      </w:pPr>
      <w:r>
        <w:t>Corrado and Miller (1996) expand the cumulative normal distribution in Black and Sholes model up to the third order and omit the rest of reminders. The resulting Taylor expansion of option pricing model on the zero point results a quadratic equation of the ISD. They then solve for the ISD from the quadratic equation and derive the following formulae (4A.2) of ISD (their equation (6) in Corrado and Miller (1996), detail see page 597).</w:t>
      </w:r>
    </w:p>
    <w:p w:rsidR="008C0A15" w:rsidRDefault="008C0A15" w:rsidP="008C0A15">
      <w:pPr>
        <w:spacing w:line="480" w:lineRule="auto"/>
        <w:ind w:firstLine="480"/>
      </w:pPr>
      <w:r>
        <w:t xml:space="preserve"> </w:t>
      </w:r>
      <w:r w:rsidRPr="00563A88">
        <w:rPr>
          <w:position w:val="-36"/>
        </w:rPr>
        <w:object w:dxaOrig="6140" w:dyaOrig="840">
          <v:shape id="_x0000_i1077" type="#_x0000_t75" style="width:302.25pt;height:43.5pt" o:ole="" fillcolor="window">
            <v:imagedata r:id="rId10" o:title=""/>
          </v:shape>
          <o:OLEObject Type="Embed" ProgID="Equation.DSMT4" ShapeID="_x0000_i1077" DrawAspect="Content" ObjectID="_1520260012" r:id="rId11"/>
        </w:object>
      </w:r>
      <w:r>
        <w:t>.</w:t>
      </w:r>
      <w:r>
        <w:tab/>
      </w:r>
      <w:r>
        <w:tab/>
      </w:r>
      <w:r>
        <w:tab/>
        <w:t>(4A.2)</w:t>
      </w:r>
    </w:p>
    <w:p w:rsidR="008C0A15" w:rsidRDefault="008C0A15" w:rsidP="008C0A15">
      <w:pPr>
        <w:spacing w:line="480" w:lineRule="auto"/>
        <w:ind w:firstLine="480"/>
      </w:pPr>
      <w:r>
        <w:t xml:space="preserve"> Corrado and Miller stated “The accuracy of the equation (6) can be significantly improved by minimizing its concavity as follows. First, for simplicity only, we substitute the logarithmic approximation ln(S/X) </w:t>
      </w:r>
      <w:r w:rsidRPr="00C70959">
        <w:rPr>
          <w:u w:val="single"/>
        </w:rPr>
        <w:t>~</w:t>
      </w:r>
      <w:r w:rsidRPr="00C70959">
        <w:t xml:space="preserve"> 2(S-X)/(S+X)</w:t>
      </w:r>
      <w:r>
        <w:t xml:space="preserve"> into (6) and then replaced the value “4” with parameter α to obtain this restatement of the quadratic formula”. </w:t>
      </w:r>
    </w:p>
    <w:p w:rsidR="008C0A15" w:rsidRDefault="008C0A15" w:rsidP="008C0A15">
      <w:pPr>
        <w:spacing w:line="480" w:lineRule="auto"/>
        <w:ind w:firstLine="480"/>
      </w:pPr>
      <w:r w:rsidRPr="00220D7F">
        <w:rPr>
          <w:position w:val="-36"/>
        </w:rPr>
        <w:object w:dxaOrig="5580" w:dyaOrig="840">
          <v:shape id="_x0000_i1078" type="#_x0000_t75" style="width:280.5pt;height:43.5pt" o:ole="" fillcolor="window">
            <v:imagedata r:id="rId12" o:title=""/>
          </v:shape>
          <o:OLEObject Type="Embed" ProgID="Equation.DSMT4" ShapeID="_x0000_i1078" DrawAspect="Content" ObjectID="_1520260013" r:id="rId13"/>
        </w:object>
      </w:r>
      <w:r>
        <w:t>.</w:t>
      </w:r>
      <w:r>
        <w:tab/>
      </w:r>
      <w:r>
        <w:tab/>
      </w:r>
      <w:r>
        <w:tab/>
      </w:r>
      <w:r>
        <w:tab/>
        <w:t>(4A.3)</w:t>
      </w:r>
    </w:p>
    <w:p w:rsidR="008C0A15" w:rsidRDefault="008C0A15" w:rsidP="008C0A15">
      <w:pPr>
        <w:spacing w:line="480" w:lineRule="auto"/>
        <w:ind w:firstLine="480"/>
      </w:pPr>
      <w:r>
        <w:t>T</w:t>
      </w:r>
      <w:r w:rsidRPr="00D85674">
        <w:t>h</w:t>
      </w:r>
      <w:r>
        <w:t>is</w:t>
      </w:r>
      <w:r w:rsidRPr="00D85674">
        <w:t xml:space="preserve"> α is called tweaking parameter</w:t>
      </w:r>
      <w:r>
        <w:t xml:space="preserve"> by Corrado and Miller (2004). To minimize the concavity of their equation (7) (here the (4A.3) at the stock price equal to the present value X of exercise price, they derive a formula for α in terms normal density function and cumulate normal function with ISD.  They solve the α (α is a function of unknown variable of ISD, detail see their equations (8) and (9) in page 598) and then substitute α = 2 to obtain the following formula of ISD equation (4A.4) (the equation (10) in Corrado and Miller):</w:t>
      </w:r>
    </w:p>
    <w:p w:rsidR="008C0A15" w:rsidRDefault="008C0A15" w:rsidP="008C0A15">
      <w:pPr>
        <w:spacing w:line="480" w:lineRule="auto"/>
        <w:ind w:firstLine="480"/>
      </w:pPr>
      <w:r w:rsidRPr="00C2551A">
        <w:rPr>
          <w:position w:val="-12"/>
        </w:rPr>
        <w:object w:dxaOrig="7119" w:dyaOrig="440">
          <v:shape id="_x0000_i1079" type="#_x0000_t75" style="width:352.5pt;height:21.75pt" o:ole="" fillcolor="window">
            <v:imagedata r:id="rId14" o:title=""/>
          </v:shape>
          <o:OLEObject Type="Embed" ProgID="Equation.DSMT4" ShapeID="_x0000_i1079" DrawAspect="Content" ObjectID="_1520260014" r:id="rId15"/>
        </w:object>
      </w:r>
      <w:r>
        <w:t>].</w:t>
      </w:r>
      <w:r>
        <w:tab/>
      </w:r>
      <w:r>
        <w:tab/>
        <w:t>(4A.4)</w:t>
      </w:r>
    </w:p>
    <w:p w:rsidR="00A236D7" w:rsidRPr="002307F9" w:rsidRDefault="008C0A15" w:rsidP="005107B1">
      <w:pPr>
        <w:pStyle w:val="EndnoteText"/>
      </w:pPr>
      <w:r>
        <w:t>As shown by Corrado and Miller, their equation (10) (here 4A.4) is more accurate than their equation (6) (here (4A.2)).</w:t>
      </w:r>
      <w:r>
        <w:br w:type="page"/>
      </w:r>
    </w:p>
    <w:p w:rsidR="00A236D7" w:rsidRDefault="00A236D7" w:rsidP="008435B4">
      <w:pPr>
        <w:pStyle w:val="EndnoteText"/>
        <w:spacing w:line="360" w:lineRule="auto"/>
        <w:rPr>
          <w:b/>
          <w:sz w:val="24"/>
          <w:szCs w:val="24"/>
        </w:rPr>
      </w:pPr>
    </w:p>
    <w:p w:rsidR="00A236D7" w:rsidRPr="00003F93" w:rsidRDefault="00A236D7" w:rsidP="008435B4">
      <w:pPr>
        <w:pStyle w:val="EndnoteText"/>
        <w:spacing w:line="360" w:lineRule="auto"/>
        <w:rPr>
          <w:b/>
          <w:sz w:val="28"/>
          <w:szCs w:val="28"/>
        </w:rPr>
      </w:pPr>
      <w:r w:rsidRPr="00003F93">
        <w:rPr>
          <w:b/>
          <w:sz w:val="28"/>
          <w:szCs w:val="28"/>
        </w:rPr>
        <w:t xml:space="preserve">Appendix 4B : </w:t>
      </w:r>
      <w:r w:rsidR="0076768D">
        <w:rPr>
          <w:b/>
          <w:sz w:val="28"/>
          <w:szCs w:val="28"/>
        </w:rPr>
        <w:t>MATLAB Approach to Estimate Implied V</w:t>
      </w:r>
      <w:r w:rsidRPr="00003F93">
        <w:rPr>
          <w:b/>
          <w:sz w:val="28"/>
          <w:szCs w:val="28"/>
        </w:rPr>
        <w:t>ariance</w:t>
      </w:r>
    </w:p>
    <w:p w:rsidR="00A236D7" w:rsidRPr="00DC19E2" w:rsidRDefault="00A236D7" w:rsidP="008435B4">
      <w:pPr>
        <w:spacing w:line="360" w:lineRule="auto"/>
        <w:textAlignment w:val="center"/>
      </w:pPr>
      <w:r w:rsidRPr="00DC19E2">
        <w:rPr>
          <w:rFonts w:hint="eastAsia"/>
        </w:rPr>
        <w:t>Usually, implied variance can be obtained from</w:t>
      </w:r>
      <w:r w:rsidRPr="00DC19E2">
        <w:t xml:space="preserve"> a</w:t>
      </w:r>
      <w:r w:rsidRPr="00DC19E2">
        <w:rPr>
          <w:rFonts w:hint="eastAsia"/>
        </w:rPr>
        <w:t xml:space="preserve"> call or put option model </w:t>
      </w:r>
      <w:r w:rsidRPr="00DC19E2">
        <w:t>by</w:t>
      </w:r>
      <w:r w:rsidRPr="00DC19E2">
        <w:rPr>
          <w:rFonts w:hint="eastAsia"/>
        </w:rPr>
        <w:t xml:space="preserve"> </w:t>
      </w:r>
      <w:r w:rsidRPr="00DC19E2">
        <w:t xml:space="preserve">an </w:t>
      </w:r>
      <w:r w:rsidRPr="00DC19E2">
        <w:rPr>
          <w:rFonts w:hint="eastAsia"/>
        </w:rPr>
        <w:t>optimization technique.</w:t>
      </w:r>
      <w:r w:rsidRPr="00DC19E2">
        <w:t xml:space="preserve"> For each individual option, the implied variance can be obtained by first choosing an initial estimate</w:t>
      </w:r>
      <w:r w:rsidRPr="00DC19E2">
        <w:object w:dxaOrig="260" w:dyaOrig="360">
          <v:shape id="_x0000_i1080" type="#_x0000_t75" style="width:14.25pt;height:21.75pt" o:ole="">
            <v:imagedata r:id="rId16" o:title=""/>
          </v:shape>
          <o:OLEObject Type="Embed" ProgID="Equation.DSMT4" ShapeID="_x0000_i1080" DrawAspect="Content" ObjectID="_1520260015" r:id="rId17"/>
        </w:object>
      </w:r>
      <w:r>
        <w:t>, and then Equation (</w:t>
      </w:r>
      <w:r w:rsidR="00453FDE">
        <w:t>4</w:t>
      </w:r>
      <w:r>
        <w:rPr>
          <w:rFonts w:hint="eastAsia"/>
          <w:lang w:eastAsia="zh-CN"/>
        </w:rPr>
        <w:t>B.</w:t>
      </w:r>
      <w:r>
        <w:rPr>
          <w:lang w:eastAsia="zh-CN"/>
        </w:rPr>
        <w:t>1)</w:t>
      </w:r>
      <w:r w:rsidRPr="00DC19E2">
        <w:t xml:space="preserve"> is used to iterate towards the correct value.</w:t>
      </w:r>
    </w:p>
    <w:p w:rsidR="00A236D7" w:rsidRPr="00DC19E2" w:rsidRDefault="00A236D7" w:rsidP="008435B4">
      <w:pPr>
        <w:spacing w:line="360" w:lineRule="auto"/>
        <w:textAlignment w:val="center"/>
      </w:pPr>
      <w:r w:rsidRPr="00DC19E2">
        <w:object w:dxaOrig="3720" w:dyaOrig="740">
          <v:shape id="_x0000_i1081" type="#_x0000_t75" style="width:186.75pt;height:36pt" o:ole="">
            <v:imagedata r:id="rId18" o:title=""/>
          </v:shape>
          <o:OLEObject Type="Embed" ProgID="Equation.DSMT4" ShapeID="_x0000_i1081" DrawAspect="Content" ObjectID="_1520260016" r:id="rId19"/>
        </w:object>
      </w:r>
      <w:r w:rsidRPr="00DC19E2">
        <w:t xml:space="preserve">                           </w:t>
      </w:r>
      <w:r>
        <w:t>(</w:t>
      </w:r>
      <w:r w:rsidR="00453FDE">
        <w:t>4</w:t>
      </w:r>
      <w:r>
        <w:t>B.1)</w:t>
      </w:r>
    </w:p>
    <w:p w:rsidR="00A236D7" w:rsidRPr="00DC19E2" w:rsidRDefault="00A236D7" w:rsidP="008435B4">
      <w:pPr>
        <w:autoSpaceDE w:val="0"/>
        <w:autoSpaceDN w:val="0"/>
        <w:adjustRightInd w:val="0"/>
        <w:spacing w:line="360" w:lineRule="auto"/>
        <w:textAlignment w:val="center"/>
      </w:pPr>
      <w:r w:rsidRPr="00DC19E2">
        <w:t>Where</w:t>
      </w:r>
    </w:p>
    <w:p w:rsidR="00A236D7" w:rsidRPr="00DC19E2" w:rsidRDefault="00A236D7" w:rsidP="008435B4">
      <w:pPr>
        <w:autoSpaceDE w:val="0"/>
        <w:autoSpaceDN w:val="0"/>
        <w:adjustRightInd w:val="0"/>
        <w:spacing w:line="360" w:lineRule="auto"/>
        <w:textAlignment w:val="center"/>
      </w:pPr>
      <w:r w:rsidRPr="00DC19E2">
        <w:object w:dxaOrig="380" w:dyaOrig="400">
          <v:shape id="_x0000_i1082" type="#_x0000_t75" style="width:21.75pt;height:21.75pt" o:ole="">
            <v:imagedata r:id="rId20" o:title=""/>
          </v:shape>
          <o:OLEObject Type="Embed" ProgID="Equation.DSMT4" ShapeID="_x0000_i1082" DrawAspect="Content" ObjectID="_1520260017" r:id="rId21"/>
        </w:object>
      </w:r>
      <w:r w:rsidRPr="00DC19E2">
        <w:t xml:space="preserve">=market price of call option </w:t>
      </w:r>
      <w:r w:rsidRPr="00DC19E2">
        <w:object w:dxaOrig="160" w:dyaOrig="260">
          <v:shape id="_x0000_i1083" type="#_x0000_t75" style="width:7.5pt;height:14.25pt" o:ole="">
            <v:imagedata r:id="rId22" o:title=""/>
          </v:shape>
          <o:OLEObject Type="Embed" ProgID="Equation.DSMT4" ShapeID="_x0000_i1083" DrawAspect="Content" ObjectID="_1520260018" r:id="rId23"/>
        </w:object>
      </w:r>
      <w:r w:rsidRPr="00DC19E2">
        <w:t>at time</w:t>
      </w:r>
      <w:r w:rsidRPr="00DC19E2">
        <w:object w:dxaOrig="139" w:dyaOrig="220">
          <v:shape id="_x0000_i1084" type="#_x0000_t75" style="width:7.5pt;height:14.25pt" o:ole="">
            <v:imagedata r:id="rId24" o:title=""/>
          </v:shape>
          <o:OLEObject Type="Embed" ProgID="Equation.DSMT4" ShapeID="_x0000_i1084" DrawAspect="Content" ObjectID="_1520260019" r:id="rId25"/>
        </w:object>
      </w:r>
      <w:r w:rsidRPr="00DC19E2">
        <w:t>;</w:t>
      </w:r>
    </w:p>
    <w:p w:rsidR="00A236D7" w:rsidRPr="00DC19E2" w:rsidRDefault="00A236D7" w:rsidP="008435B4">
      <w:pPr>
        <w:autoSpaceDE w:val="0"/>
        <w:autoSpaceDN w:val="0"/>
        <w:adjustRightInd w:val="0"/>
        <w:spacing w:line="360" w:lineRule="auto"/>
        <w:textAlignment w:val="center"/>
      </w:pPr>
      <w:r w:rsidRPr="00DC19E2">
        <w:object w:dxaOrig="200" w:dyaOrig="180">
          <v:shape id="_x0000_i1085" type="#_x0000_t75" style="width:7.5pt;height:7.5pt" o:ole="">
            <v:imagedata r:id="rId26" o:title=""/>
          </v:shape>
          <o:OLEObject Type="Embed" ProgID="Equation.DSMT4" ShapeID="_x0000_i1085" DrawAspect="Content" ObjectID="_1520260020" r:id="rId27"/>
        </w:object>
      </w:r>
      <w:r w:rsidRPr="00DC19E2">
        <w:t>=true or actual implied standard deviation;</w:t>
      </w:r>
    </w:p>
    <w:p w:rsidR="00A236D7" w:rsidRPr="00DC19E2" w:rsidRDefault="00A236D7" w:rsidP="008435B4">
      <w:pPr>
        <w:autoSpaceDE w:val="0"/>
        <w:autoSpaceDN w:val="0"/>
        <w:adjustRightInd w:val="0"/>
        <w:spacing w:line="360" w:lineRule="auto"/>
        <w:textAlignment w:val="center"/>
      </w:pPr>
      <w:r w:rsidRPr="00DC19E2">
        <w:object w:dxaOrig="260" w:dyaOrig="360">
          <v:shape id="_x0000_i1086" type="#_x0000_t75" style="width:14.25pt;height:21.75pt" o:ole="">
            <v:imagedata r:id="rId28" o:title=""/>
          </v:shape>
          <o:OLEObject Type="Embed" ProgID="Equation.DSMT4" ShapeID="_x0000_i1086" DrawAspect="Content" ObjectID="_1520260021" r:id="rId29"/>
        </w:object>
      </w:r>
      <w:r w:rsidRPr="00DC19E2">
        <w:t>=initial estimate of implied standard deviation;</w:t>
      </w:r>
    </w:p>
    <w:p w:rsidR="00A236D7" w:rsidRPr="00DC19E2" w:rsidRDefault="00A236D7" w:rsidP="008435B4">
      <w:pPr>
        <w:autoSpaceDE w:val="0"/>
        <w:autoSpaceDN w:val="0"/>
        <w:adjustRightInd w:val="0"/>
        <w:spacing w:line="360" w:lineRule="auto"/>
        <w:textAlignment w:val="center"/>
      </w:pPr>
      <w:r w:rsidRPr="00DC19E2">
        <w:object w:dxaOrig="720" w:dyaOrig="400">
          <v:shape id="_x0000_i1087" type="#_x0000_t75" style="width:36pt;height:21.75pt" o:ole="">
            <v:imagedata r:id="rId30" o:title=""/>
          </v:shape>
          <o:OLEObject Type="Embed" ProgID="Equation.DSMT4" ShapeID="_x0000_i1087" DrawAspect="Content" ObjectID="_1520260022" r:id="rId31"/>
        </w:object>
      </w:r>
      <w:r w:rsidRPr="00DC19E2">
        <w:t xml:space="preserve">=theoretical price of call option </w:t>
      </w:r>
      <w:r w:rsidRPr="00DC19E2">
        <w:object w:dxaOrig="160" w:dyaOrig="260">
          <v:shape id="_x0000_i1088" type="#_x0000_t75" style="width:7.5pt;height:14.25pt" o:ole="">
            <v:imagedata r:id="rId32" o:title=""/>
          </v:shape>
          <o:OLEObject Type="Embed" ProgID="Equation.DSMT4" ShapeID="_x0000_i1088" DrawAspect="Content" ObjectID="_1520260023" r:id="rId33"/>
        </w:object>
      </w:r>
      <w:r w:rsidRPr="00DC19E2">
        <w:t xml:space="preserve"> at time </w:t>
      </w:r>
      <w:r w:rsidRPr="00DC19E2">
        <w:object w:dxaOrig="139" w:dyaOrig="220">
          <v:shape id="_x0000_i1089" type="#_x0000_t75" style="width:7.5pt;height:14.25pt" o:ole="">
            <v:imagedata r:id="rId34" o:title=""/>
          </v:shape>
          <o:OLEObject Type="Embed" ProgID="Equation.DSMT4" ShapeID="_x0000_i1089" DrawAspect="Content" ObjectID="_1520260024" r:id="rId35"/>
        </w:object>
      </w:r>
      <w:r w:rsidRPr="00DC19E2">
        <w:t xml:space="preserve">given </w:t>
      </w:r>
      <w:r w:rsidRPr="00DC19E2">
        <w:object w:dxaOrig="680" w:dyaOrig="360">
          <v:shape id="_x0000_i1090" type="#_x0000_t75" style="width:36pt;height:21.75pt" o:ole="">
            <v:imagedata r:id="rId36" o:title=""/>
          </v:shape>
          <o:OLEObject Type="Embed" ProgID="Equation.DSMT4" ShapeID="_x0000_i1090" DrawAspect="Content" ObjectID="_1520260025" r:id="rId37"/>
        </w:object>
      </w:r>
      <w:r w:rsidRPr="00DC19E2">
        <w:t>;</w:t>
      </w:r>
    </w:p>
    <w:p w:rsidR="00A236D7" w:rsidRPr="00DC19E2" w:rsidRDefault="00A236D7" w:rsidP="008435B4">
      <w:pPr>
        <w:autoSpaceDE w:val="0"/>
        <w:autoSpaceDN w:val="0"/>
        <w:adjustRightInd w:val="0"/>
        <w:spacing w:line="360" w:lineRule="auto"/>
        <w:textAlignment w:val="center"/>
      </w:pPr>
      <w:r w:rsidRPr="00DC19E2">
        <w:object w:dxaOrig="820" w:dyaOrig="740">
          <v:shape id="_x0000_i1091" type="#_x0000_t75" style="width:43.5pt;height:36pt" o:ole="">
            <v:imagedata r:id="rId38" o:title=""/>
          </v:shape>
          <o:OLEObject Type="Embed" ProgID="Equation.DSMT4" ShapeID="_x0000_i1091" DrawAspect="Content" ObjectID="_1520260026" r:id="rId39"/>
        </w:object>
      </w:r>
      <w:r w:rsidRPr="00DC19E2">
        <w:t xml:space="preserve">=partial derivative of the call option with respect to the standard deviation </w:t>
      </w:r>
      <w:r w:rsidRPr="00DC19E2">
        <w:object w:dxaOrig="200" w:dyaOrig="180">
          <v:shape id="_x0000_i1092" type="#_x0000_t75" style="width:7.5pt;height:7.5pt" o:ole="">
            <v:imagedata r:id="rId40" o:title=""/>
          </v:shape>
          <o:OLEObject Type="Embed" ProgID="Equation.DSMT4" ShapeID="_x0000_i1092" DrawAspect="Content" ObjectID="_1520260027" r:id="rId41"/>
        </w:object>
      </w:r>
      <w:r w:rsidRPr="00DC19E2">
        <w:t xml:space="preserve">at </w:t>
      </w:r>
      <w:r w:rsidRPr="00DC19E2">
        <w:object w:dxaOrig="680" w:dyaOrig="360">
          <v:shape id="_x0000_i1093" type="#_x0000_t75" style="width:36pt;height:21.75pt" o:ole="">
            <v:imagedata r:id="rId42" o:title=""/>
          </v:shape>
          <o:OLEObject Type="Embed" ProgID="Equation.DSMT4" ShapeID="_x0000_i1093" DrawAspect="Content" ObjectID="_1520260028" r:id="rId43"/>
        </w:object>
      </w:r>
      <w:r w:rsidRPr="00DC19E2">
        <w:t>;</w:t>
      </w:r>
    </w:p>
    <w:p w:rsidR="00A236D7" w:rsidRPr="00DC19E2" w:rsidRDefault="00A236D7" w:rsidP="008435B4">
      <w:pPr>
        <w:autoSpaceDE w:val="0"/>
        <w:autoSpaceDN w:val="0"/>
        <w:adjustRightInd w:val="0"/>
        <w:spacing w:line="360" w:lineRule="auto"/>
        <w:textAlignment w:val="center"/>
      </w:pPr>
      <w:r w:rsidRPr="00DC19E2">
        <w:object w:dxaOrig="300" w:dyaOrig="380">
          <v:shape id="_x0000_i1094" type="#_x0000_t75" style="width:14.25pt;height:21.75pt" o:ole="">
            <v:imagedata r:id="rId44" o:title=""/>
          </v:shape>
          <o:OLEObject Type="Embed" ProgID="Equation.DSMT4" ShapeID="_x0000_i1094" DrawAspect="Content" ObjectID="_1520260029" r:id="rId45"/>
        </w:object>
      </w:r>
      <w:r w:rsidRPr="00DC19E2">
        <w:t>=error term.</w:t>
      </w:r>
    </w:p>
    <w:p w:rsidR="00A236D7" w:rsidRPr="00DC19E2" w:rsidRDefault="00A236D7" w:rsidP="008435B4">
      <w:pPr>
        <w:autoSpaceDE w:val="0"/>
        <w:autoSpaceDN w:val="0"/>
        <w:adjustRightInd w:val="0"/>
        <w:spacing w:line="360" w:lineRule="auto"/>
        <w:textAlignment w:val="center"/>
      </w:pPr>
      <w:r w:rsidRPr="00DC19E2">
        <w:t>The partial derivative of the call option with respective to the standard deviation</w:t>
      </w:r>
      <w:r w:rsidRPr="00DC19E2">
        <w:object w:dxaOrig="540" w:dyaOrig="639">
          <v:shape id="_x0000_i1095" type="#_x0000_t75" style="width:28.5pt;height:28.5pt" o:ole="">
            <v:imagedata r:id="rId46" o:title=""/>
          </v:shape>
          <o:OLEObject Type="Embed" ProgID="Equation.DSMT4" ShapeID="_x0000_i1095" DrawAspect="Content" ObjectID="_1520260030" r:id="rId47"/>
        </w:object>
      </w:r>
      <w:r w:rsidRPr="00DC19E2">
        <w:t xml:space="preserve"> from Black-Scholes model is:</w:t>
      </w:r>
    </w:p>
    <w:p w:rsidR="00A236D7" w:rsidRPr="00DC19E2" w:rsidRDefault="00A236D7" w:rsidP="008435B4">
      <w:pPr>
        <w:autoSpaceDE w:val="0"/>
        <w:autoSpaceDN w:val="0"/>
        <w:adjustRightInd w:val="0"/>
        <w:spacing w:line="360" w:lineRule="auto"/>
        <w:textAlignment w:val="center"/>
      </w:pPr>
      <w:r w:rsidRPr="00DC19E2">
        <w:object w:dxaOrig="3900" w:dyaOrig="660">
          <v:shape id="_x0000_i1096" type="#_x0000_t75" style="width:194.25pt;height:36pt" o:ole="">
            <v:imagedata r:id="rId48" o:title=""/>
          </v:shape>
          <o:OLEObject Type="Embed" ProgID="Equation.DSMT4" ShapeID="_x0000_i1096" DrawAspect="Content" ObjectID="_1520260031" r:id="rId49"/>
        </w:object>
      </w:r>
      <w:r w:rsidRPr="00DC19E2">
        <w:t xml:space="preserve">                            </w:t>
      </w:r>
      <w:r>
        <w:t>(</w:t>
      </w:r>
      <w:r w:rsidR="00453FDE">
        <w:t>4</w:t>
      </w:r>
      <w:r>
        <w:t>B.2)</w:t>
      </w:r>
    </w:p>
    <w:p w:rsidR="00A236D7" w:rsidRPr="00DC19E2" w:rsidRDefault="00A236D7" w:rsidP="008435B4">
      <w:pPr>
        <w:autoSpaceDE w:val="0"/>
        <w:autoSpaceDN w:val="0"/>
        <w:adjustRightInd w:val="0"/>
        <w:spacing w:line="360" w:lineRule="auto"/>
        <w:textAlignment w:val="center"/>
      </w:pPr>
      <w:r w:rsidRPr="00DC19E2">
        <w:t>It is also called Vega of option.</w:t>
      </w:r>
    </w:p>
    <w:p w:rsidR="00A236D7" w:rsidRPr="00DC19E2" w:rsidRDefault="00A236D7" w:rsidP="008435B4">
      <w:pPr>
        <w:autoSpaceDE w:val="0"/>
        <w:autoSpaceDN w:val="0"/>
        <w:adjustRightInd w:val="0"/>
        <w:spacing w:line="360" w:lineRule="auto"/>
        <w:textAlignment w:val="center"/>
      </w:pPr>
      <w:r w:rsidRPr="00DC19E2">
        <w:t>The iteration proceeds by reinitializing σ</w:t>
      </w:r>
      <w:r w:rsidRPr="00DC19E2">
        <w:rPr>
          <w:vertAlign w:val="subscript"/>
        </w:rPr>
        <w:t>0</w:t>
      </w:r>
      <w:r w:rsidRPr="00DC19E2">
        <w:t xml:space="preserve"> to equal σ</w:t>
      </w:r>
      <w:r w:rsidRPr="00DC19E2">
        <w:rPr>
          <w:vertAlign w:val="subscript"/>
        </w:rPr>
        <w:t>1</w:t>
      </w:r>
      <w:r w:rsidRPr="00DC19E2">
        <w:t xml:space="preserve"> at each successive stage until an acceptable tolerance level is attained. The tolerance level used is:</w:t>
      </w:r>
    </w:p>
    <w:p w:rsidR="00A236D7" w:rsidRPr="00DC19E2" w:rsidRDefault="00A236D7" w:rsidP="008435B4">
      <w:pPr>
        <w:autoSpaceDE w:val="0"/>
        <w:autoSpaceDN w:val="0"/>
        <w:adjustRightInd w:val="0"/>
        <w:spacing w:line="360" w:lineRule="auto"/>
        <w:textAlignment w:val="center"/>
      </w:pPr>
      <w:r w:rsidRPr="00DC19E2">
        <w:object w:dxaOrig="1480" w:dyaOrig="660">
          <v:shape id="_x0000_i1097" type="#_x0000_t75" style="width:1in;height:36pt" o:ole="">
            <v:imagedata r:id="rId50" o:title=""/>
          </v:shape>
          <o:OLEObject Type="Embed" ProgID="Equation.DSMT4" ShapeID="_x0000_i1097" DrawAspect="Content" ObjectID="_1520260032" r:id="rId51"/>
        </w:object>
      </w:r>
      <w:r w:rsidRPr="00DC19E2">
        <w:t xml:space="preserve">                                                  </w:t>
      </w:r>
      <w:r>
        <w:t>(</w:t>
      </w:r>
      <w:r w:rsidR="00453FDE">
        <w:t>4</w:t>
      </w:r>
      <w:r>
        <w:t>B.3)</w:t>
      </w:r>
    </w:p>
    <w:p w:rsidR="00A236D7" w:rsidRPr="00DC19E2" w:rsidRDefault="00A236D7" w:rsidP="008435B4">
      <w:pPr>
        <w:spacing w:line="360" w:lineRule="auto"/>
        <w:textAlignment w:val="center"/>
      </w:pPr>
      <w:r w:rsidRPr="00DC19E2">
        <w:t xml:space="preserve">The </w:t>
      </w:r>
      <w:r w:rsidRPr="00DC19E2">
        <w:rPr>
          <w:rFonts w:hint="eastAsia"/>
        </w:rPr>
        <w:t>M</w:t>
      </w:r>
      <w:r w:rsidRPr="00DC19E2">
        <w:t>ATLAB</w:t>
      </w:r>
      <w:r w:rsidRPr="00DC19E2">
        <w:rPr>
          <w:rFonts w:hint="eastAsia"/>
        </w:rPr>
        <w:t xml:space="preserve"> finance toolbox provides</w:t>
      </w:r>
      <w:r w:rsidRPr="00DC19E2">
        <w:t xml:space="preserve"> a</w:t>
      </w:r>
      <w:r w:rsidRPr="00DC19E2">
        <w:rPr>
          <w:rFonts w:hint="eastAsia"/>
        </w:rPr>
        <w:t xml:space="preserve"> function</w:t>
      </w:r>
      <w:r w:rsidRPr="00DC19E2">
        <w:t xml:space="preserve"> </w:t>
      </w:r>
      <w:r w:rsidRPr="00DC19E2">
        <w:rPr>
          <w:rFonts w:hint="eastAsia"/>
        </w:rPr>
        <w:t>blsimpv to search for implied volatility</w:t>
      </w:r>
      <w:r w:rsidRPr="00DC19E2">
        <w:t xml:space="preserve">. </w:t>
      </w:r>
      <w:r w:rsidRPr="00DC19E2">
        <w:rPr>
          <w:rFonts w:hint="eastAsia"/>
        </w:rPr>
        <w:t xml:space="preserve">The </w:t>
      </w:r>
      <w:r w:rsidRPr="00DC19E2">
        <w:t>algorithm</w:t>
      </w:r>
      <w:r w:rsidRPr="00DC19E2">
        <w:rPr>
          <w:rFonts w:hint="eastAsia"/>
        </w:rPr>
        <w:t xml:space="preserve"> used in</w:t>
      </w:r>
      <w:r w:rsidRPr="00DC19E2">
        <w:t xml:space="preserve"> the</w:t>
      </w:r>
      <w:r w:rsidRPr="00DC19E2">
        <w:rPr>
          <w:rFonts w:hint="eastAsia"/>
        </w:rPr>
        <w:t xml:space="preserve"> </w:t>
      </w:r>
      <w:r w:rsidRPr="00DC19E2">
        <w:t>blsimpv</w:t>
      </w:r>
      <w:r w:rsidRPr="00DC19E2">
        <w:rPr>
          <w:rFonts w:hint="eastAsia"/>
        </w:rPr>
        <w:t xml:space="preserve"> function is Newton</w:t>
      </w:r>
      <w:r w:rsidRPr="00DC19E2">
        <w:t>’</w:t>
      </w:r>
      <w:r w:rsidRPr="00DC19E2">
        <w:rPr>
          <w:rFonts w:hint="eastAsia"/>
        </w:rPr>
        <w:t>s method</w:t>
      </w:r>
      <w:r w:rsidRPr="00DC19E2">
        <w:t>, just as the procedure described in Equation (</w:t>
      </w:r>
      <w:r w:rsidR="00453FDE">
        <w:t>4</w:t>
      </w:r>
      <w:r>
        <w:rPr>
          <w:rFonts w:hint="eastAsia"/>
          <w:lang w:eastAsia="zh-CN"/>
        </w:rPr>
        <w:t>B.1</w:t>
      </w:r>
      <w:r w:rsidRPr="00DC19E2">
        <w:t>). This approach</w:t>
      </w:r>
      <w:r w:rsidRPr="00DC19E2">
        <w:rPr>
          <w:rFonts w:hint="eastAsia"/>
        </w:rPr>
        <w:t xml:space="preserve"> minimizes the difference between observed market option value and the </w:t>
      </w:r>
      <w:r w:rsidRPr="00DC19E2">
        <w:t>theoretical value of B-S model, and obtain the ISD estimate until tolerance level is attained.</w:t>
      </w:r>
    </w:p>
    <w:p w:rsidR="00A236D7" w:rsidRPr="00DC19E2" w:rsidRDefault="00A236D7" w:rsidP="008435B4">
      <w:pPr>
        <w:spacing w:line="360" w:lineRule="auto"/>
        <w:textAlignment w:val="center"/>
      </w:pPr>
      <w:r w:rsidRPr="00DC19E2">
        <w:t>T</w:t>
      </w:r>
      <w:r w:rsidRPr="00DC19E2">
        <w:rPr>
          <w:rFonts w:hint="eastAsia"/>
        </w:rPr>
        <w:t xml:space="preserve">he complete command of </w:t>
      </w:r>
      <w:r w:rsidRPr="00DC19E2">
        <w:t xml:space="preserve">the </w:t>
      </w:r>
      <w:r w:rsidRPr="00DC19E2">
        <w:rPr>
          <w:rFonts w:hint="eastAsia"/>
        </w:rPr>
        <w:t xml:space="preserve">function </w:t>
      </w:r>
      <w:r w:rsidRPr="00DC19E2">
        <w:rPr>
          <w:rFonts w:hint="eastAsia"/>
          <w:i/>
        </w:rPr>
        <w:t>blsimpv</w:t>
      </w:r>
      <w:r w:rsidRPr="00DC19E2">
        <w:rPr>
          <w:rFonts w:hint="eastAsia"/>
        </w:rPr>
        <w:t xml:space="preserve"> is: </w:t>
      </w:r>
      <w:r w:rsidRPr="00DC19E2">
        <w:t xml:space="preserve">Volatility = </w:t>
      </w:r>
      <w:r w:rsidRPr="00DC19E2">
        <w:rPr>
          <w:i/>
        </w:rPr>
        <w:t>blsimpv</w:t>
      </w:r>
      <w:r w:rsidRPr="00DC19E2">
        <w:t>(Price, Strike, Rate, Time, Value, Limit,</w:t>
      </w:r>
      <w:r w:rsidRPr="00DC19E2">
        <w:rPr>
          <w:rFonts w:hint="eastAsia"/>
        </w:rPr>
        <w:t xml:space="preserve"> </w:t>
      </w:r>
      <w:r w:rsidRPr="00DC19E2">
        <w:t>Yield, Tolerance, Class)</w:t>
      </w:r>
      <w:r w:rsidRPr="00DC19E2">
        <w:rPr>
          <w:rFonts w:hint="eastAsia"/>
        </w:rPr>
        <w:t>.</w:t>
      </w:r>
      <w:r w:rsidRPr="00DC19E2">
        <w:t xml:space="preserve"> And the command with default setting is: Volatility = </w:t>
      </w:r>
      <w:r w:rsidRPr="00DC19E2">
        <w:rPr>
          <w:i/>
        </w:rPr>
        <w:t>blsimpv</w:t>
      </w:r>
      <w:r w:rsidRPr="00DC19E2">
        <w:t>(Price, Strike, Rate, Time, Value)</w:t>
      </w:r>
      <w:r w:rsidRPr="00DC19E2">
        <w:rPr>
          <w:rFonts w:hint="eastAsia"/>
        </w:rPr>
        <w:t>.</w:t>
      </w:r>
    </w:p>
    <w:p w:rsidR="00A236D7" w:rsidRPr="00DC19E2" w:rsidRDefault="00A236D7" w:rsidP="008435B4">
      <w:pPr>
        <w:spacing w:line="360" w:lineRule="auto"/>
        <w:textAlignment w:val="center"/>
      </w:pPr>
      <w:r w:rsidRPr="00DC19E2">
        <w:t>T</w:t>
      </w:r>
      <w:r w:rsidRPr="00DC19E2">
        <w:rPr>
          <w:rFonts w:hint="eastAsia"/>
        </w:rPr>
        <w:t>here are nine inputs</w:t>
      </w:r>
      <w:r w:rsidRPr="00DC19E2">
        <w:t xml:space="preserve"> in total, while the last four of them are optional. Detailed explanations of all the inputs are as follows:</w:t>
      </w:r>
    </w:p>
    <w:p w:rsidR="00A236D7" w:rsidRPr="006F3BD8" w:rsidRDefault="00A236D7" w:rsidP="008435B4">
      <w:pPr>
        <w:spacing w:line="360" w:lineRule="auto"/>
        <w:textAlignment w:val="center"/>
        <w:rPr>
          <w:b/>
          <w:i/>
        </w:rPr>
      </w:pPr>
      <w:r w:rsidRPr="006F3BD8">
        <w:rPr>
          <w:b/>
          <w:i/>
        </w:rPr>
        <w:t xml:space="preserve">Inputs: </w:t>
      </w:r>
    </w:p>
    <w:p w:rsidR="00A236D7" w:rsidRPr="006F3BD8" w:rsidRDefault="00A236D7" w:rsidP="008435B4">
      <w:pPr>
        <w:spacing w:line="360" w:lineRule="auto"/>
        <w:textAlignment w:val="center"/>
        <w:rPr>
          <w:i/>
        </w:rPr>
      </w:pPr>
      <w:r w:rsidRPr="006F3BD8">
        <w:rPr>
          <w:i/>
        </w:rPr>
        <w:t>Price - Current price of the underlying asset.</w:t>
      </w:r>
    </w:p>
    <w:p w:rsidR="00A236D7" w:rsidRPr="006F3BD8" w:rsidRDefault="00A236D7" w:rsidP="008435B4">
      <w:pPr>
        <w:spacing w:line="360" w:lineRule="auto"/>
        <w:textAlignment w:val="center"/>
        <w:rPr>
          <w:i/>
        </w:rPr>
      </w:pPr>
      <w:r w:rsidRPr="006F3BD8">
        <w:rPr>
          <w:i/>
        </w:rPr>
        <w:t>Strike - Strike (i.e., exercise) price of the option.</w:t>
      </w:r>
    </w:p>
    <w:p w:rsidR="00A236D7" w:rsidRPr="006F3BD8" w:rsidRDefault="00A236D7" w:rsidP="008435B4">
      <w:pPr>
        <w:spacing w:line="360" w:lineRule="auto"/>
        <w:textAlignment w:val="center"/>
        <w:rPr>
          <w:i/>
        </w:rPr>
      </w:pPr>
      <w:r w:rsidRPr="006F3BD8">
        <w:rPr>
          <w:i/>
        </w:rPr>
        <w:t>Rate - Annualized continuously compounded risk-free rate of return over the life of the option, expressed as a positive decimal number.</w:t>
      </w:r>
    </w:p>
    <w:p w:rsidR="00A236D7" w:rsidRPr="006F3BD8" w:rsidRDefault="00A236D7" w:rsidP="008435B4">
      <w:pPr>
        <w:spacing w:line="360" w:lineRule="auto"/>
        <w:textAlignment w:val="center"/>
        <w:rPr>
          <w:i/>
        </w:rPr>
      </w:pPr>
      <w:r w:rsidRPr="006F3BD8">
        <w:rPr>
          <w:i/>
        </w:rPr>
        <w:t>Time - Time to expiration of the option, expressed in years.</w:t>
      </w:r>
    </w:p>
    <w:p w:rsidR="00A236D7" w:rsidRPr="006F3BD8" w:rsidRDefault="00A236D7" w:rsidP="008435B4">
      <w:pPr>
        <w:spacing w:line="360" w:lineRule="auto"/>
        <w:textAlignment w:val="center"/>
        <w:rPr>
          <w:i/>
        </w:rPr>
      </w:pPr>
      <w:r w:rsidRPr="006F3BD8">
        <w:rPr>
          <w:i/>
        </w:rPr>
        <w:t>Value - Price (i.e., value) of a European option from which the implied volatility of the underlying asset is derived.</w:t>
      </w:r>
    </w:p>
    <w:p w:rsidR="00A236D7" w:rsidRPr="006F3BD8" w:rsidRDefault="00A236D7" w:rsidP="008435B4">
      <w:pPr>
        <w:spacing w:line="360" w:lineRule="auto"/>
        <w:textAlignment w:val="center"/>
        <w:rPr>
          <w:b/>
          <w:i/>
        </w:rPr>
      </w:pPr>
      <w:r w:rsidRPr="006F3BD8">
        <w:rPr>
          <w:b/>
          <w:i/>
        </w:rPr>
        <w:t>Optional Inputs:</w:t>
      </w:r>
    </w:p>
    <w:p w:rsidR="00A236D7" w:rsidRPr="006F3BD8" w:rsidRDefault="00A236D7" w:rsidP="008435B4">
      <w:pPr>
        <w:spacing w:line="360" w:lineRule="auto"/>
        <w:textAlignment w:val="center"/>
        <w:rPr>
          <w:i/>
        </w:rPr>
      </w:pPr>
      <w:r w:rsidRPr="006F3BD8">
        <w:rPr>
          <w:i/>
        </w:rPr>
        <w:t>Limit - Positive scalar representing the upper bound of the implied volatility search interval. If empty or missing, the default is 10, or 1000% per annum.</w:t>
      </w:r>
    </w:p>
    <w:p w:rsidR="00A236D7" w:rsidRPr="006F3BD8" w:rsidRDefault="00A236D7" w:rsidP="008435B4">
      <w:pPr>
        <w:spacing w:line="360" w:lineRule="auto"/>
        <w:textAlignment w:val="center"/>
        <w:rPr>
          <w:i/>
        </w:rPr>
      </w:pPr>
      <w:r w:rsidRPr="006F3BD8">
        <w:rPr>
          <w:i/>
        </w:rPr>
        <w:t>Yield - Annualized continuously compounded yield of the underlying asset over the life of the option, expressed as a decimal number. For example, this could represent the dividend yield and foreign risk-free interest rate for options written on stock indices and currencies, respectively. If empty or missing, the default is zero.</w:t>
      </w:r>
    </w:p>
    <w:p w:rsidR="00A236D7" w:rsidRPr="006F3BD8" w:rsidRDefault="00A236D7" w:rsidP="008435B4">
      <w:pPr>
        <w:spacing w:line="360" w:lineRule="auto"/>
        <w:textAlignment w:val="center"/>
        <w:rPr>
          <w:i/>
        </w:rPr>
      </w:pPr>
      <w:r w:rsidRPr="006F3BD8">
        <w:rPr>
          <w:i/>
        </w:rPr>
        <w:t>Tolerance - Positive scalar implied volatility termination tolerance. If empty or missing, the default is 1e-6.</w:t>
      </w:r>
    </w:p>
    <w:p w:rsidR="00A236D7" w:rsidRPr="006F3BD8" w:rsidRDefault="00A236D7" w:rsidP="008435B4">
      <w:pPr>
        <w:spacing w:line="360" w:lineRule="auto"/>
        <w:textAlignment w:val="center"/>
        <w:rPr>
          <w:i/>
        </w:rPr>
      </w:pPr>
      <w:r w:rsidRPr="006F3BD8">
        <w:rPr>
          <w:i/>
        </w:rPr>
        <w:t>Class - Option class (i.e., whether a call or put) indicating the option type from which the implied volatility is derived. This may be either a logical indicator or a cell array of characters. To specify call options, set Class = true or Class = {'Call'}; to specify put options, set Class = false or Class = {'Put'}. If empty or missing, the default is a call option.</w:t>
      </w:r>
    </w:p>
    <w:p w:rsidR="00A236D7" w:rsidRPr="006F3BD8" w:rsidRDefault="00A236D7" w:rsidP="008435B4">
      <w:pPr>
        <w:spacing w:line="360" w:lineRule="auto"/>
        <w:textAlignment w:val="center"/>
        <w:rPr>
          <w:b/>
          <w:i/>
        </w:rPr>
      </w:pPr>
      <w:r w:rsidRPr="006F3BD8">
        <w:rPr>
          <w:b/>
          <w:i/>
        </w:rPr>
        <w:t>Output:</w:t>
      </w:r>
    </w:p>
    <w:p w:rsidR="00A236D7" w:rsidRPr="006F3BD8" w:rsidRDefault="00A236D7" w:rsidP="008435B4">
      <w:pPr>
        <w:spacing w:line="360" w:lineRule="auto"/>
        <w:textAlignment w:val="center"/>
        <w:rPr>
          <w:i/>
        </w:rPr>
      </w:pPr>
      <w:r w:rsidRPr="006F3BD8">
        <w:rPr>
          <w:i/>
        </w:rPr>
        <w:t>Volatility - Implied volatility of the underlying asset derived from European option prices, expressed as a decimal number. If no solution can be found, a NaN (i.e., Not-a-Number) is returned.</w:t>
      </w:r>
    </w:p>
    <w:p w:rsidR="00A236D7" w:rsidRPr="006F3BD8" w:rsidRDefault="00A236D7" w:rsidP="008435B4">
      <w:pPr>
        <w:spacing w:line="360" w:lineRule="auto"/>
        <w:textAlignment w:val="center"/>
        <w:rPr>
          <w:b/>
        </w:rPr>
      </w:pPr>
      <w:r w:rsidRPr="006F3BD8">
        <w:rPr>
          <w:b/>
        </w:rPr>
        <w:t>Example:</w:t>
      </w:r>
    </w:p>
    <w:p w:rsidR="00A236D7" w:rsidRPr="006F3BD8" w:rsidRDefault="00A236D7" w:rsidP="008435B4">
      <w:pPr>
        <w:spacing w:line="360" w:lineRule="auto"/>
        <w:textAlignment w:val="center"/>
      </w:pPr>
      <w:r w:rsidRPr="006F3BD8">
        <w:t>Consider a European call option trading at $5 with an exercise price of $95 and 3 months until expiration. Assume the underlying stock pays 5% annual dividends, which is trading at $90 at this moment, and the risk-free rate is 3% per annum. Under these conditions, the command used in Matlab will be either of the following two:</w:t>
      </w:r>
    </w:p>
    <w:p w:rsidR="00A236D7" w:rsidRPr="006F3BD8" w:rsidRDefault="00A236D7" w:rsidP="008435B4">
      <w:pPr>
        <w:spacing w:line="360" w:lineRule="auto"/>
        <w:textAlignment w:val="center"/>
      </w:pPr>
      <w:r w:rsidRPr="006F3BD8">
        <w:t>Volatility = blsimpv(90, 95, 0.03, 0.25, 5,[],0.05,[], { 'Call'})</w:t>
      </w:r>
    </w:p>
    <w:p w:rsidR="00A236D7" w:rsidRPr="006F3BD8" w:rsidRDefault="00A236D7" w:rsidP="008435B4">
      <w:pPr>
        <w:spacing w:line="360" w:lineRule="auto"/>
        <w:textAlignment w:val="center"/>
      </w:pPr>
      <w:r w:rsidRPr="006F3BD8">
        <w:t>Volatility = blsimpv(90, 95, 0.03, 0.25, 5,[],0.05,[], true)</w:t>
      </w:r>
    </w:p>
    <w:p w:rsidR="00A236D7" w:rsidRPr="006F3BD8" w:rsidRDefault="00A236D7" w:rsidP="008435B4">
      <w:pPr>
        <w:spacing w:line="360" w:lineRule="auto"/>
        <w:textAlignment w:val="center"/>
        <w:rPr>
          <w:lang w:eastAsia="zh-CN"/>
        </w:rPr>
      </w:pPr>
      <w:r w:rsidRPr="006F3BD8">
        <w:t>Note that this function provided by MATLAB’s toolbox can only estimate implied volatility from a single option. For more than one option, the user needs to write their own programs to estimate implied variances.</w:t>
      </w:r>
    </w:p>
    <w:p w:rsidR="00A236D7" w:rsidRDefault="00A236D7" w:rsidP="008435B4">
      <w:pPr>
        <w:pStyle w:val="EndnoteText"/>
        <w:spacing w:line="360" w:lineRule="auto"/>
        <w:rPr>
          <w:lang w:eastAsia="zh-CN"/>
        </w:rPr>
      </w:pPr>
      <w:r w:rsidRPr="00AE2823">
        <w:rPr>
          <w:rFonts w:hint="eastAsia"/>
          <w:lang w:eastAsia="zh-CN"/>
        </w:rPr>
        <w:t xml:space="preserve">    </w:t>
      </w:r>
    </w:p>
    <w:p w:rsidR="008C0A15" w:rsidRPr="00003F93" w:rsidRDefault="008C0A15" w:rsidP="008C0A15">
      <w:pPr>
        <w:pStyle w:val="EndnoteText"/>
        <w:rPr>
          <w:b/>
          <w:sz w:val="28"/>
          <w:szCs w:val="24"/>
        </w:rPr>
      </w:pPr>
      <w:r w:rsidRPr="00003F93">
        <w:rPr>
          <w:b/>
          <w:sz w:val="28"/>
          <w:szCs w:val="24"/>
        </w:rPr>
        <w:t xml:space="preserve">Appendix </w:t>
      </w:r>
      <w:r>
        <w:rPr>
          <w:b/>
          <w:sz w:val="28"/>
          <w:szCs w:val="24"/>
        </w:rPr>
        <w:t>4C</w:t>
      </w:r>
      <w:r w:rsidRPr="00003F93">
        <w:rPr>
          <w:b/>
          <w:sz w:val="28"/>
          <w:szCs w:val="24"/>
        </w:rPr>
        <w:t xml:space="preserve">: </w:t>
      </w:r>
      <w:r w:rsidRPr="00003F93">
        <w:rPr>
          <w:b/>
          <w:bCs/>
          <w:color w:val="000000"/>
          <w:sz w:val="28"/>
          <w:szCs w:val="24"/>
        </w:rPr>
        <w:t>Noncentral χ</w:t>
      </w:r>
      <w:r w:rsidRPr="00003F93">
        <w:rPr>
          <w:b/>
          <w:bCs/>
          <w:color w:val="000000"/>
          <w:sz w:val="28"/>
          <w:szCs w:val="24"/>
          <w:vertAlign w:val="superscript"/>
        </w:rPr>
        <w:t>2</w:t>
      </w:r>
      <w:r w:rsidRPr="00003F93">
        <w:rPr>
          <w:b/>
          <w:bCs/>
          <w:color w:val="000000"/>
          <w:sz w:val="28"/>
          <w:szCs w:val="24"/>
        </w:rPr>
        <w:t xml:space="preserve"> and the Option Pricing Model</w:t>
      </w:r>
    </w:p>
    <w:p w:rsidR="008C0A15" w:rsidRPr="000F4890" w:rsidRDefault="008C0A15" w:rsidP="008C0A15">
      <w:pPr>
        <w:pStyle w:val="EndnoteText"/>
        <w:rPr>
          <w:color w:val="000000"/>
          <w:sz w:val="22"/>
          <w:szCs w:val="22"/>
          <w:lang w:eastAsia="en-US"/>
        </w:rPr>
      </w:pPr>
      <w:r w:rsidRPr="000F4890">
        <w:rPr>
          <w:color w:val="000000"/>
          <w:sz w:val="22"/>
          <w:szCs w:val="22"/>
          <w:lang w:eastAsia="en-US"/>
        </w:rPr>
        <w:t xml:space="preserve">It is well known that </w:t>
      </w:r>
      <w:r w:rsidRPr="000F4890">
        <w:rPr>
          <w:color w:val="000000"/>
          <w:sz w:val="22"/>
          <w:szCs w:val="22"/>
          <w:lang w:eastAsia="en-US"/>
        </w:rPr>
        <w:object w:dxaOrig="1740" w:dyaOrig="800">
          <v:shape id="_x0000_i1098" type="#_x0000_t75" style="width:79.5pt;height:36pt" o:ole="">
            <v:imagedata r:id="rId52" o:title=""/>
          </v:shape>
          <o:OLEObject Type="Embed" ProgID="Equation.DSMT4" ShapeID="_x0000_i1098" DrawAspect="Content" ObjectID="_1520260033" r:id="rId53"/>
        </w:object>
      </w:r>
      <w:r w:rsidRPr="000F4890">
        <w:rPr>
          <w:color w:val="000000"/>
          <w:sz w:val="22"/>
          <w:szCs w:val="22"/>
          <w:lang w:eastAsia="en-US"/>
        </w:rPr>
        <w:t xml:space="preserve"> is distributed as χ2 with n degree of freedom. This is a central χ2 distribution. It can be shown that </w:t>
      </w:r>
      <w:r w:rsidRPr="000F4890">
        <w:rPr>
          <w:color w:val="000000"/>
          <w:sz w:val="22"/>
          <w:szCs w:val="22"/>
          <w:lang w:eastAsia="en-US"/>
        </w:rPr>
        <w:object w:dxaOrig="1100" w:dyaOrig="680">
          <v:shape id="_x0000_i1099" type="#_x0000_t75" style="width:50.25pt;height:28.5pt" o:ole="">
            <v:imagedata r:id="rId54" o:title=""/>
          </v:shape>
          <o:OLEObject Type="Embed" ProgID="Equation.DSMT4" ShapeID="_x0000_i1099" DrawAspect="Content" ObjectID="_1520260034" r:id="rId55"/>
        </w:object>
      </w:r>
      <w:r w:rsidRPr="000F4890">
        <w:rPr>
          <w:color w:val="000000"/>
          <w:sz w:val="22"/>
          <w:szCs w:val="22"/>
          <w:lang w:eastAsia="en-US"/>
        </w:rPr>
        <w:t xml:space="preserve"> is distributed as noncentral χ2 with n degree of freedom and a noncentral parameter</w:t>
      </w:r>
    </w:p>
    <w:p w:rsidR="008C0A15" w:rsidRDefault="008C0A15" w:rsidP="008C0A15">
      <w:pPr>
        <w:pStyle w:val="Style25"/>
        <w:spacing w:line="360" w:lineRule="auto"/>
        <w:ind w:left="0" w:firstLine="0"/>
      </w:pPr>
      <w:r w:rsidRPr="000F4890">
        <w:object w:dxaOrig="1280" w:dyaOrig="620">
          <v:shape id="_x0000_i1100" type="#_x0000_t75" style="width:57.75pt;height:28.5pt" o:ole="">
            <v:imagedata r:id="rId56" o:title=""/>
          </v:shape>
          <o:OLEObject Type="Embed" ProgID="Equation.DSMT4" ShapeID="_x0000_i1100" DrawAspect="Content" ObjectID="_1520260035" r:id="rId57"/>
        </w:object>
      </w:r>
    </w:p>
    <w:p w:rsidR="008C0A15" w:rsidRDefault="008C0A15" w:rsidP="008C0A15">
      <w:pPr>
        <w:pStyle w:val="Style25"/>
        <w:spacing w:line="360" w:lineRule="auto"/>
        <w:ind w:left="0" w:firstLine="0"/>
      </w:pPr>
      <w:r>
        <w:t xml:space="preserve">If </w:t>
      </w:r>
      <w:r>
        <w:rPr>
          <w:i/>
          <w:iCs/>
        </w:rPr>
        <w:t xml:space="preserve">μ </w:t>
      </w:r>
      <w:r>
        <w:t xml:space="preserve">= 0, the distribution of </w:t>
      </w:r>
      <w:r w:rsidRPr="003B1F5D">
        <w:rPr>
          <w:position w:val="-4"/>
        </w:rPr>
        <w:object w:dxaOrig="279" w:dyaOrig="260">
          <v:shape id="_x0000_i1101" type="#_x0000_t75" style="width:14.25pt;height:14.25pt" o:ole="">
            <v:imagedata r:id="rId58" o:title=""/>
          </v:shape>
          <o:OLEObject Type="Embed" ProgID="Equation.DSMT4" ShapeID="_x0000_i1101" DrawAspect="Content" ObjectID="_1520260036" r:id="rId59"/>
        </w:object>
      </w:r>
      <w:r>
        <w:t xml:space="preserve"> reduces to the central </w:t>
      </w:r>
      <w:r w:rsidRPr="00760CD3">
        <w:rPr>
          <w:spacing w:val="20"/>
        </w:rPr>
        <w:t>χ</w:t>
      </w:r>
      <w:r>
        <w:rPr>
          <w:spacing w:val="20"/>
          <w:vertAlign w:val="superscript"/>
        </w:rPr>
        <w:t>2</w:t>
      </w:r>
      <w:r>
        <w:rPr>
          <w:i/>
          <w:iCs/>
        </w:rPr>
        <w:t xml:space="preserve"> </w:t>
      </w:r>
      <w:r>
        <w:t>distribution.</w:t>
      </w:r>
    </w:p>
    <w:p w:rsidR="008C0A15" w:rsidRPr="00801B5E" w:rsidRDefault="008C0A15" w:rsidP="008C0A15">
      <w:pPr>
        <w:pStyle w:val="Style25"/>
        <w:spacing w:after="120" w:line="360" w:lineRule="auto"/>
        <w:ind w:left="0"/>
      </w:pPr>
      <w:r>
        <w:t>Black-Scholes’ Option Pricing Model assumed that the variance of stock rate of return (</w:t>
      </w:r>
      <w:r w:rsidRPr="00564074">
        <w:rPr>
          <w:i/>
        </w:rPr>
        <w:t>σ</w:t>
      </w:r>
      <w:r>
        <w:rPr>
          <w:vertAlign w:val="superscript"/>
        </w:rPr>
        <w:t>2</w:t>
      </w:r>
      <w:r>
        <w:t xml:space="preserve">) is constant. If the variance of stock rate of return is a function of stock price per share, </w:t>
      </w:r>
      <w:r w:rsidRPr="00564074">
        <w:rPr>
          <w:rFonts w:ascii="Times New Roman Italic" w:hAnsi="Times New Roman Italic"/>
          <w:i/>
          <w:spacing w:val="20"/>
        </w:rPr>
        <w:t>σ</w:t>
      </w:r>
      <w:r w:rsidRPr="00564074">
        <w:rPr>
          <w:iCs/>
          <w:vertAlign w:val="superscript"/>
        </w:rPr>
        <w:t>2</w:t>
      </w:r>
      <w:r w:rsidRPr="007821D2">
        <w:rPr>
          <w:i/>
          <w:iCs/>
          <w:spacing w:val="20"/>
        </w:rPr>
        <w:t>S</w:t>
      </w:r>
      <w:r w:rsidRPr="007821D2">
        <w:rPr>
          <w:i/>
          <w:iCs/>
          <w:spacing w:val="20"/>
          <w:vertAlign w:val="superscript"/>
        </w:rPr>
        <w:t>β</w:t>
      </w:r>
      <w:r w:rsidRPr="007821D2">
        <w:rPr>
          <w:iCs/>
          <w:spacing w:val="20"/>
          <w:vertAlign w:val="superscript"/>
        </w:rPr>
        <w:t>–</w:t>
      </w:r>
      <w:r w:rsidRPr="00564074">
        <w:rPr>
          <w:iCs/>
          <w:vertAlign w:val="superscript"/>
        </w:rPr>
        <w:t>2</w:t>
      </w:r>
      <w:r w:rsidRPr="00564074">
        <w:rPr>
          <w:iCs/>
        </w:rPr>
        <w:t>,</w:t>
      </w:r>
      <w:r>
        <w:rPr>
          <w:i/>
          <w:iCs/>
        </w:rPr>
        <w:t xml:space="preserve"> </w:t>
      </w:r>
      <w:r>
        <w:t>then the Option Pricing Model can be generalized as</w:t>
      </w:r>
      <w:r>
        <w:rPr>
          <w:rStyle w:val="FootnoteReference"/>
        </w:rPr>
        <w:endnoteRef/>
      </w:r>
    </w:p>
    <w:p w:rsidR="008C0A15" w:rsidRDefault="008C0A15" w:rsidP="008C0A15">
      <w:pPr>
        <w:pStyle w:val="EndnoteText"/>
        <w:spacing w:line="360" w:lineRule="auto"/>
        <w:jc w:val="center"/>
      </w:pPr>
      <w:r w:rsidRPr="00B40E6E">
        <w:rPr>
          <w:position w:val="-50"/>
        </w:rPr>
        <w:object w:dxaOrig="6300" w:dyaOrig="1120">
          <v:shape id="_x0000_i1102" type="#_x0000_t75" style="width:280.5pt;height:50.25pt" o:ole="">
            <v:imagedata r:id="rId60" o:title=""/>
          </v:shape>
          <o:OLEObject Type="Embed" ProgID="Equation.DSMT4" ShapeID="_x0000_i1102" DrawAspect="Content" ObjectID="_1520260037" r:id="rId61"/>
        </w:object>
      </w:r>
      <w:r>
        <w:t xml:space="preserve">            (4C.1)   </w:t>
      </w:r>
    </w:p>
    <w:p w:rsidR="008C0A15" w:rsidRDefault="008C0A15" w:rsidP="008C0A15">
      <w:pPr>
        <w:pStyle w:val="EndnoteText"/>
        <w:spacing w:line="360" w:lineRule="auto"/>
        <w:jc w:val="both"/>
      </w:pPr>
      <w:r>
        <w:t xml:space="preserve">Where </w:t>
      </w:r>
      <w:r w:rsidRPr="00801B5E">
        <w:rPr>
          <w:position w:val="-32"/>
        </w:rPr>
        <w:object w:dxaOrig="2060" w:dyaOrig="760">
          <v:shape id="_x0000_i1103" type="#_x0000_t75" style="width:100.5pt;height:36pt" o:ole="">
            <v:imagedata r:id="rId62" o:title=""/>
          </v:shape>
          <o:OLEObject Type="Embed" ProgID="Equation.DSMT4" ShapeID="_x0000_i1103" DrawAspect="Content" ObjectID="_1520260038" r:id="rId63"/>
        </w:object>
      </w:r>
      <w:r>
        <w:t>is a cumulative non-central Chi-Square density function</w:t>
      </w:r>
    </w:p>
    <w:p w:rsidR="008C0A15" w:rsidRDefault="008C0A15" w:rsidP="008C0A15">
      <w:pPr>
        <w:pStyle w:val="EndnoteText"/>
        <w:spacing w:line="360" w:lineRule="auto"/>
        <w:jc w:val="both"/>
      </w:pPr>
      <w:r>
        <w:t xml:space="preserve">That is C = S*(1-cumulative non-central Chi-Square density function) – </w:t>
      </w:r>
      <w:r w:rsidRPr="00801B5E">
        <w:rPr>
          <w:position w:val="-6"/>
        </w:rPr>
        <w:object w:dxaOrig="859" w:dyaOrig="320">
          <v:shape id="_x0000_i1104" type="#_x0000_t75" style="width:43.5pt;height:14.25pt" o:ole="">
            <v:imagedata r:id="rId64" o:title=""/>
          </v:shape>
          <o:OLEObject Type="Embed" ProgID="Equation.DSMT4" ShapeID="_x0000_i1104" DrawAspect="Content" ObjectID="_1520260039" r:id="rId65"/>
        </w:object>
      </w:r>
      <w:r>
        <w:t>*cumulative non-central Chi-Square density function.</w:t>
      </w:r>
    </w:p>
    <w:p w:rsidR="008C0A15" w:rsidRDefault="008C0A15" w:rsidP="008C0A15">
      <w:pPr>
        <w:pStyle w:val="EndnoteText"/>
        <w:spacing w:line="360" w:lineRule="auto"/>
        <w:jc w:val="both"/>
      </w:pPr>
    </w:p>
    <w:p w:rsidR="008C0A15" w:rsidRDefault="008C0A15" w:rsidP="008C0A15">
      <w:pPr>
        <w:pStyle w:val="EndnoteText"/>
        <w:spacing w:line="360" w:lineRule="auto"/>
        <w:jc w:val="center"/>
      </w:pPr>
      <w:r w:rsidRPr="00B40E6E">
        <w:rPr>
          <w:position w:val="-50"/>
        </w:rPr>
        <w:object w:dxaOrig="6300" w:dyaOrig="1120">
          <v:shape id="_x0000_i1105" type="#_x0000_t75" style="width:280.5pt;height:50.25pt" o:ole="">
            <v:imagedata r:id="rId66" o:title=""/>
          </v:shape>
          <o:OLEObject Type="Embed" ProgID="Equation.DSMT4" ShapeID="_x0000_i1105" DrawAspect="Content" ObjectID="_1520260040" r:id="rId67"/>
        </w:object>
      </w:r>
      <w:r>
        <w:rPr>
          <w:noProof/>
          <w:lang w:eastAsia="zh-CN"/>
        </w:rPr>
        <w:t xml:space="preserve">              (4C.2)</w:t>
      </w:r>
    </w:p>
    <w:p w:rsidR="008C0A15" w:rsidRDefault="008C0A15" w:rsidP="008C0A15">
      <w:pPr>
        <w:pStyle w:val="Style25"/>
        <w:spacing w:before="120" w:line="360" w:lineRule="auto"/>
        <w:ind w:left="0" w:firstLine="0"/>
      </w:pPr>
      <w:r>
        <w:t xml:space="preserve">where </w:t>
      </w:r>
      <w:r w:rsidRPr="00B97204">
        <w:rPr>
          <w:b/>
          <w:i/>
          <w:iCs/>
        </w:rPr>
        <w:t>T</w:t>
      </w:r>
      <w:r>
        <w:rPr>
          <w:i/>
          <w:iCs/>
        </w:rPr>
        <w:t xml:space="preserve"> = </w:t>
      </w:r>
      <w:r>
        <w:t>time of expiration of option,</w:t>
      </w:r>
      <w:r w:rsidRPr="00B97204">
        <w:rPr>
          <w:b/>
        </w:rPr>
        <w:t xml:space="preserve"> </w:t>
      </w:r>
      <w:r w:rsidRPr="00B97204">
        <w:rPr>
          <w:b/>
          <w:i/>
          <w:iCs/>
        </w:rPr>
        <w:t>t</w:t>
      </w:r>
      <w:r>
        <w:rPr>
          <w:i/>
          <w:iCs/>
        </w:rPr>
        <w:t xml:space="preserve"> </w:t>
      </w:r>
      <w:r>
        <w:t xml:space="preserve">= current time, </w:t>
      </w:r>
      <w:r w:rsidRPr="00B97204">
        <w:rPr>
          <w:b/>
          <w:i/>
        </w:rPr>
        <w:t>r</w:t>
      </w:r>
      <w:r>
        <w:t xml:space="preserve"> = risk-free rate. </w:t>
      </w:r>
      <w:r w:rsidRPr="00760CD3">
        <w:rPr>
          <w:spacing w:val="20"/>
        </w:rPr>
        <w:t>χ</w:t>
      </w:r>
      <w:r>
        <w:rPr>
          <w:spacing w:val="20"/>
          <w:vertAlign w:val="superscript"/>
        </w:rPr>
        <w:t>2</w:t>
      </w:r>
      <w:r>
        <w:rPr>
          <w:i/>
          <w:iCs/>
        </w:rPr>
        <w:t xml:space="preserve"> </w:t>
      </w:r>
      <w:r w:rsidRPr="00DB1608">
        <w:rPr>
          <w:iCs/>
        </w:rPr>
        <w:t>(</w:t>
      </w:r>
      <w:r>
        <w:rPr>
          <w:i/>
          <w:iCs/>
        </w:rPr>
        <w:t>W</w:t>
      </w:r>
      <w:r w:rsidRPr="00DB1608">
        <w:rPr>
          <w:iCs/>
        </w:rPr>
        <w:t>,</w:t>
      </w:r>
      <w:r>
        <w:rPr>
          <w:i/>
          <w:iCs/>
        </w:rPr>
        <w:t xml:space="preserve"> </w:t>
      </w:r>
      <w:r w:rsidRPr="00DB1608">
        <w:rPr>
          <w:i/>
        </w:rPr>
        <w:t>V</w:t>
      </w:r>
      <w:r>
        <w:t xml:space="preserve">, λ) is the cumulative non-central chi-square distribution function with </w:t>
      </w:r>
      <w:r>
        <w:rPr>
          <w:i/>
          <w:iCs/>
        </w:rPr>
        <w:t xml:space="preserve">W, V, </w:t>
      </w:r>
      <w:r>
        <w:t>and, λ being the upper limit of the integral, degree of freedom and noncentrality respectively. In addition</w:t>
      </w:r>
      <w:r w:rsidRPr="00B97204">
        <w:rPr>
          <w:i/>
        </w:rPr>
        <w:t xml:space="preserve"> m</w:t>
      </w:r>
      <w:r>
        <w:t xml:space="preserve">, </w:t>
      </w:r>
      <w:r>
        <w:rPr>
          <w:i/>
          <w:iCs/>
        </w:rPr>
        <w:t xml:space="preserve">n </w:t>
      </w:r>
      <w:r>
        <w:t>and K can be defined as:</w:t>
      </w:r>
    </w:p>
    <w:p w:rsidR="008C0A15" w:rsidRDefault="008C0A15" w:rsidP="008C0A15">
      <w:pPr>
        <w:pStyle w:val="Style25"/>
        <w:spacing w:before="120" w:line="360" w:lineRule="auto"/>
        <w:ind w:left="0" w:firstLine="0"/>
        <w:jc w:val="center"/>
      </w:pPr>
      <w:r w:rsidRPr="00775614">
        <w:rPr>
          <w:position w:val="-6"/>
        </w:rPr>
        <w:object w:dxaOrig="2000" w:dyaOrig="320">
          <v:shape id="_x0000_i1106" type="#_x0000_t75" style="width:86.25pt;height:14.25pt" o:ole="">
            <v:imagedata r:id="rId68" o:title=""/>
          </v:shape>
          <o:OLEObject Type="Embed" ProgID="Equation.DSMT4" ShapeID="_x0000_i1106" DrawAspect="Content" ObjectID="_1520260041" r:id="rId69"/>
        </w:object>
      </w:r>
    </w:p>
    <w:p w:rsidR="008C0A15" w:rsidRDefault="008C0A15" w:rsidP="008C0A15">
      <w:pPr>
        <w:pStyle w:val="Style25"/>
        <w:spacing w:before="120" w:line="360" w:lineRule="auto"/>
        <w:ind w:left="0" w:firstLine="0"/>
        <w:jc w:val="center"/>
      </w:pPr>
      <w:r w:rsidRPr="00B40E6E">
        <w:rPr>
          <w:position w:val="-6"/>
        </w:rPr>
        <w:object w:dxaOrig="1040" w:dyaOrig="320">
          <v:shape id="_x0000_i1107" type="#_x0000_t75" style="width:50.25pt;height:14.25pt" o:ole="">
            <v:imagedata r:id="rId70" o:title=""/>
          </v:shape>
          <o:OLEObject Type="Embed" ProgID="Equation.DSMT4" ShapeID="_x0000_i1107" DrawAspect="Content" ObjectID="_1520260042" r:id="rId71"/>
        </w:object>
      </w:r>
    </w:p>
    <w:p w:rsidR="008C0A15" w:rsidRDefault="008C0A15" w:rsidP="008C0A15">
      <w:pPr>
        <w:pStyle w:val="Style24"/>
        <w:tabs>
          <w:tab w:val="center" w:pos="5753"/>
          <w:tab w:val="right" w:pos="9645"/>
        </w:tabs>
        <w:spacing w:after="120" w:line="360" w:lineRule="auto"/>
        <w:ind w:left="0" w:firstLine="0"/>
        <w:jc w:val="center"/>
      </w:pPr>
      <w:r>
        <w:t xml:space="preserve">                              </w:t>
      </w:r>
      <w:r w:rsidRPr="00D54888">
        <w:rPr>
          <w:position w:val="-28"/>
        </w:rPr>
        <w:object w:dxaOrig="2960" w:dyaOrig="660">
          <v:shape id="_x0000_i1108" type="#_x0000_t75" style="width:136.5pt;height:28.5pt" o:ole="">
            <v:imagedata r:id="rId72" o:title=""/>
          </v:shape>
          <o:OLEObject Type="Embed" ProgID="Equation.DSMT4" ShapeID="_x0000_i1108" DrawAspect="Content" ObjectID="_1520260043" r:id="rId73"/>
        </w:object>
      </w:r>
      <w:r w:rsidR="005107B1">
        <w:tab/>
        <w:t>(4C</w:t>
      </w:r>
      <w:r>
        <w:t>.3)</w:t>
      </w:r>
    </w:p>
    <w:p w:rsidR="008C0A15" w:rsidRDefault="008C0A15" w:rsidP="008C0A15">
      <w:pPr>
        <w:pStyle w:val="Style25"/>
        <w:spacing w:line="360" w:lineRule="auto"/>
        <w:ind w:left="0" w:firstLine="0"/>
      </w:pPr>
      <w:r>
        <w:t>Now, we discuss three possible special ca</w:t>
      </w:r>
      <w:r w:rsidR="005107B1">
        <w:t>ses associated with Equations 4C.1 and 4C</w:t>
      </w:r>
      <w:r>
        <w:t>.2.</w:t>
      </w:r>
    </w:p>
    <w:p w:rsidR="008C0A15" w:rsidRPr="000F4890" w:rsidRDefault="008C0A15" w:rsidP="008C0A15">
      <w:pPr>
        <w:numPr>
          <w:ilvl w:val="0"/>
          <w:numId w:val="2"/>
        </w:numPr>
        <w:shd w:val="clear" w:color="auto" w:fill="FFFFFF"/>
        <w:tabs>
          <w:tab w:val="left" w:pos="670"/>
        </w:tabs>
        <w:autoSpaceDE w:val="0"/>
        <w:autoSpaceDN w:val="0"/>
        <w:adjustRightInd w:val="0"/>
        <w:spacing w:line="360" w:lineRule="auto"/>
        <w:ind w:left="448" w:hanging="448"/>
        <w:jc w:val="both"/>
        <w:rPr>
          <w:color w:val="000000"/>
          <w:spacing w:val="-1"/>
          <w:sz w:val="22"/>
          <w:szCs w:val="22"/>
        </w:rPr>
      </w:pPr>
      <w:r w:rsidRPr="000F4890">
        <w:rPr>
          <w:color w:val="000000"/>
          <w:sz w:val="22"/>
          <w:szCs w:val="22"/>
        </w:rPr>
        <w:t xml:space="preserve">If </w:t>
      </w:r>
      <w:r w:rsidRPr="000F4890">
        <w:rPr>
          <w:i/>
          <w:iCs/>
          <w:color w:val="000000"/>
          <w:sz w:val="22"/>
          <w:szCs w:val="22"/>
        </w:rPr>
        <w:t xml:space="preserve">β </w:t>
      </w:r>
      <w:r w:rsidRPr="000F4890">
        <w:rPr>
          <w:b/>
          <w:bCs/>
          <w:i/>
          <w:iCs/>
          <w:color w:val="000000"/>
          <w:sz w:val="22"/>
          <w:szCs w:val="22"/>
        </w:rPr>
        <w:t xml:space="preserve">= </w:t>
      </w:r>
      <w:r w:rsidRPr="000F4890">
        <w:rPr>
          <w:iCs/>
          <w:color w:val="000000"/>
          <w:sz w:val="22"/>
          <w:szCs w:val="22"/>
        </w:rPr>
        <w:t>2</w:t>
      </w:r>
      <w:r w:rsidRPr="000F4890">
        <w:rPr>
          <w:i/>
          <w:iCs/>
          <w:color w:val="000000"/>
          <w:sz w:val="22"/>
          <w:szCs w:val="22"/>
        </w:rPr>
        <w:t xml:space="preserve">, </w:t>
      </w:r>
      <w:r w:rsidRPr="000F4890">
        <w:rPr>
          <w:color w:val="000000"/>
          <w:sz w:val="22"/>
          <w:szCs w:val="22"/>
        </w:rPr>
        <w:t xml:space="preserve">both </w:t>
      </w:r>
      <w:r w:rsidRPr="000F4890">
        <w:rPr>
          <w:b/>
          <w:i/>
          <w:iCs/>
          <w:color w:val="000000"/>
          <w:sz w:val="22"/>
          <w:szCs w:val="22"/>
        </w:rPr>
        <w:t xml:space="preserve">m </w:t>
      </w:r>
      <w:r w:rsidRPr="000F4890">
        <w:rPr>
          <w:color w:val="000000"/>
          <w:sz w:val="22"/>
          <w:szCs w:val="22"/>
        </w:rPr>
        <w:t xml:space="preserve">and </w:t>
      </w:r>
      <w:r w:rsidRPr="000F4890">
        <w:rPr>
          <w:b/>
          <w:i/>
          <w:iCs/>
          <w:color w:val="000000"/>
          <w:sz w:val="22"/>
          <w:szCs w:val="22"/>
        </w:rPr>
        <w:t>n</w:t>
      </w:r>
      <w:r w:rsidRPr="000F4890">
        <w:rPr>
          <w:i/>
          <w:iCs/>
          <w:color w:val="000000"/>
          <w:sz w:val="22"/>
          <w:szCs w:val="22"/>
        </w:rPr>
        <w:t xml:space="preserve"> </w:t>
      </w:r>
      <w:r w:rsidRPr="000F4890">
        <w:rPr>
          <w:color w:val="000000"/>
          <w:sz w:val="22"/>
          <w:szCs w:val="22"/>
        </w:rPr>
        <w:t>approach infinity. Then it ca</w:t>
      </w:r>
      <w:r>
        <w:rPr>
          <w:color w:val="000000"/>
          <w:sz w:val="22"/>
          <w:szCs w:val="22"/>
        </w:rPr>
        <w:t>n be shown t</w:t>
      </w:r>
      <w:r w:rsidR="005107B1">
        <w:rPr>
          <w:color w:val="000000"/>
          <w:sz w:val="22"/>
          <w:szCs w:val="22"/>
        </w:rPr>
        <w:t>hat both Equations 4C</w:t>
      </w:r>
      <w:r w:rsidRPr="000F4890">
        <w:rPr>
          <w:color w:val="000000"/>
          <w:sz w:val="22"/>
          <w:szCs w:val="22"/>
        </w:rPr>
        <w:t>.1</w:t>
      </w:r>
      <w:r w:rsidR="005107B1">
        <w:rPr>
          <w:color w:val="000000"/>
          <w:sz w:val="22"/>
          <w:szCs w:val="22"/>
        </w:rPr>
        <w:t xml:space="preserve"> and 4C</w:t>
      </w:r>
      <w:r w:rsidRPr="000F4890">
        <w:rPr>
          <w:color w:val="000000"/>
          <w:sz w:val="22"/>
          <w:szCs w:val="22"/>
        </w:rPr>
        <w:t xml:space="preserve">.2 reduce to the Black-Scholes Option pricing formula. </w:t>
      </w:r>
      <w:r>
        <w:rPr>
          <w:color w:val="000000"/>
          <w:sz w:val="22"/>
          <w:szCs w:val="22"/>
        </w:rPr>
        <w:t>That is cumulative density function of non-central Chi-Square distribution reduces to cumulative density function of normal distribution.</w:t>
      </w:r>
    </w:p>
    <w:p w:rsidR="008C0A15" w:rsidRPr="00B26E5E" w:rsidRDefault="008C0A15" w:rsidP="008C0A15">
      <w:pPr>
        <w:numPr>
          <w:ilvl w:val="0"/>
          <w:numId w:val="2"/>
        </w:numPr>
        <w:shd w:val="clear" w:color="auto" w:fill="FFFFFF"/>
        <w:tabs>
          <w:tab w:val="left" w:pos="670"/>
        </w:tabs>
        <w:autoSpaceDE w:val="0"/>
        <w:autoSpaceDN w:val="0"/>
        <w:adjustRightInd w:val="0"/>
        <w:spacing w:line="360" w:lineRule="auto"/>
        <w:ind w:left="448" w:hanging="448"/>
        <w:jc w:val="both"/>
        <w:rPr>
          <w:color w:val="000000"/>
          <w:spacing w:val="-4"/>
          <w:sz w:val="22"/>
          <w:szCs w:val="22"/>
        </w:rPr>
      </w:pPr>
      <w:r w:rsidRPr="00B26E5E">
        <w:rPr>
          <w:color w:val="000000"/>
          <w:sz w:val="22"/>
          <w:szCs w:val="22"/>
        </w:rPr>
        <w:t xml:space="preserve">If </w:t>
      </w:r>
      <w:r w:rsidRPr="00B26E5E">
        <w:rPr>
          <w:i/>
          <w:iCs/>
          <w:color w:val="000000"/>
          <w:sz w:val="22"/>
          <w:szCs w:val="22"/>
        </w:rPr>
        <w:t xml:space="preserve">β = </w:t>
      </w:r>
      <w:r w:rsidRPr="00B26E5E">
        <w:rPr>
          <w:color w:val="000000"/>
          <w:sz w:val="22"/>
          <w:szCs w:val="22"/>
        </w:rPr>
        <w:t>1, i</w:t>
      </w:r>
      <w:r w:rsidR="005107B1">
        <w:rPr>
          <w:color w:val="000000"/>
          <w:sz w:val="22"/>
          <w:szCs w:val="22"/>
        </w:rPr>
        <w:t>t can be shown that Equations 4C.1 and 4C</w:t>
      </w:r>
      <w:r w:rsidRPr="00B26E5E">
        <w:rPr>
          <w:color w:val="000000"/>
          <w:sz w:val="22"/>
          <w:szCs w:val="22"/>
        </w:rPr>
        <w:t>.2 reduce to</w:t>
      </w:r>
    </w:p>
    <w:p w:rsidR="008C0A15" w:rsidRDefault="008C0A15" w:rsidP="008C0A15">
      <w:pPr>
        <w:shd w:val="clear" w:color="auto" w:fill="FFFFFF"/>
        <w:tabs>
          <w:tab w:val="center" w:pos="5935"/>
        </w:tabs>
        <w:spacing w:before="240" w:after="120" w:line="360" w:lineRule="auto"/>
        <w:jc w:val="both"/>
        <w:rPr>
          <w:color w:val="000000"/>
          <w:sz w:val="22"/>
          <w:szCs w:val="22"/>
        </w:rPr>
      </w:pPr>
      <w:r w:rsidRPr="00D54888">
        <w:rPr>
          <w:position w:val="-12"/>
        </w:rPr>
        <w:object w:dxaOrig="6220" w:dyaOrig="380">
          <v:shape id="_x0000_i1109" type="#_x0000_t75" style="width:280.5pt;height:14.25pt" o:ole="">
            <v:imagedata r:id="rId74" o:title=""/>
          </v:shape>
          <o:OLEObject Type="Embed" ProgID="Equation.DSMT4" ShapeID="_x0000_i1109" DrawAspect="Content" ObjectID="_1520260044" r:id="rId75"/>
        </w:object>
      </w:r>
    </w:p>
    <w:p w:rsidR="008C0A15" w:rsidRDefault="008C0A15" w:rsidP="008C0A15">
      <w:pPr>
        <w:pStyle w:val="Style25"/>
        <w:spacing w:line="360" w:lineRule="auto"/>
        <w:ind w:left="0" w:firstLine="0"/>
      </w:pPr>
      <w:r>
        <w:t>where</w:t>
      </w:r>
    </w:p>
    <w:p w:rsidR="008C0A15" w:rsidRDefault="008C0A15" w:rsidP="008C0A15">
      <w:pPr>
        <w:pStyle w:val="Style25"/>
        <w:spacing w:before="120" w:after="60" w:line="360" w:lineRule="auto"/>
        <w:ind w:left="0" w:firstLine="0"/>
      </w:pPr>
      <w:r w:rsidRPr="00D54888">
        <w:rPr>
          <w:position w:val="-26"/>
        </w:rPr>
        <w:object w:dxaOrig="1820" w:dyaOrig="720">
          <v:shape id="_x0000_i1110" type="#_x0000_t75" style="width:79.5pt;height:28.5pt" o:ole="">
            <v:imagedata r:id="rId76" o:title=""/>
          </v:shape>
          <o:OLEObject Type="Embed" ProgID="Equation.DSMT4" ShapeID="_x0000_i1110" DrawAspect="Content" ObjectID="_1520260045" r:id="rId77"/>
        </w:object>
      </w:r>
    </w:p>
    <w:p w:rsidR="008C0A15" w:rsidRDefault="008C0A15" w:rsidP="008C0A15">
      <w:pPr>
        <w:pStyle w:val="Style25"/>
        <w:spacing w:before="120" w:after="120" w:line="360" w:lineRule="auto"/>
        <w:ind w:left="0" w:firstLine="0"/>
      </w:pPr>
      <w:r w:rsidRPr="00D54888">
        <w:rPr>
          <w:position w:val="-60"/>
        </w:rPr>
        <w:object w:dxaOrig="1880" w:dyaOrig="1320">
          <v:shape id="_x0000_i1111" type="#_x0000_t75" style="width:86.25pt;height:57.75pt" o:ole="">
            <v:imagedata r:id="rId78" o:title=""/>
          </v:shape>
          <o:OLEObject Type="Embed" ProgID="Equation.DSMT4" ShapeID="_x0000_i1111" DrawAspect="Content" ObjectID="_1520260046" r:id="rId79"/>
        </w:object>
      </w:r>
    </w:p>
    <w:p w:rsidR="008C0A15" w:rsidRDefault="008C0A15" w:rsidP="008C0A15">
      <w:pPr>
        <w:pStyle w:val="Style25"/>
        <w:spacing w:line="360" w:lineRule="auto"/>
        <w:ind w:left="0" w:firstLine="0"/>
      </w:pPr>
      <w:r>
        <w:rPr>
          <w:i/>
          <w:iCs/>
        </w:rPr>
        <w:t>N</w:t>
      </w:r>
      <w:r w:rsidRPr="002C2AEC">
        <w:rPr>
          <w:iCs/>
        </w:rPr>
        <w:t>(</w:t>
      </w:r>
      <w:r>
        <w:rPr>
          <w:i/>
          <w:iCs/>
        </w:rPr>
        <w:t>y</w:t>
      </w:r>
      <w:r w:rsidRPr="002C2AEC">
        <w:rPr>
          <w:iCs/>
          <w:vertAlign w:val="subscript"/>
        </w:rPr>
        <w:t>1</w:t>
      </w:r>
      <w:r w:rsidRPr="002C2AEC">
        <w:rPr>
          <w:iCs/>
        </w:rPr>
        <w:t>)</w:t>
      </w:r>
      <w:r>
        <w:rPr>
          <w:i/>
          <w:iCs/>
        </w:rPr>
        <w:t xml:space="preserve"> </w:t>
      </w:r>
      <w:r>
        <w:t xml:space="preserve">and </w:t>
      </w:r>
      <w:r>
        <w:rPr>
          <w:i/>
          <w:iCs/>
        </w:rPr>
        <w:t>N</w:t>
      </w:r>
      <w:r w:rsidRPr="002C2AEC">
        <w:rPr>
          <w:iCs/>
        </w:rPr>
        <w:t>(</w:t>
      </w:r>
      <w:r>
        <w:rPr>
          <w:i/>
          <w:iCs/>
        </w:rPr>
        <w:t>y</w:t>
      </w:r>
      <w:r w:rsidRPr="002C2AEC">
        <w:rPr>
          <w:iCs/>
          <w:vertAlign w:val="subscript"/>
        </w:rPr>
        <w:t>2</w:t>
      </w:r>
      <w:r w:rsidRPr="002C2AEC">
        <w:rPr>
          <w:iCs/>
        </w:rPr>
        <w:t>)</w:t>
      </w:r>
      <w:r>
        <w:rPr>
          <w:i/>
          <w:iCs/>
        </w:rPr>
        <w:t xml:space="preserve"> </w:t>
      </w:r>
      <w:r>
        <w:t xml:space="preserve">= cumulative standardized normal distribution function in terms of </w:t>
      </w:r>
      <w:r>
        <w:rPr>
          <w:i/>
          <w:iCs/>
        </w:rPr>
        <w:t>y</w:t>
      </w:r>
      <w:r w:rsidRPr="002C2AEC">
        <w:rPr>
          <w:iCs/>
          <w:vertAlign w:val="subscript"/>
        </w:rPr>
        <w:t>1</w:t>
      </w:r>
      <w:r>
        <w:rPr>
          <w:i/>
          <w:iCs/>
        </w:rPr>
        <w:t xml:space="preserve"> </w:t>
      </w:r>
      <w:r>
        <w:t xml:space="preserve">and </w:t>
      </w:r>
      <w:r>
        <w:rPr>
          <w:i/>
          <w:iCs/>
        </w:rPr>
        <w:t>y</w:t>
      </w:r>
      <w:r w:rsidRPr="002C2AEC">
        <w:rPr>
          <w:iCs/>
          <w:vertAlign w:val="subscript"/>
        </w:rPr>
        <w:t>2</w:t>
      </w:r>
      <w:r>
        <w:rPr>
          <w:i/>
          <w:iCs/>
        </w:rPr>
        <w:t xml:space="preserve"> </w:t>
      </w:r>
      <w:r>
        <w:t>respectively.</w:t>
      </w:r>
    </w:p>
    <w:p w:rsidR="008C0A15" w:rsidRDefault="008C0A15" w:rsidP="008C0A15">
      <w:pPr>
        <w:pStyle w:val="Style25"/>
        <w:spacing w:line="360" w:lineRule="auto"/>
        <w:ind w:left="0" w:firstLine="0"/>
      </w:pPr>
      <w:r>
        <w:rPr>
          <w:i/>
          <w:iCs/>
        </w:rPr>
        <w:t>n</w:t>
      </w:r>
      <w:r w:rsidRPr="002C2AEC">
        <w:rPr>
          <w:iCs/>
        </w:rPr>
        <w:t>(</w:t>
      </w:r>
      <w:r>
        <w:rPr>
          <w:i/>
          <w:iCs/>
        </w:rPr>
        <w:t>y</w:t>
      </w:r>
      <w:r>
        <w:rPr>
          <w:iCs/>
          <w:vertAlign w:val="subscript"/>
        </w:rPr>
        <w:t>1</w:t>
      </w:r>
      <w:r w:rsidRPr="002C2AEC">
        <w:rPr>
          <w:iCs/>
        </w:rPr>
        <w:t>)</w:t>
      </w:r>
      <w:r>
        <w:rPr>
          <w:i/>
          <w:iCs/>
        </w:rPr>
        <w:t xml:space="preserve"> </w:t>
      </w:r>
      <w:r>
        <w:t xml:space="preserve">and </w:t>
      </w:r>
      <w:r>
        <w:rPr>
          <w:i/>
          <w:iCs/>
        </w:rPr>
        <w:t>n</w:t>
      </w:r>
      <w:r w:rsidRPr="002C2AEC">
        <w:rPr>
          <w:iCs/>
        </w:rPr>
        <w:t>(</w:t>
      </w:r>
      <w:r>
        <w:rPr>
          <w:i/>
          <w:iCs/>
        </w:rPr>
        <w:t>y</w:t>
      </w:r>
      <w:r w:rsidRPr="002C2AEC">
        <w:rPr>
          <w:iCs/>
          <w:vertAlign w:val="subscript"/>
        </w:rPr>
        <w:t>2</w:t>
      </w:r>
      <w:r w:rsidRPr="002C2AEC">
        <w:rPr>
          <w:iCs/>
        </w:rPr>
        <w:t>)</w:t>
      </w:r>
      <w:r>
        <w:rPr>
          <w:i/>
          <w:iCs/>
        </w:rPr>
        <w:t xml:space="preserve"> </w:t>
      </w:r>
      <w:r>
        <w:t xml:space="preserve">= standardized normal density function in terms of </w:t>
      </w:r>
      <w:r w:rsidRPr="00BA1DCE">
        <w:rPr>
          <w:i/>
        </w:rPr>
        <w:t>y</w:t>
      </w:r>
      <w:r w:rsidRPr="002C2AEC">
        <w:rPr>
          <w:vertAlign w:val="subscript"/>
        </w:rPr>
        <w:t>1</w:t>
      </w:r>
      <w:r>
        <w:t xml:space="preserve">, and </w:t>
      </w:r>
      <w:r>
        <w:rPr>
          <w:i/>
          <w:iCs/>
        </w:rPr>
        <w:t>y</w:t>
      </w:r>
      <w:r w:rsidRPr="002C2AEC">
        <w:rPr>
          <w:iCs/>
          <w:vertAlign w:val="subscript"/>
        </w:rPr>
        <w:t>2</w:t>
      </w:r>
      <w:r>
        <w:rPr>
          <w:i/>
          <w:iCs/>
        </w:rPr>
        <w:t xml:space="preserve"> </w:t>
      </w:r>
      <w:r>
        <w:t>respectively.</w:t>
      </w:r>
    </w:p>
    <w:p w:rsidR="008C0A15" w:rsidRPr="00145C7A" w:rsidRDefault="008C0A15" w:rsidP="008C0A15">
      <w:pPr>
        <w:numPr>
          <w:ilvl w:val="0"/>
          <w:numId w:val="2"/>
        </w:numPr>
        <w:shd w:val="clear" w:color="auto" w:fill="FFFFFF"/>
        <w:tabs>
          <w:tab w:val="left" w:pos="670"/>
        </w:tabs>
        <w:autoSpaceDE w:val="0"/>
        <w:autoSpaceDN w:val="0"/>
        <w:adjustRightInd w:val="0"/>
        <w:spacing w:before="240" w:line="360" w:lineRule="auto"/>
        <w:ind w:left="448" w:hanging="448"/>
        <w:jc w:val="both"/>
      </w:pPr>
      <w:r>
        <w:rPr>
          <w:color w:val="000000"/>
          <w:sz w:val="22"/>
          <w:szCs w:val="22"/>
        </w:rPr>
        <w:t xml:space="preserve">If </w:t>
      </w:r>
      <w:r>
        <w:rPr>
          <w:i/>
          <w:iCs/>
          <w:color w:val="000000"/>
          <w:sz w:val="22"/>
          <w:szCs w:val="22"/>
        </w:rPr>
        <w:t xml:space="preserve">β = </w:t>
      </w:r>
      <w:r>
        <w:rPr>
          <w:color w:val="000000"/>
          <w:sz w:val="22"/>
          <w:szCs w:val="22"/>
        </w:rPr>
        <w:t>0, i</w:t>
      </w:r>
      <w:r w:rsidR="005107B1">
        <w:rPr>
          <w:color w:val="000000"/>
          <w:sz w:val="22"/>
          <w:szCs w:val="22"/>
        </w:rPr>
        <w:t>t can be shown that Equations 4C.1 and 4C</w:t>
      </w:r>
      <w:r>
        <w:rPr>
          <w:color w:val="000000"/>
          <w:sz w:val="22"/>
          <w:szCs w:val="22"/>
        </w:rPr>
        <w:t xml:space="preserve">.2 reduce to </w:t>
      </w:r>
    </w:p>
    <w:p w:rsidR="008C0A15" w:rsidRDefault="008C0A15" w:rsidP="008C0A15">
      <w:pPr>
        <w:shd w:val="clear" w:color="auto" w:fill="FFFFFF"/>
        <w:tabs>
          <w:tab w:val="center" w:pos="5809"/>
          <w:tab w:val="right" w:pos="9631"/>
        </w:tabs>
        <w:autoSpaceDE w:val="0"/>
        <w:autoSpaceDN w:val="0"/>
        <w:adjustRightInd w:val="0"/>
        <w:spacing w:before="120" w:after="120" w:line="360" w:lineRule="auto"/>
        <w:jc w:val="both"/>
        <w:rPr>
          <w:sz w:val="22"/>
          <w:szCs w:val="22"/>
        </w:rPr>
      </w:pPr>
      <w:r>
        <w:tab/>
      </w:r>
      <w:r w:rsidRPr="00D54888">
        <w:rPr>
          <w:position w:val="-10"/>
        </w:rPr>
        <w:object w:dxaOrig="3100" w:dyaOrig="360">
          <v:shape id="_x0000_i1112" type="#_x0000_t75" style="width:136.5pt;height:14.25pt" o:ole="">
            <v:imagedata r:id="rId80" o:title=""/>
          </v:shape>
          <o:OLEObject Type="Embed" ProgID="Equation.DSMT4" ShapeID="_x0000_i1112" DrawAspect="Content" ObjectID="_1520260047" r:id="rId81"/>
        </w:object>
      </w:r>
      <w:r>
        <w:tab/>
      </w:r>
      <w:r w:rsidRPr="00E43289">
        <w:rPr>
          <w:sz w:val="22"/>
          <w:szCs w:val="22"/>
        </w:rPr>
        <w:t>(</w:t>
      </w:r>
      <w:r w:rsidR="005107B1">
        <w:rPr>
          <w:sz w:val="22"/>
          <w:szCs w:val="22"/>
        </w:rPr>
        <w:t>4C</w:t>
      </w:r>
      <w:r w:rsidRPr="00E43289">
        <w:rPr>
          <w:sz w:val="22"/>
          <w:szCs w:val="22"/>
        </w:rPr>
        <w:t>.5)</w:t>
      </w:r>
    </w:p>
    <w:p w:rsidR="008C0A15" w:rsidRDefault="008C0A15" w:rsidP="008C0A15">
      <w:pPr>
        <w:pStyle w:val="Style25"/>
        <w:spacing w:line="360" w:lineRule="auto"/>
        <w:ind w:left="0" w:firstLine="0"/>
      </w:pPr>
      <w:r>
        <w:t>where</w:t>
      </w:r>
    </w:p>
    <w:p w:rsidR="008C0A15" w:rsidRDefault="008C0A15" w:rsidP="008C0A15">
      <w:pPr>
        <w:pStyle w:val="Style25"/>
        <w:spacing w:before="120" w:line="360" w:lineRule="auto"/>
        <w:ind w:left="0" w:firstLine="0"/>
      </w:pPr>
      <w:r w:rsidRPr="00D54888">
        <w:rPr>
          <w:position w:val="-76"/>
        </w:rPr>
        <w:object w:dxaOrig="7479" w:dyaOrig="1579">
          <v:shape id="_x0000_i1113" type="#_x0000_t75" style="width:338.25pt;height:1in" o:ole="">
            <v:imagedata r:id="rId82" o:title=""/>
          </v:shape>
          <o:OLEObject Type="Embed" ProgID="Equation.DSMT4" ShapeID="_x0000_i1113" DrawAspect="Content" ObjectID="_1520260048" r:id="rId83"/>
        </w:object>
      </w:r>
    </w:p>
    <w:p w:rsidR="008C0A15" w:rsidRDefault="008C0A15" w:rsidP="008C0A15">
      <w:pPr>
        <w:pStyle w:val="Style25"/>
        <w:spacing w:before="120" w:line="360" w:lineRule="auto"/>
        <w:ind w:left="0" w:firstLine="0"/>
      </w:pPr>
    </w:p>
    <w:p w:rsidR="008C0A15" w:rsidRDefault="008C0A15" w:rsidP="008C0A15">
      <w:pPr>
        <w:pStyle w:val="Style25"/>
        <w:spacing w:after="240" w:line="360" w:lineRule="auto"/>
        <w:ind w:left="0" w:firstLine="0"/>
      </w:pPr>
      <w:r w:rsidRPr="00D54888">
        <w:rPr>
          <w:position w:val="-24"/>
        </w:rPr>
        <w:object w:dxaOrig="3660" w:dyaOrig="620">
          <v:shape id="_x0000_i1114" type="#_x0000_t75" style="width:165.75pt;height:28.5pt" o:ole="">
            <v:imagedata r:id="rId84" o:title=""/>
          </v:shape>
          <o:OLEObject Type="Embed" ProgID="Equation.DSMT4" ShapeID="_x0000_i1114" DrawAspect="Content" ObjectID="_1520260049" r:id="rId85"/>
        </w:object>
      </w:r>
    </w:p>
    <w:p w:rsidR="008C0A15" w:rsidRDefault="008C0A15" w:rsidP="008C0A15">
      <w:pPr>
        <w:pStyle w:val="Style25"/>
        <w:spacing w:after="240" w:line="360" w:lineRule="auto"/>
        <w:ind w:left="0" w:firstLine="0"/>
      </w:pPr>
      <w:r w:rsidRPr="00D54888">
        <w:rPr>
          <w:position w:val="-28"/>
        </w:rPr>
        <w:object w:dxaOrig="4380" w:dyaOrig="660">
          <v:shape id="_x0000_i1115" type="#_x0000_t75" style="width:194.25pt;height:28.5pt" o:ole="">
            <v:imagedata r:id="rId86" o:title=""/>
          </v:shape>
          <o:OLEObject Type="Embed" ProgID="Equation.DSMT4" ShapeID="_x0000_i1115" DrawAspect="Content" ObjectID="_1520260050" r:id="rId87"/>
        </w:object>
      </w:r>
    </w:p>
    <w:p w:rsidR="008C0A15" w:rsidRDefault="008C0A15" w:rsidP="008C0A15">
      <w:pPr>
        <w:pStyle w:val="Style25"/>
        <w:spacing w:line="360" w:lineRule="auto"/>
        <w:ind w:left="0" w:firstLine="0"/>
      </w:pPr>
      <w:r>
        <w:t>The elasticity of variance (</w:t>
      </w:r>
      <w:r w:rsidRPr="00564074">
        <w:rPr>
          <w:rFonts w:ascii="Times New Roman Italic" w:hAnsi="Times New Roman Italic"/>
          <w:i/>
          <w:spacing w:val="20"/>
        </w:rPr>
        <w:t>σ</w:t>
      </w:r>
      <w:r w:rsidRPr="00564074">
        <w:rPr>
          <w:iCs/>
          <w:vertAlign w:val="superscript"/>
        </w:rPr>
        <w:t>2</w:t>
      </w:r>
      <w:r w:rsidRPr="0043489D">
        <w:rPr>
          <w:i/>
          <w:iCs/>
        </w:rPr>
        <w:t>S</w:t>
      </w:r>
      <w:r w:rsidRPr="00564074">
        <w:rPr>
          <w:i/>
          <w:iCs/>
          <w:vertAlign w:val="superscript"/>
        </w:rPr>
        <w:t>β</w:t>
      </w:r>
      <w:r w:rsidRPr="00564074">
        <w:rPr>
          <w:iCs/>
          <w:vertAlign w:val="superscript"/>
        </w:rPr>
        <w:t>–2</w:t>
      </w:r>
      <w:r>
        <w:t xml:space="preserve">) with respect to stock price per share </w:t>
      </w:r>
      <w:r>
        <w:rPr>
          <w:i/>
          <w:iCs/>
        </w:rPr>
        <w:t xml:space="preserve">S </w:t>
      </w:r>
      <w:r>
        <w:t>is</w:t>
      </w:r>
    </w:p>
    <w:p w:rsidR="008C0A15" w:rsidRDefault="008C0A15" w:rsidP="008C0A15">
      <w:pPr>
        <w:pStyle w:val="Style25"/>
        <w:tabs>
          <w:tab w:val="center" w:pos="5823"/>
          <w:tab w:val="right" w:pos="9645"/>
        </w:tabs>
        <w:spacing w:before="180" w:after="180" w:line="360" w:lineRule="auto"/>
        <w:ind w:left="0" w:firstLine="0"/>
      </w:pPr>
      <w:r w:rsidRPr="00D54888">
        <w:rPr>
          <w:position w:val="-32"/>
        </w:rPr>
        <w:object w:dxaOrig="6560" w:dyaOrig="760">
          <v:shape id="_x0000_i1116" type="#_x0000_t75" style="width:295.5pt;height:36pt" o:ole="">
            <v:imagedata r:id="rId88" o:title=""/>
          </v:shape>
          <o:OLEObject Type="Embed" ProgID="Equation.DSMT4" ShapeID="_x0000_i1116" DrawAspect="Content" ObjectID="_1520260051" r:id="rId89"/>
        </w:object>
      </w:r>
      <w:r w:rsidR="005107B1">
        <w:tab/>
        <w:t>(4C</w:t>
      </w:r>
      <w:r>
        <w:t>.6)</w:t>
      </w:r>
    </w:p>
    <w:p w:rsidR="008C0A15" w:rsidRDefault="008C0A15" w:rsidP="008C0A15">
      <w:pPr>
        <w:pStyle w:val="Style25"/>
        <w:spacing w:line="360" w:lineRule="auto"/>
        <w:ind w:left="0" w:firstLine="0"/>
      </w:pPr>
      <w:r>
        <w:t>This implies that the Option Prici</w:t>
      </w:r>
      <w:r w:rsidR="005107B1">
        <w:t>ng Model defined in Equations 4C.1 and 4C</w:t>
      </w:r>
      <w:r>
        <w:t>.2 is a constant elasticity of variance (CEV) type of OPM.</w:t>
      </w:r>
    </w:p>
    <w:p w:rsidR="008C0A15" w:rsidRDefault="008C0A15" w:rsidP="008C0A15">
      <w:pPr>
        <w:pStyle w:val="Style25"/>
        <w:spacing w:line="360" w:lineRule="auto"/>
        <w:ind w:left="0" w:firstLine="0"/>
      </w:pPr>
      <w:r>
        <w:t xml:space="preserve">The CEV type of option pricing model can be reduced to the following special </w:t>
      </w:r>
      <w:r>
        <w:rPr>
          <w:spacing w:val="-4"/>
        </w:rPr>
        <w:t>models.</w:t>
      </w:r>
      <w:r>
        <w:rPr>
          <w:rStyle w:val="FootnoteReference"/>
          <w:spacing w:val="-4"/>
        </w:rPr>
        <w:endnoteRef/>
      </w:r>
    </w:p>
    <w:p w:rsidR="008C0A15" w:rsidRDefault="008C0A15" w:rsidP="008C0A15">
      <w:pPr>
        <w:numPr>
          <w:ilvl w:val="0"/>
          <w:numId w:val="3"/>
        </w:numPr>
        <w:shd w:val="clear" w:color="auto" w:fill="FFFFFF"/>
        <w:tabs>
          <w:tab w:val="left" w:pos="331"/>
        </w:tabs>
        <w:autoSpaceDE w:val="0"/>
        <w:autoSpaceDN w:val="0"/>
        <w:adjustRightInd w:val="0"/>
        <w:spacing w:before="240" w:line="360" w:lineRule="auto"/>
        <w:jc w:val="both"/>
        <w:rPr>
          <w:color w:val="000000"/>
          <w:spacing w:val="-4"/>
          <w:sz w:val="22"/>
          <w:szCs w:val="22"/>
        </w:rPr>
      </w:pPr>
      <w:r>
        <w:rPr>
          <w:i/>
          <w:iCs/>
          <w:color w:val="000000"/>
          <w:sz w:val="22"/>
          <w:szCs w:val="22"/>
        </w:rPr>
        <w:t xml:space="preserve">β </w:t>
      </w:r>
      <w:r w:rsidR="005107B1">
        <w:rPr>
          <w:color w:val="000000"/>
          <w:sz w:val="22"/>
          <w:szCs w:val="22"/>
        </w:rPr>
        <w:t>= 2, Equations 4C.1 and 4C</w:t>
      </w:r>
      <w:r>
        <w:rPr>
          <w:color w:val="000000"/>
          <w:sz w:val="22"/>
          <w:szCs w:val="22"/>
        </w:rPr>
        <w:t>.2 reduce to the Black-Scholes model</w:t>
      </w:r>
    </w:p>
    <w:p w:rsidR="008C0A15" w:rsidRDefault="008C0A15" w:rsidP="008C0A15">
      <w:pPr>
        <w:numPr>
          <w:ilvl w:val="0"/>
          <w:numId w:val="3"/>
        </w:numPr>
        <w:shd w:val="clear" w:color="auto" w:fill="FFFFFF"/>
        <w:tabs>
          <w:tab w:val="left" w:pos="331"/>
        </w:tabs>
        <w:autoSpaceDE w:val="0"/>
        <w:autoSpaceDN w:val="0"/>
        <w:adjustRightInd w:val="0"/>
        <w:spacing w:line="360" w:lineRule="auto"/>
        <w:ind w:left="329" w:hanging="329"/>
        <w:jc w:val="both"/>
        <w:rPr>
          <w:color w:val="000000"/>
          <w:spacing w:val="-3"/>
          <w:sz w:val="22"/>
          <w:szCs w:val="22"/>
        </w:rPr>
      </w:pPr>
      <w:r>
        <w:rPr>
          <w:i/>
          <w:iCs/>
          <w:color w:val="000000"/>
          <w:sz w:val="22"/>
          <w:szCs w:val="22"/>
        </w:rPr>
        <w:t xml:space="preserve">β = </w:t>
      </w:r>
      <w:r w:rsidR="005107B1">
        <w:rPr>
          <w:color w:val="000000"/>
          <w:sz w:val="22"/>
          <w:szCs w:val="22"/>
        </w:rPr>
        <w:t>1, Equations 4C.1 and 4C</w:t>
      </w:r>
      <w:r>
        <w:rPr>
          <w:color w:val="000000"/>
          <w:sz w:val="22"/>
          <w:szCs w:val="22"/>
        </w:rPr>
        <w:t xml:space="preserve">.2 reduce to the absolute model as defined </w:t>
      </w:r>
      <w:r w:rsidR="005107B1">
        <w:rPr>
          <w:color w:val="000000"/>
          <w:sz w:val="22"/>
          <w:szCs w:val="22"/>
        </w:rPr>
        <w:t>in Equation 4C</w:t>
      </w:r>
      <w:r>
        <w:rPr>
          <w:color w:val="000000"/>
          <w:sz w:val="22"/>
          <w:szCs w:val="22"/>
        </w:rPr>
        <w:t>.4</w:t>
      </w:r>
    </w:p>
    <w:p w:rsidR="008C0A15" w:rsidRDefault="008C0A15" w:rsidP="008C0A15">
      <w:pPr>
        <w:numPr>
          <w:ilvl w:val="0"/>
          <w:numId w:val="3"/>
        </w:numPr>
        <w:shd w:val="clear" w:color="auto" w:fill="FFFFFF"/>
        <w:tabs>
          <w:tab w:val="left" w:pos="331"/>
        </w:tabs>
        <w:autoSpaceDE w:val="0"/>
        <w:autoSpaceDN w:val="0"/>
        <w:adjustRightInd w:val="0"/>
        <w:spacing w:line="360" w:lineRule="auto"/>
        <w:ind w:left="329" w:hanging="329"/>
        <w:jc w:val="both"/>
        <w:rPr>
          <w:color w:val="000000"/>
          <w:sz w:val="22"/>
          <w:szCs w:val="22"/>
        </w:rPr>
      </w:pPr>
      <w:r>
        <w:rPr>
          <w:i/>
          <w:iCs/>
          <w:color w:val="000000"/>
          <w:sz w:val="22"/>
          <w:szCs w:val="22"/>
        </w:rPr>
        <w:t xml:space="preserve">β </w:t>
      </w:r>
      <w:r w:rsidR="005107B1">
        <w:rPr>
          <w:color w:val="000000"/>
          <w:sz w:val="22"/>
          <w:szCs w:val="22"/>
        </w:rPr>
        <w:t>= 0, Equations 4C</w:t>
      </w:r>
      <w:r>
        <w:rPr>
          <w:color w:val="000000"/>
          <w:sz w:val="22"/>
          <w:szCs w:val="22"/>
        </w:rPr>
        <w:t>.1 and 4A</w:t>
      </w:r>
      <w:r w:rsidR="005107B1">
        <w:rPr>
          <w:color w:val="000000"/>
          <w:sz w:val="22"/>
          <w:szCs w:val="22"/>
        </w:rPr>
        <w:t>C</w:t>
      </w:r>
      <w:r>
        <w:rPr>
          <w:color w:val="000000"/>
          <w:sz w:val="22"/>
          <w:szCs w:val="22"/>
        </w:rPr>
        <w:t>.2 reduce to the square root model as defined in Equatio</w:t>
      </w:r>
      <w:r w:rsidR="005107B1">
        <w:rPr>
          <w:color w:val="000000"/>
          <w:sz w:val="22"/>
          <w:szCs w:val="22"/>
        </w:rPr>
        <w:t>n 4C</w:t>
      </w:r>
      <w:r>
        <w:rPr>
          <w:color w:val="000000"/>
          <w:sz w:val="22"/>
          <w:szCs w:val="22"/>
        </w:rPr>
        <w:t>.5</w:t>
      </w:r>
    </w:p>
    <w:p w:rsidR="008C0A15" w:rsidRDefault="008C0A15" w:rsidP="008C0A15">
      <w:pPr>
        <w:rPr>
          <w:b/>
        </w:rPr>
      </w:pPr>
    </w:p>
    <w:p w:rsidR="008C0A15" w:rsidRPr="00736DBB" w:rsidRDefault="008C0A15" w:rsidP="005F424A">
      <w:pPr>
        <w:rPr>
          <w:b/>
        </w:rPr>
      </w:pPr>
      <w:r w:rsidRPr="00355088">
        <w:rPr>
          <w:b/>
        </w:rPr>
        <w:t>Comparing the performance of Black Scholes model and the CEV model</w:t>
      </w:r>
    </w:p>
    <w:p w:rsidR="008C0A15" w:rsidRDefault="008C0A15" w:rsidP="005F424A">
      <w:pPr>
        <w:ind w:left="720"/>
        <w:rPr>
          <w:b/>
        </w:rPr>
      </w:pPr>
    </w:p>
    <w:p w:rsidR="008C0A15" w:rsidRPr="005F424A" w:rsidRDefault="008C0A15" w:rsidP="005F424A">
      <w:pPr>
        <w:rPr>
          <w:b/>
        </w:rPr>
      </w:pPr>
      <w:r>
        <w:t>Lee et.al (2004) applies an efficient algorithm for computing non-central chi-square distribution function to the CEV option pricing model. The Black-Scholes model prices are used as a benchmark for comparison. Three traditional measures are used to compare the sample fit and forecasting accuracy of the CEV model and the Black-Scholes model. First, the root mean squared error (RMSE) between the market and the model fitted (in sample) or model predicted (out of sample) option prices:</w:t>
      </w:r>
    </w:p>
    <w:p w:rsidR="008C0A15" w:rsidRPr="009C4615" w:rsidRDefault="008C0A15" w:rsidP="005F424A">
      <w:pPr>
        <w:ind w:left="720"/>
        <w:jc w:val="center"/>
        <w:rPr>
          <w:rFonts w:eastAsiaTheme="minorEastAsia"/>
        </w:rPr>
      </w:pPr>
      <m:oMath>
        <m:r>
          <w:rPr>
            <w:rFonts w:ascii="Cambria Math" w:hAnsi="Cambria Math"/>
          </w:rPr>
          <m:t xml:space="preserve">RMSE= </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 xml:space="preserve">n  </m:t>
                </m:r>
              </m:den>
            </m:f>
          </m:e>
        </m:rad>
        <m:r>
          <w:rPr>
            <w:rFonts w:ascii="Cambria Math" w:hAnsi="Cambria Math"/>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market </m:t>
                </m:r>
              </m:sub>
            </m:sSub>
          </m:e>
        </m:nary>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 xml:space="preserve">model </m:t>
            </m:r>
          </m:sub>
        </m:sSub>
        <m:sSup>
          <m:sSupPr>
            <m:ctrlPr>
              <w:rPr>
                <w:rFonts w:ascii="Cambria Math" w:hAnsi="Cambria Math"/>
                <w:i/>
              </w:rPr>
            </m:ctrlPr>
          </m:sSupPr>
          <m:e>
            <m:r>
              <w:rPr>
                <w:rFonts w:ascii="Cambria Math" w:hAnsi="Cambria Math"/>
              </w:rPr>
              <m:t>)</m:t>
            </m:r>
          </m:e>
          <m:sup>
            <m:r>
              <w:rPr>
                <w:rFonts w:ascii="Cambria Math" w:hAnsi="Cambria Math"/>
              </w:rPr>
              <m:t>2</m:t>
            </m:r>
          </m:sup>
        </m:sSup>
      </m:oMath>
      <w:r w:rsidRPr="009C4615">
        <w:rPr>
          <w:rFonts w:eastAsiaTheme="minorEastAsia"/>
        </w:rPr>
        <w:t>.</w:t>
      </w:r>
      <w:r>
        <w:rPr>
          <w:rFonts w:eastAsiaTheme="minorEastAsia"/>
        </w:rPr>
        <w:t xml:space="preserve"> (</w:t>
      </w:r>
      <w:r w:rsidR="005107B1">
        <w:rPr>
          <w:rFonts w:eastAsiaTheme="minorEastAsia"/>
        </w:rPr>
        <w:t>4C</w:t>
      </w:r>
      <w:r>
        <w:rPr>
          <w:rFonts w:eastAsiaTheme="minorEastAsia"/>
        </w:rPr>
        <w:t>.7)</w:t>
      </w:r>
    </w:p>
    <w:p w:rsidR="008C0A15" w:rsidRPr="005F424A" w:rsidRDefault="008C0A15" w:rsidP="005F424A">
      <w:pPr>
        <w:ind w:left="720"/>
        <w:rPr>
          <w:rFonts w:eastAsiaTheme="minorEastAsia"/>
        </w:rPr>
      </w:pPr>
      <w:r w:rsidRPr="005F424A">
        <w:rPr>
          <w:rFonts w:eastAsiaTheme="minorEastAsia"/>
        </w:rPr>
        <w:t xml:space="preserve">Second, the mean absolute error (MAE) between the market and the model fitted (in sample) or model predicted (out of sample) option prices: </w:t>
      </w:r>
    </w:p>
    <w:p w:rsidR="008C0A15" w:rsidRPr="005F424A" w:rsidRDefault="008C0A15" w:rsidP="005F424A">
      <w:pPr>
        <w:ind w:left="720"/>
        <w:jc w:val="center"/>
        <w:rPr>
          <w:rFonts w:eastAsiaTheme="minorEastAsia"/>
        </w:rPr>
      </w:pPr>
      <m:oMath>
        <m:r>
          <w:rPr>
            <w:rFonts w:ascii="Cambria Math" w:eastAsiaTheme="minorEastAsia" w:hAnsi="Cambria Math"/>
          </w:rPr>
          <m:t xml:space="preserve">MAE=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 xml:space="preserve"> </m:t>
        </m:r>
        <m:rad>
          <m:radPr>
            <m:degHide m:val="1"/>
            <m:ctrlPr>
              <w:rPr>
                <w:rFonts w:ascii="Cambria Math" w:eastAsiaTheme="minorEastAsia" w:hAnsi="Cambria Math"/>
                <w:i/>
              </w:rPr>
            </m:ctrlPr>
          </m:radPr>
          <m:deg/>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Market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Model</m:t>
                        </m:r>
                      </m:sub>
                    </m:sSub>
                  </m:e>
                </m:d>
              </m:e>
            </m:nary>
          </m:e>
        </m:rad>
        <m:r>
          <w:rPr>
            <w:rFonts w:ascii="Cambria Math" w:eastAsiaTheme="minorEastAsia" w:hAnsi="Cambria Math"/>
          </w:rPr>
          <m:t>.</m:t>
        </m:r>
      </m:oMath>
      <w:r>
        <w:rPr>
          <w:rFonts w:eastAsiaTheme="minorEastAsia"/>
        </w:rPr>
        <w:t xml:space="preserve"> (</w:t>
      </w:r>
      <w:r w:rsidR="005107B1">
        <w:rPr>
          <w:rFonts w:eastAsiaTheme="minorEastAsia"/>
        </w:rPr>
        <w:t>4C</w:t>
      </w:r>
      <w:r>
        <w:rPr>
          <w:rFonts w:eastAsiaTheme="minorEastAsia"/>
        </w:rPr>
        <w:t>.8)</w:t>
      </w:r>
    </w:p>
    <w:p w:rsidR="008C0A15" w:rsidRPr="005F424A" w:rsidRDefault="008C0A15" w:rsidP="005F424A">
      <w:pPr>
        <w:ind w:left="720"/>
        <w:rPr>
          <w:rFonts w:eastAsiaTheme="minorEastAsia"/>
        </w:rPr>
      </w:pPr>
      <w:r w:rsidRPr="005F424A">
        <w:rPr>
          <w:rFonts w:eastAsiaTheme="minorEastAsia"/>
        </w:rPr>
        <w:t xml:space="preserve">Third, the mean absolute percentage error (MAPE) between the market and the model fitted (in sample) or model predicted (out of sample) option prices: </w:t>
      </w:r>
    </w:p>
    <w:p w:rsidR="008C0A15" w:rsidRPr="005F424A" w:rsidRDefault="008C0A15" w:rsidP="005F424A">
      <w:pPr>
        <w:ind w:left="720"/>
        <w:jc w:val="center"/>
        <w:rPr>
          <w:rFonts w:eastAsiaTheme="minorEastAsia"/>
        </w:rPr>
      </w:pPr>
      <m:oMath>
        <m:r>
          <w:rPr>
            <w:rFonts w:ascii="Cambria Math" w:eastAsiaTheme="minorEastAsia" w:hAnsi="Cambria Math"/>
          </w:rPr>
          <m:t xml:space="preserve">MAPE=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r>
          <w:rPr>
            <w:rFonts w:ascii="Cambria Math" w:eastAsiaTheme="minorEastAsia" w:hAnsi="Cambria Math"/>
          </w:rPr>
          <m:t xml:space="preserve"> </m:t>
        </m:r>
        <m:rad>
          <m:radPr>
            <m:degHide m:val="1"/>
            <m:ctrlPr>
              <w:rPr>
                <w:rFonts w:ascii="Cambria Math" w:eastAsiaTheme="minorEastAsia" w:hAnsi="Cambria Math"/>
                <w:i/>
              </w:rPr>
            </m:ctrlPr>
          </m:radPr>
          <m:deg/>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d>
                  <m:dPr>
                    <m:begChr m:val="|"/>
                    <m:endChr m:val="|"/>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Market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Model</m:t>
                            </m:r>
                          </m:sub>
                        </m:sSub>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market</m:t>
                            </m:r>
                          </m:sub>
                        </m:sSub>
                      </m:den>
                    </m:f>
                  </m:e>
                </m:d>
              </m:e>
            </m:nary>
          </m:e>
        </m:rad>
        <m:r>
          <w:rPr>
            <w:rFonts w:ascii="Cambria Math" w:eastAsiaTheme="minorEastAsia" w:hAnsi="Cambria Math"/>
          </w:rPr>
          <m:t>.</m:t>
        </m:r>
      </m:oMath>
      <w:r>
        <w:rPr>
          <w:rFonts w:eastAsiaTheme="minorEastAsia"/>
        </w:rPr>
        <w:t xml:space="preserve"> (</w:t>
      </w:r>
      <w:r w:rsidR="005107B1">
        <w:rPr>
          <w:rFonts w:eastAsiaTheme="minorEastAsia"/>
        </w:rPr>
        <w:t>4C</w:t>
      </w:r>
      <w:r>
        <w:rPr>
          <w:rFonts w:eastAsiaTheme="minorEastAsia"/>
        </w:rPr>
        <w:t>.9)</w:t>
      </w:r>
    </w:p>
    <w:p w:rsidR="008C0A15" w:rsidRPr="005F424A" w:rsidRDefault="008C0A15" w:rsidP="005F424A">
      <w:pPr>
        <w:rPr>
          <w:rFonts w:eastAsiaTheme="minorEastAsia"/>
        </w:rPr>
      </w:pPr>
      <w:r w:rsidRPr="005F424A">
        <w:rPr>
          <w:rFonts w:eastAsiaTheme="minorEastAsia"/>
        </w:rPr>
        <w:t xml:space="preserve">When viewing the results it should be remembered that when the differences between the market prices and model prices are measured in absolute value using the mean absolute error (MAE) they are larger for in-the-money options because the option prices are usually greater for in-the-money options. When the differences are measured as a percentage of market prices using the mean absolute percentage error (MAPE), they are larger for out-of-the-money options because the market prices are usually small for out-of-the-money options. </w:t>
      </w:r>
    </w:p>
    <w:p w:rsidR="008C0A15" w:rsidRPr="005F424A" w:rsidRDefault="008C0A15" w:rsidP="005F424A">
      <w:pPr>
        <w:rPr>
          <w:rFonts w:eastAsiaTheme="minorEastAsia"/>
        </w:rPr>
      </w:pPr>
      <w:r w:rsidRPr="005F424A">
        <w:rPr>
          <w:rFonts w:eastAsiaTheme="minorEastAsia"/>
        </w:rPr>
        <w:t xml:space="preserve">Three benchmark measures are used to compare the performance of the Black-Scholes model and the CEV model. They are root mean squared errors (RMSE), mean absolute percentage errors (MAPE), and mean absolute error (MAE). The CEV model outperforms the BS model in all three measures. </w:t>
      </w:r>
      <w:r>
        <w:rPr>
          <w:rFonts w:eastAsiaTheme="minorEastAsia"/>
        </w:rPr>
        <w:t xml:space="preserve">Table </w:t>
      </w:r>
      <w:r w:rsidR="005107B1">
        <w:rPr>
          <w:rFonts w:eastAsiaTheme="minorEastAsia"/>
        </w:rPr>
        <w:t>C</w:t>
      </w:r>
      <w:r>
        <w:rPr>
          <w:rFonts w:eastAsiaTheme="minorEastAsia"/>
        </w:rPr>
        <w:t xml:space="preserve">1 lists the in-sample moneyness-based RMSE, MAE, MAPE values for the Black-Scholes model and the CEV model. The CEV model outperforms the BS model in the out-of-the-money category particularly. Table </w:t>
      </w:r>
      <w:r w:rsidR="005107B1">
        <w:rPr>
          <w:rFonts w:eastAsiaTheme="minorEastAsia"/>
        </w:rPr>
        <w:t>C</w:t>
      </w:r>
      <w:r>
        <w:rPr>
          <w:rFonts w:eastAsiaTheme="minorEastAsia"/>
        </w:rPr>
        <w:t xml:space="preserve">2 lists the in-sample moneyness and maturity based RMSE, MAE, MAPE values for the Black-Scholes model and the CEV model. </w:t>
      </w:r>
      <w:r w:rsidRPr="005F424A">
        <w:rPr>
          <w:rFonts w:eastAsiaTheme="minorEastAsia"/>
        </w:rPr>
        <w:t xml:space="preserve">The CEV model outperforms BS model in most categories, especially the out-of-the-money category. </w:t>
      </w:r>
    </w:p>
    <w:p w:rsidR="008C0A15" w:rsidRDefault="008C0A15" w:rsidP="005F424A">
      <w:pPr>
        <w:rPr>
          <w:rFonts w:eastAsiaTheme="minorEastAsia"/>
        </w:rPr>
      </w:pPr>
    </w:p>
    <w:p w:rsidR="008C0A15" w:rsidRDefault="008C0A15" w:rsidP="005F424A">
      <w:pPr>
        <w:rPr>
          <w:rFonts w:eastAsiaTheme="minorEastAsia"/>
        </w:rPr>
      </w:pPr>
      <w:r>
        <w:rPr>
          <w:rFonts w:eastAsiaTheme="minorEastAsia"/>
          <w:b/>
        </w:rPr>
        <w:t xml:space="preserve">Table </w:t>
      </w:r>
      <w:r w:rsidR="005107B1">
        <w:rPr>
          <w:rFonts w:eastAsiaTheme="minorEastAsia"/>
          <w:b/>
        </w:rPr>
        <w:t>C</w:t>
      </w:r>
      <w:r>
        <w:rPr>
          <w:rFonts w:eastAsiaTheme="minorEastAsia"/>
          <w:b/>
        </w:rPr>
        <w:t xml:space="preserve">1. </w:t>
      </w:r>
      <w:r>
        <w:rPr>
          <w:rFonts w:eastAsiaTheme="minorEastAsia"/>
        </w:rPr>
        <w:t xml:space="preserve">In-sample moneyness-based RMSE, MAE, MAPE values for the Black-Scholes model and the CEV model. </w:t>
      </w:r>
    </w:p>
    <w:tbl>
      <w:tblPr>
        <w:tblStyle w:val="TableGrid"/>
        <w:tblW w:w="0" w:type="auto"/>
        <w:tblLook w:val="04A0" w:firstRow="1" w:lastRow="0" w:firstColumn="1" w:lastColumn="0" w:noHBand="0" w:noVBand="1"/>
      </w:tblPr>
      <w:tblGrid>
        <w:gridCol w:w="2335"/>
        <w:gridCol w:w="1405"/>
        <w:gridCol w:w="1870"/>
        <w:gridCol w:w="1870"/>
        <w:gridCol w:w="1870"/>
      </w:tblGrid>
      <w:tr w:rsidR="008C0A15" w:rsidTr="005F424A">
        <w:tc>
          <w:tcPr>
            <w:tcW w:w="2335" w:type="dxa"/>
          </w:tcPr>
          <w:p w:rsidR="008C0A15" w:rsidRDefault="008C0A15" w:rsidP="008C0A15">
            <w:pPr>
              <w:rPr>
                <w:rFonts w:eastAsiaTheme="minorEastAsia"/>
              </w:rPr>
            </w:pPr>
            <w:r>
              <w:rPr>
                <w:rFonts w:eastAsiaTheme="minorEastAsia"/>
              </w:rPr>
              <w:t>Moneyness (S/K)</w:t>
            </w:r>
          </w:p>
        </w:tc>
        <w:tc>
          <w:tcPr>
            <w:tcW w:w="1405" w:type="dxa"/>
          </w:tcPr>
          <w:p w:rsidR="008C0A15" w:rsidRDefault="008C0A15" w:rsidP="008C0A15">
            <w:pPr>
              <w:rPr>
                <w:rFonts w:eastAsiaTheme="minorEastAsia"/>
              </w:rPr>
            </w:pPr>
            <w:r>
              <w:rPr>
                <w:rFonts w:eastAsiaTheme="minorEastAsia"/>
              </w:rPr>
              <w:t>Model</w:t>
            </w:r>
          </w:p>
        </w:tc>
        <w:tc>
          <w:tcPr>
            <w:tcW w:w="1870" w:type="dxa"/>
          </w:tcPr>
          <w:p w:rsidR="008C0A15" w:rsidRDefault="008C0A15" w:rsidP="008C0A15">
            <w:pPr>
              <w:rPr>
                <w:rFonts w:eastAsiaTheme="minorEastAsia"/>
              </w:rPr>
            </w:pPr>
            <w:r>
              <w:rPr>
                <w:rFonts w:eastAsiaTheme="minorEastAsia"/>
              </w:rPr>
              <w:t>RMSE</w:t>
            </w:r>
          </w:p>
        </w:tc>
        <w:tc>
          <w:tcPr>
            <w:tcW w:w="1870" w:type="dxa"/>
          </w:tcPr>
          <w:p w:rsidR="008C0A15" w:rsidRDefault="008C0A15" w:rsidP="008C0A15">
            <w:pPr>
              <w:rPr>
                <w:rFonts w:eastAsiaTheme="minorEastAsia"/>
              </w:rPr>
            </w:pPr>
            <w:r>
              <w:rPr>
                <w:rFonts w:eastAsiaTheme="minorEastAsia"/>
              </w:rPr>
              <w:t>MAE</w:t>
            </w:r>
          </w:p>
        </w:tc>
        <w:tc>
          <w:tcPr>
            <w:tcW w:w="1870" w:type="dxa"/>
          </w:tcPr>
          <w:p w:rsidR="008C0A15" w:rsidRDefault="008C0A15" w:rsidP="008C0A15">
            <w:pPr>
              <w:rPr>
                <w:rFonts w:eastAsiaTheme="minorEastAsia"/>
              </w:rPr>
            </w:pPr>
            <w:r>
              <w:rPr>
                <w:rFonts w:eastAsiaTheme="minorEastAsia"/>
              </w:rPr>
              <w:t>MAPE</w:t>
            </w:r>
          </w:p>
        </w:tc>
      </w:tr>
      <w:tr w:rsidR="008C0A15" w:rsidTr="005F424A">
        <w:tc>
          <w:tcPr>
            <w:tcW w:w="2335" w:type="dxa"/>
          </w:tcPr>
          <w:p w:rsidR="008C0A15" w:rsidRDefault="008C0A15" w:rsidP="008C0A15">
            <w:pPr>
              <w:rPr>
                <w:rFonts w:eastAsiaTheme="minorEastAsia"/>
              </w:rPr>
            </w:pPr>
            <m:oMathPara>
              <m:oMath>
                <m:r>
                  <w:rPr>
                    <w:rFonts w:ascii="Cambria Math" w:eastAsiaTheme="minorEastAsia" w:hAnsi="Cambria Math"/>
                  </w:rPr>
                  <m:t>DITM (≥1.06)</m:t>
                </m:r>
              </m:oMath>
            </m:oMathPara>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1.7556</w:t>
            </w:r>
          </w:p>
          <w:p w:rsidR="008C0A15" w:rsidRDefault="008C0A15" w:rsidP="008C0A15">
            <w:pPr>
              <w:rPr>
                <w:rFonts w:eastAsiaTheme="minorEastAsia"/>
              </w:rPr>
            </w:pPr>
            <w:r>
              <w:rPr>
                <w:rFonts w:eastAsiaTheme="minorEastAsia"/>
              </w:rPr>
              <w:t>1.7704</w:t>
            </w:r>
          </w:p>
        </w:tc>
        <w:tc>
          <w:tcPr>
            <w:tcW w:w="1870" w:type="dxa"/>
          </w:tcPr>
          <w:p w:rsidR="008C0A15" w:rsidRDefault="008C0A15" w:rsidP="008C0A15">
            <w:pPr>
              <w:rPr>
                <w:rFonts w:eastAsiaTheme="minorEastAsia"/>
              </w:rPr>
            </w:pPr>
            <w:r>
              <w:rPr>
                <w:rFonts w:eastAsiaTheme="minorEastAsia"/>
              </w:rPr>
              <w:t>1.1889</w:t>
            </w:r>
          </w:p>
          <w:p w:rsidR="008C0A15" w:rsidRDefault="008C0A15" w:rsidP="008C0A15">
            <w:pPr>
              <w:rPr>
                <w:rFonts w:eastAsiaTheme="minorEastAsia"/>
              </w:rPr>
            </w:pPr>
            <w:r>
              <w:rPr>
                <w:rFonts w:eastAsiaTheme="minorEastAsia"/>
              </w:rPr>
              <w:t>1.2044</w:t>
            </w:r>
          </w:p>
        </w:tc>
        <w:tc>
          <w:tcPr>
            <w:tcW w:w="1870" w:type="dxa"/>
          </w:tcPr>
          <w:p w:rsidR="008C0A15" w:rsidRDefault="008C0A15" w:rsidP="008C0A15">
            <w:pPr>
              <w:rPr>
                <w:rFonts w:eastAsiaTheme="minorEastAsia"/>
              </w:rPr>
            </w:pPr>
            <w:r>
              <w:rPr>
                <w:rFonts w:eastAsiaTheme="minorEastAsia"/>
              </w:rPr>
              <w:t>0.0207</w:t>
            </w:r>
          </w:p>
          <w:p w:rsidR="008C0A15" w:rsidRDefault="008C0A15" w:rsidP="008C0A15">
            <w:pPr>
              <w:rPr>
                <w:rFonts w:eastAsiaTheme="minorEastAsia"/>
              </w:rPr>
            </w:pPr>
            <w:r>
              <w:rPr>
                <w:rFonts w:eastAsiaTheme="minorEastAsia"/>
              </w:rPr>
              <w:t>0.0209</w:t>
            </w:r>
          </w:p>
        </w:tc>
      </w:tr>
      <w:tr w:rsidR="008C0A15" w:rsidTr="005F424A">
        <w:tc>
          <w:tcPr>
            <w:tcW w:w="2335" w:type="dxa"/>
          </w:tcPr>
          <w:p w:rsidR="008C0A15" w:rsidRDefault="008C0A15" w:rsidP="008C0A15">
            <w:pPr>
              <w:rPr>
                <w:rFonts w:eastAsiaTheme="minorEastAsia"/>
              </w:rPr>
            </w:pPr>
            <m:oMath>
              <m:r>
                <w:rPr>
                  <w:rFonts w:ascii="Cambria Math" w:eastAsiaTheme="minorEastAsia" w:hAnsi="Cambria Math"/>
                </w:rPr>
                <m:t>ITM (1.03</m:t>
              </m:r>
            </m:oMath>
            <w:r>
              <w:rPr>
                <w:rFonts w:eastAsiaTheme="minorEastAsia"/>
              </w:rPr>
              <w:t>-1.06)</w:t>
            </w:r>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1.2872</w:t>
            </w:r>
          </w:p>
          <w:p w:rsidR="008C0A15" w:rsidRDefault="008C0A15" w:rsidP="008C0A15">
            <w:pPr>
              <w:rPr>
                <w:rFonts w:eastAsiaTheme="minorEastAsia"/>
              </w:rPr>
            </w:pPr>
            <w:r>
              <w:rPr>
                <w:rFonts w:eastAsiaTheme="minorEastAsia"/>
              </w:rPr>
              <w:t>1.2203</w:t>
            </w:r>
          </w:p>
        </w:tc>
        <w:tc>
          <w:tcPr>
            <w:tcW w:w="1870" w:type="dxa"/>
          </w:tcPr>
          <w:p w:rsidR="008C0A15" w:rsidRDefault="008C0A15" w:rsidP="008C0A15">
            <w:pPr>
              <w:rPr>
                <w:rFonts w:eastAsiaTheme="minorEastAsia"/>
              </w:rPr>
            </w:pPr>
            <w:r>
              <w:rPr>
                <w:rFonts w:eastAsiaTheme="minorEastAsia"/>
              </w:rPr>
              <w:t>0.8712</w:t>
            </w:r>
          </w:p>
          <w:p w:rsidR="008C0A15" w:rsidRDefault="008C0A15" w:rsidP="008C0A15">
            <w:pPr>
              <w:rPr>
                <w:rFonts w:eastAsiaTheme="minorEastAsia"/>
              </w:rPr>
            </w:pPr>
            <w:r>
              <w:rPr>
                <w:rFonts w:eastAsiaTheme="minorEastAsia"/>
              </w:rPr>
              <w:t>0.8311</w:t>
            </w:r>
          </w:p>
        </w:tc>
        <w:tc>
          <w:tcPr>
            <w:tcW w:w="1870" w:type="dxa"/>
          </w:tcPr>
          <w:p w:rsidR="008C0A15" w:rsidRDefault="008C0A15" w:rsidP="008C0A15">
            <w:pPr>
              <w:rPr>
                <w:rFonts w:eastAsiaTheme="minorEastAsia"/>
              </w:rPr>
            </w:pPr>
            <w:r>
              <w:rPr>
                <w:rFonts w:eastAsiaTheme="minorEastAsia"/>
              </w:rPr>
              <w:t>0.0292</w:t>
            </w:r>
          </w:p>
          <w:p w:rsidR="008C0A15" w:rsidRDefault="008C0A15" w:rsidP="008C0A15">
            <w:pPr>
              <w:rPr>
                <w:rFonts w:eastAsiaTheme="minorEastAsia"/>
              </w:rPr>
            </w:pPr>
            <w:r>
              <w:rPr>
                <w:rFonts w:eastAsiaTheme="minorEastAsia"/>
              </w:rPr>
              <w:t>0.0279</w:t>
            </w:r>
          </w:p>
        </w:tc>
      </w:tr>
      <w:tr w:rsidR="008C0A15" w:rsidTr="005F424A">
        <w:tc>
          <w:tcPr>
            <w:tcW w:w="2335" w:type="dxa"/>
          </w:tcPr>
          <w:p w:rsidR="008C0A15" w:rsidRPr="006D1960" w:rsidRDefault="008C0A15" w:rsidP="008C0A15">
            <w:pPr>
              <w:rPr>
                <w:rFonts w:eastAsiaTheme="minorEastAsia"/>
              </w:rPr>
            </w:pPr>
            <m:oMathPara>
              <m:oMath>
                <m:r>
                  <w:rPr>
                    <w:rFonts w:ascii="Cambria Math" w:eastAsiaTheme="minorEastAsia" w:hAnsi="Cambria Math"/>
                  </w:rPr>
                  <m:t xml:space="preserve">ATMI </m:t>
                </m:r>
                <m:d>
                  <m:dPr>
                    <m:ctrlPr>
                      <w:rPr>
                        <w:rFonts w:ascii="Cambria Math" w:eastAsiaTheme="minorEastAsia" w:hAnsi="Cambria Math"/>
                        <w:i/>
                      </w:rPr>
                    </m:ctrlPr>
                  </m:dPr>
                  <m:e>
                    <m:r>
                      <w:rPr>
                        <w:rFonts w:ascii="Cambria Math" w:eastAsiaTheme="minorEastAsia" w:hAnsi="Cambria Math"/>
                      </w:rPr>
                      <m:t>1.00-1.03</m:t>
                    </m:r>
                  </m:e>
                </m:d>
              </m:oMath>
            </m:oMathPara>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0.9263</w:t>
            </w:r>
          </w:p>
          <w:p w:rsidR="008C0A15" w:rsidRDefault="008C0A15" w:rsidP="008C0A15">
            <w:pPr>
              <w:rPr>
                <w:rFonts w:eastAsiaTheme="minorEastAsia"/>
              </w:rPr>
            </w:pPr>
            <w:r>
              <w:rPr>
                <w:rFonts w:eastAsiaTheme="minorEastAsia"/>
              </w:rPr>
              <w:t>0.8028</w:t>
            </w:r>
          </w:p>
        </w:tc>
        <w:tc>
          <w:tcPr>
            <w:tcW w:w="1870" w:type="dxa"/>
          </w:tcPr>
          <w:p w:rsidR="008C0A15" w:rsidRDefault="008C0A15" w:rsidP="008C0A15">
            <w:pPr>
              <w:rPr>
                <w:rFonts w:eastAsiaTheme="minorEastAsia"/>
              </w:rPr>
            </w:pPr>
            <w:r>
              <w:rPr>
                <w:rFonts w:eastAsiaTheme="minorEastAsia"/>
              </w:rPr>
              <w:t>0.6364</w:t>
            </w:r>
          </w:p>
          <w:p w:rsidR="008C0A15" w:rsidRDefault="008C0A15" w:rsidP="008C0A15">
            <w:pPr>
              <w:rPr>
                <w:rFonts w:eastAsiaTheme="minorEastAsia"/>
              </w:rPr>
            </w:pPr>
            <w:r>
              <w:rPr>
                <w:rFonts w:eastAsiaTheme="minorEastAsia"/>
              </w:rPr>
              <w:t>0.5733</w:t>
            </w:r>
          </w:p>
        </w:tc>
        <w:tc>
          <w:tcPr>
            <w:tcW w:w="1870" w:type="dxa"/>
          </w:tcPr>
          <w:p w:rsidR="008C0A15" w:rsidRDefault="008C0A15" w:rsidP="008C0A15">
            <w:pPr>
              <w:rPr>
                <w:rFonts w:eastAsiaTheme="minorEastAsia"/>
              </w:rPr>
            </w:pPr>
            <w:r>
              <w:rPr>
                <w:rFonts w:eastAsiaTheme="minorEastAsia"/>
              </w:rPr>
              <w:t>0.0409</w:t>
            </w:r>
          </w:p>
          <w:p w:rsidR="008C0A15" w:rsidRDefault="008C0A15" w:rsidP="008C0A15">
            <w:pPr>
              <w:rPr>
                <w:rFonts w:eastAsiaTheme="minorEastAsia"/>
              </w:rPr>
            </w:pPr>
            <w:r>
              <w:rPr>
                <w:rFonts w:eastAsiaTheme="minorEastAsia"/>
              </w:rPr>
              <w:t>0.0367</w:t>
            </w:r>
          </w:p>
        </w:tc>
      </w:tr>
      <w:tr w:rsidR="008C0A15" w:rsidTr="005F424A">
        <w:tc>
          <w:tcPr>
            <w:tcW w:w="2335" w:type="dxa"/>
          </w:tcPr>
          <w:p w:rsidR="008C0A15" w:rsidRDefault="008C0A15" w:rsidP="008C0A15">
            <w:pPr>
              <w:rPr>
                <w:rFonts w:eastAsiaTheme="minorEastAsia"/>
              </w:rPr>
            </w:pPr>
            <m:oMathPara>
              <m:oMath>
                <m:r>
                  <w:rPr>
                    <w:rFonts w:ascii="Cambria Math" w:eastAsiaTheme="minorEastAsia" w:hAnsi="Cambria Math"/>
                  </w:rPr>
                  <m:t>ATMO (0.97-1.00)</m:t>
                </m:r>
              </m:oMath>
            </m:oMathPara>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0.8155</w:t>
            </w:r>
          </w:p>
          <w:p w:rsidR="008C0A15" w:rsidRDefault="008C0A15" w:rsidP="008C0A15">
            <w:pPr>
              <w:rPr>
                <w:rFonts w:eastAsiaTheme="minorEastAsia"/>
              </w:rPr>
            </w:pPr>
            <w:r>
              <w:rPr>
                <w:rFonts w:eastAsiaTheme="minorEastAsia"/>
              </w:rPr>
              <w:t>0.5655</w:t>
            </w:r>
          </w:p>
        </w:tc>
        <w:tc>
          <w:tcPr>
            <w:tcW w:w="1870" w:type="dxa"/>
          </w:tcPr>
          <w:p w:rsidR="008C0A15" w:rsidRDefault="008C0A15" w:rsidP="008C0A15">
            <w:pPr>
              <w:rPr>
                <w:rFonts w:eastAsiaTheme="minorEastAsia"/>
              </w:rPr>
            </w:pPr>
            <w:r>
              <w:rPr>
                <w:rFonts w:eastAsiaTheme="minorEastAsia"/>
              </w:rPr>
              <w:t>0.5775</w:t>
            </w:r>
          </w:p>
          <w:p w:rsidR="008C0A15" w:rsidRDefault="008C0A15" w:rsidP="008C0A15">
            <w:pPr>
              <w:rPr>
                <w:rFonts w:eastAsiaTheme="minorEastAsia"/>
              </w:rPr>
            </w:pPr>
            <w:r>
              <w:rPr>
                <w:rFonts w:eastAsiaTheme="minorEastAsia"/>
              </w:rPr>
              <w:t>0.4216</w:t>
            </w:r>
          </w:p>
        </w:tc>
        <w:tc>
          <w:tcPr>
            <w:tcW w:w="1870" w:type="dxa"/>
          </w:tcPr>
          <w:p w:rsidR="008C0A15" w:rsidRDefault="008C0A15" w:rsidP="008C0A15">
            <w:pPr>
              <w:rPr>
                <w:rFonts w:eastAsiaTheme="minorEastAsia"/>
              </w:rPr>
            </w:pPr>
            <w:r>
              <w:rPr>
                <w:rFonts w:eastAsiaTheme="minorEastAsia"/>
              </w:rPr>
              <w:t>0.1153</w:t>
            </w:r>
          </w:p>
          <w:p w:rsidR="008C0A15" w:rsidRDefault="008C0A15" w:rsidP="008C0A15">
            <w:pPr>
              <w:rPr>
                <w:rFonts w:eastAsiaTheme="minorEastAsia"/>
              </w:rPr>
            </w:pPr>
            <w:r>
              <w:rPr>
                <w:rFonts w:eastAsiaTheme="minorEastAsia"/>
              </w:rPr>
              <w:t>0.0855</w:t>
            </w:r>
          </w:p>
        </w:tc>
      </w:tr>
      <w:tr w:rsidR="008C0A15" w:rsidTr="005F424A">
        <w:tc>
          <w:tcPr>
            <w:tcW w:w="2335" w:type="dxa"/>
          </w:tcPr>
          <w:p w:rsidR="008C0A15" w:rsidRDefault="008C0A15" w:rsidP="008C0A15">
            <w:pPr>
              <w:rPr>
                <w:rFonts w:eastAsiaTheme="minorEastAsia"/>
              </w:rPr>
            </w:pPr>
            <m:oMathPara>
              <m:oMath>
                <m:r>
                  <w:rPr>
                    <w:rFonts w:ascii="Cambria Math" w:eastAsiaTheme="minorEastAsia" w:hAnsi="Cambria Math"/>
                  </w:rPr>
                  <m:t>OTM (0.94-0.97)</m:t>
                </m:r>
              </m:oMath>
            </m:oMathPara>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0.8834</w:t>
            </w:r>
          </w:p>
          <w:p w:rsidR="008C0A15" w:rsidRDefault="008C0A15" w:rsidP="008C0A15">
            <w:pPr>
              <w:rPr>
                <w:rFonts w:eastAsiaTheme="minorEastAsia"/>
              </w:rPr>
            </w:pPr>
            <w:r>
              <w:rPr>
                <w:rFonts w:eastAsiaTheme="minorEastAsia"/>
              </w:rPr>
              <w:t>0.5112</w:t>
            </w:r>
          </w:p>
        </w:tc>
        <w:tc>
          <w:tcPr>
            <w:tcW w:w="1870" w:type="dxa"/>
          </w:tcPr>
          <w:p w:rsidR="008C0A15" w:rsidRDefault="008C0A15" w:rsidP="008C0A15">
            <w:pPr>
              <w:rPr>
                <w:rFonts w:eastAsiaTheme="minorEastAsia"/>
              </w:rPr>
            </w:pPr>
            <w:r>
              <w:rPr>
                <w:rFonts w:eastAsiaTheme="minorEastAsia"/>
              </w:rPr>
              <w:t>0.6159</w:t>
            </w:r>
          </w:p>
          <w:p w:rsidR="008C0A15" w:rsidRDefault="008C0A15" w:rsidP="008C0A15">
            <w:pPr>
              <w:rPr>
                <w:rFonts w:eastAsiaTheme="minorEastAsia"/>
              </w:rPr>
            </w:pPr>
            <w:r>
              <w:rPr>
                <w:rFonts w:eastAsiaTheme="minorEastAsia"/>
              </w:rPr>
              <w:t>0.3692</w:t>
            </w:r>
          </w:p>
        </w:tc>
        <w:tc>
          <w:tcPr>
            <w:tcW w:w="1870" w:type="dxa"/>
          </w:tcPr>
          <w:p w:rsidR="008C0A15" w:rsidRDefault="008C0A15" w:rsidP="008C0A15">
            <w:pPr>
              <w:rPr>
                <w:rFonts w:eastAsiaTheme="minorEastAsia"/>
              </w:rPr>
            </w:pPr>
            <w:r>
              <w:rPr>
                <w:rFonts w:eastAsiaTheme="minorEastAsia"/>
              </w:rPr>
              <w:t>0.2260</w:t>
            </w:r>
          </w:p>
          <w:p w:rsidR="008C0A15" w:rsidRDefault="008C0A15" w:rsidP="008C0A15">
            <w:pPr>
              <w:rPr>
                <w:rFonts w:eastAsiaTheme="minorEastAsia"/>
              </w:rPr>
            </w:pPr>
            <w:r>
              <w:rPr>
                <w:rFonts w:eastAsiaTheme="minorEastAsia"/>
              </w:rPr>
              <w:t>0.1706</w:t>
            </w:r>
          </w:p>
        </w:tc>
      </w:tr>
      <w:tr w:rsidR="008C0A15" w:rsidTr="005F424A">
        <w:tc>
          <w:tcPr>
            <w:tcW w:w="2335" w:type="dxa"/>
          </w:tcPr>
          <w:p w:rsidR="008C0A15" w:rsidRDefault="008C0A15" w:rsidP="008C0A15">
            <w:pPr>
              <w:rPr>
                <w:rFonts w:eastAsiaTheme="minorEastAsia"/>
              </w:rPr>
            </w:pPr>
            <m:oMathPara>
              <m:oMath>
                <m:r>
                  <w:rPr>
                    <w:rFonts w:ascii="Cambria Math" w:eastAsiaTheme="minorEastAsia" w:hAnsi="Cambria Math"/>
                  </w:rPr>
                  <m:t>DOTM (&lt;0.94)</m:t>
                </m:r>
              </m:oMath>
            </m:oMathPara>
          </w:p>
        </w:tc>
        <w:tc>
          <w:tcPr>
            <w:tcW w:w="1405" w:type="dxa"/>
          </w:tcPr>
          <w:p w:rsidR="008C0A15" w:rsidRDefault="008C0A15" w:rsidP="008C0A15">
            <w:pPr>
              <w:rPr>
                <w:rFonts w:eastAsiaTheme="minorEastAsia"/>
              </w:rPr>
            </w:pPr>
            <w:r>
              <w:rPr>
                <w:rFonts w:eastAsiaTheme="minorEastAsia"/>
              </w:rPr>
              <w:t>BS</w:t>
            </w:r>
          </w:p>
          <w:p w:rsidR="008C0A15" w:rsidRDefault="008C0A15" w:rsidP="008C0A15">
            <w:pPr>
              <w:rPr>
                <w:rFonts w:eastAsiaTheme="minorEastAsia"/>
              </w:rPr>
            </w:pPr>
            <w:r>
              <w:rPr>
                <w:rFonts w:eastAsiaTheme="minorEastAsia"/>
              </w:rPr>
              <w:t>CEV</w:t>
            </w:r>
          </w:p>
        </w:tc>
        <w:tc>
          <w:tcPr>
            <w:tcW w:w="1870" w:type="dxa"/>
          </w:tcPr>
          <w:p w:rsidR="008C0A15" w:rsidRDefault="008C0A15" w:rsidP="008C0A15">
            <w:pPr>
              <w:rPr>
                <w:rFonts w:eastAsiaTheme="minorEastAsia"/>
              </w:rPr>
            </w:pPr>
            <w:r>
              <w:rPr>
                <w:rFonts w:eastAsiaTheme="minorEastAsia"/>
              </w:rPr>
              <w:t>1.3575</w:t>
            </w:r>
          </w:p>
          <w:p w:rsidR="008C0A15" w:rsidRDefault="008C0A15" w:rsidP="008C0A15">
            <w:pPr>
              <w:rPr>
                <w:rFonts w:eastAsiaTheme="minorEastAsia"/>
              </w:rPr>
            </w:pPr>
            <w:r>
              <w:rPr>
                <w:rFonts w:eastAsiaTheme="minorEastAsia"/>
              </w:rPr>
              <w:t>0.7098</w:t>
            </w:r>
          </w:p>
        </w:tc>
        <w:tc>
          <w:tcPr>
            <w:tcW w:w="1870" w:type="dxa"/>
          </w:tcPr>
          <w:p w:rsidR="008C0A15" w:rsidRDefault="008C0A15" w:rsidP="008C0A15">
            <w:pPr>
              <w:rPr>
                <w:rFonts w:eastAsiaTheme="minorEastAsia"/>
              </w:rPr>
            </w:pPr>
            <w:r>
              <w:rPr>
                <w:rFonts w:eastAsiaTheme="minorEastAsia"/>
              </w:rPr>
              <w:t>0.8971</w:t>
            </w:r>
          </w:p>
          <w:p w:rsidR="008C0A15" w:rsidRDefault="008C0A15" w:rsidP="008C0A15">
            <w:pPr>
              <w:rPr>
                <w:rFonts w:eastAsiaTheme="minorEastAsia"/>
              </w:rPr>
            </w:pPr>
            <w:r>
              <w:rPr>
                <w:rFonts w:eastAsiaTheme="minorEastAsia"/>
              </w:rPr>
              <w:t>0.4877</w:t>
            </w:r>
          </w:p>
        </w:tc>
        <w:tc>
          <w:tcPr>
            <w:tcW w:w="1870" w:type="dxa"/>
          </w:tcPr>
          <w:p w:rsidR="008C0A15" w:rsidRDefault="008C0A15" w:rsidP="008C0A15">
            <w:pPr>
              <w:rPr>
                <w:rFonts w:eastAsiaTheme="minorEastAsia"/>
              </w:rPr>
            </w:pPr>
            <w:r>
              <w:rPr>
                <w:rFonts w:eastAsiaTheme="minorEastAsia"/>
              </w:rPr>
              <w:t>0.3230</w:t>
            </w:r>
          </w:p>
          <w:p w:rsidR="008C0A15" w:rsidRDefault="008C0A15" w:rsidP="008C0A15">
            <w:pPr>
              <w:rPr>
                <w:rFonts w:eastAsiaTheme="minorEastAsia"/>
              </w:rPr>
            </w:pPr>
            <w:r>
              <w:rPr>
                <w:rFonts w:eastAsiaTheme="minorEastAsia"/>
              </w:rPr>
              <w:t>0.1837</w:t>
            </w:r>
          </w:p>
        </w:tc>
      </w:tr>
    </w:tbl>
    <w:p w:rsidR="008C0A15" w:rsidRDefault="008C0A15" w:rsidP="008C0A15">
      <w:pPr>
        <w:pStyle w:val="EndnoteText"/>
        <w:spacing w:line="360" w:lineRule="auto"/>
        <w:rPr>
          <w:b/>
          <w:sz w:val="24"/>
          <w:szCs w:val="24"/>
        </w:rPr>
      </w:pPr>
    </w:p>
    <w:p w:rsidR="008C0A15" w:rsidRPr="005107B1" w:rsidRDefault="005107B1" w:rsidP="008C0A15">
      <w:pPr>
        <w:pStyle w:val="EndnoteText"/>
        <w:spacing w:line="360" w:lineRule="auto"/>
        <w:rPr>
          <w:b/>
          <w:sz w:val="24"/>
          <w:szCs w:val="24"/>
        </w:rPr>
      </w:pPr>
      <w:r>
        <w:rPr>
          <w:b/>
          <w:sz w:val="24"/>
          <w:szCs w:val="24"/>
        </w:rPr>
        <w:t>Table C</w:t>
      </w:r>
      <w:r w:rsidR="008C0A15">
        <w:rPr>
          <w:b/>
          <w:sz w:val="24"/>
          <w:szCs w:val="24"/>
        </w:rPr>
        <w:t xml:space="preserve">2. </w:t>
      </w:r>
      <w:r w:rsidR="008C0A15">
        <w:rPr>
          <w:sz w:val="24"/>
          <w:szCs w:val="24"/>
        </w:rPr>
        <w:t>In-sample moneyness and maturity based RMSE, MAE, MAPE values for the Black-Scholes model and the CEV model.</w:t>
      </w:r>
    </w:p>
    <w:p w:rsidR="008C0A15" w:rsidRPr="002307F9" w:rsidRDefault="008C0A15" w:rsidP="008C0A15">
      <w:pPr>
        <w:pStyle w:val="Style25"/>
        <w:tabs>
          <w:tab w:val="center" w:pos="5823"/>
          <w:tab w:val="right" w:pos="9645"/>
        </w:tabs>
        <w:spacing w:before="240" w:line="360" w:lineRule="auto"/>
        <w:ind w:left="0" w:firstLine="0"/>
      </w:pPr>
      <w:r w:rsidRPr="007E79B0">
        <w:rPr>
          <w:noProof/>
          <w:sz w:val="24"/>
          <w:szCs w:val="24"/>
        </w:rPr>
        <w:drawing>
          <wp:inline distT="0" distB="0" distL="0" distR="0" wp14:anchorId="182969DB" wp14:editId="07CEB7D3">
            <wp:extent cx="5943600" cy="70381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43600" cy="7038158"/>
                    </a:xfrm>
                    <a:prstGeom prst="rect">
                      <a:avLst/>
                    </a:prstGeom>
                    <a:noFill/>
                    <a:ln>
                      <a:noFill/>
                    </a:ln>
                  </pic:spPr>
                </pic:pic>
              </a:graphicData>
            </a:graphic>
          </wp:inline>
        </w:drawing>
      </w:r>
    </w:p>
    <w:p w:rsidR="008C0A15" w:rsidRDefault="008C0A15" w:rsidP="008C0A15">
      <w:pPr>
        <w:pStyle w:val="EndnoteText"/>
        <w:spacing w:line="360" w:lineRule="auto"/>
        <w:rPr>
          <w:b/>
          <w:sz w:val="24"/>
          <w:szCs w:val="24"/>
        </w:rPr>
      </w:pPr>
    </w:p>
    <w:p w:rsidR="00A236D7" w:rsidRPr="008435B4" w:rsidRDefault="00A236D7" w:rsidP="008C0A15">
      <w:pPr>
        <w:pStyle w:val="EndnoteText"/>
        <w:spacing w:line="360" w:lineRule="auto"/>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419" w:rsidRDefault="00C56419" w:rsidP="00684F0A">
      <w:r>
        <w:separator/>
      </w:r>
    </w:p>
  </w:footnote>
  <w:footnote w:type="continuationSeparator" w:id="0">
    <w:p w:rsidR="00C56419" w:rsidRDefault="00C56419" w:rsidP="00684F0A">
      <w:r>
        <w:continuationSeparator/>
      </w:r>
    </w:p>
  </w:footnote>
  <w:footnote w:id="1">
    <w:p w:rsidR="00A236D7" w:rsidRPr="00EC4BCB" w:rsidRDefault="00277E43">
      <w:pPr>
        <w:pStyle w:val="FootnoteText"/>
        <w:rPr>
          <w:sz w:val="28"/>
          <w:szCs w:val="28"/>
        </w:rPr>
      </w:pPr>
      <w:r>
        <w:rPr>
          <w:rStyle w:val="FootnoteReference"/>
          <w:rFonts w:ascii="Times New Roman" w:hAnsi="Times New Roman" w:cs="Times New Roman"/>
          <w:sz w:val="24"/>
          <w:szCs w:val="24"/>
        </w:rPr>
        <w:t>1</w:t>
      </w:r>
      <w:r w:rsidR="00A236D7">
        <w:rPr>
          <w:sz w:val="24"/>
          <w:szCs w:val="24"/>
        </w:rPr>
        <w:t xml:space="preserve"> Note that N(-</w:t>
      </w:r>
      <w:r w:rsidR="00A236D7" w:rsidRPr="00556293">
        <w:rPr>
          <w:b/>
          <w:bCs/>
          <w:position w:val="-6"/>
          <w:sz w:val="24"/>
          <w:szCs w:val="24"/>
        </w:rPr>
        <w:object w:dxaOrig="840" w:dyaOrig="340">
          <v:shape id="_x0000_i1069" type="#_x0000_t75" style="width:43.5pt;height:14.25pt" o:ole="" fillcolor="window">
            <v:imagedata r:id="rId1" o:title=""/>
          </v:shape>
          <o:OLEObject Type="Embed" ProgID="Equation.DSMT4" ShapeID="_x0000_i1069" DrawAspect="Content" ObjectID="_1520260004" r:id="rId2"/>
        </w:object>
      </w:r>
      <w:r w:rsidR="00A236D7">
        <w:rPr>
          <w:sz w:val="24"/>
          <w:szCs w:val="24"/>
        </w:rPr>
        <w:t>) = 1 - N(</w:t>
      </w:r>
      <w:r w:rsidR="00A236D7" w:rsidRPr="00556293">
        <w:rPr>
          <w:b/>
          <w:bCs/>
          <w:position w:val="-6"/>
          <w:sz w:val="24"/>
          <w:szCs w:val="24"/>
        </w:rPr>
        <w:object w:dxaOrig="840" w:dyaOrig="340">
          <v:shape id="_x0000_i1070" type="#_x0000_t75" style="width:43.5pt;height:14.25pt" o:ole="" fillcolor="window">
            <v:imagedata r:id="rId3" o:title=""/>
          </v:shape>
          <o:OLEObject Type="Embed" ProgID="Equation.DSMT4" ShapeID="_x0000_i1070" DrawAspect="Content" ObjectID="_1520260005" r:id="rId4"/>
        </w:object>
      </w:r>
      <w:r w:rsidR="00A236D7">
        <w:rPr>
          <w:sz w:val="24"/>
          <w:szCs w:val="24"/>
        </w:rPr>
        <w:t>).</w:t>
      </w:r>
    </w:p>
  </w:footnote>
  <w:footnote w:id="2">
    <w:p w:rsidR="00A236D7" w:rsidRPr="00F2043D" w:rsidRDefault="00277E43">
      <w:pPr>
        <w:pStyle w:val="FootnoteText"/>
        <w:rPr>
          <w:rFonts w:ascii="Times New Roman" w:hAnsi="Times New Roman" w:cs="Times New Roman"/>
          <w:sz w:val="24"/>
          <w:szCs w:val="24"/>
        </w:rPr>
      </w:pPr>
      <w:r>
        <w:rPr>
          <w:rFonts w:ascii="Times New Roman" w:hAnsi="Times New Roman" w:cs="Times New Roman"/>
          <w:sz w:val="24"/>
          <w:szCs w:val="24"/>
        </w:rPr>
        <w:t xml:space="preserve">2 </w:t>
      </w:r>
      <w:r w:rsidR="00A236D7" w:rsidRPr="00F2043D">
        <w:rPr>
          <w:rFonts w:ascii="Times New Roman" w:hAnsi="Times New Roman" w:cs="Times New Roman"/>
          <w:sz w:val="24"/>
          <w:szCs w:val="24"/>
        </w:rPr>
        <w:t>Given S=K, the BS model becomes C=S[N(</w:t>
      </w:r>
      <w:r w:rsidR="00A236D7" w:rsidRPr="00F2043D">
        <w:rPr>
          <w:rFonts w:ascii="Times New Roman" w:hAnsi="Times New Roman" w:cs="Times New Roman"/>
          <w:b/>
          <w:bCs/>
          <w:position w:val="-6"/>
          <w:sz w:val="24"/>
          <w:szCs w:val="24"/>
        </w:rPr>
        <w:object w:dxaOrig="840" w:dyaOrig="340">
          <v:shape id="_x0000_i1071" type="#_x0000_t75" style="width:43.5pt;height:14.25pt" o:ole="" fillcolor="window">
            <v:imagedata r:id="rId5" o:title=""/>
          </v:shape>
          <o:OLEObject Type="Embed" ProgID="Equation.DSMT4" ShapeID="_x0000_i1071" DrawAspect="Content" ObjectID="_1520260006" r:id="rId6"/>
        </w:object>
      </w:r>
      <w:r w:rsidR="00A236D7" w:rsidRPr="00F2043D">
        <w:rPr>
          <w:rFonts w:ascii="Times New Roman" w:hAnsi="Times New Roman" w:cs="Times New Roman"/>
          <w:sz w:val="24"/>
          <w:szCs w:val="24"/>
        </w:rPr>
        <w:t>)-N(-</w:t>
      </w:r>
      <w:r w:rsidR="00A236D7" w:rsidRPr="00F2043D">
        <w:rPr>
          <w:rFonts w:ascii="Times New Roman" w:hAnsi="Times New Roman" w:cs="Times New Roman"/>
          <w:b/>
          <w:bCs/>
          <w:position w:val="-6"/>
          <w:sz w:val="24"/>
          <w:szCs w:val="24"/>
        </w:rPr>
        <w:object w:dxaOrig="840" w:dyaOrig="340">
          <v:shape id="_x0000_i1072" type="#_x0000_t75" style="width:43.5pt;height:14.25pt" o:ole="" fillcolor="window">
            <v:imagedata r:id="rId5" o:title=""/>
          </v:shape>
          <o:OLEObject Type="Embed" ProgID="Equation.DSMT4" ShapeID="_x0000_i1072" DrawAspect="Content" ObjectID="_1520260007" r:id="rId7"/>
        </w:object>
      </w:r>
      <w:r w:rsidR="00A236D7" w:rsidRPr="00F2043D">
        <w:rPr>
          <w:rFonts w:ascii="Times New Roman" w:hAnsi="Times New Roman" w:cs="Times New Roman"/>
          <w:sz w:val="24"/>
          <w:szCs w:val="24"/>
        </w:rPr>
        <w:t>)]=S[N(</w:t>
      </w:r>
      <w:r w:rsidR="00A236D7" w:rsidRPr="00F2043D">
        <w:rPr>
          <w:rFonts w:ascii="Times New Roman" w:hAnsi="Times New Roman" w:cs="Times New Roman"/>
          <w:b/>
          <w:bCs/>
          <w:position w:val="-6"/>
          <w:sz w:val="24"/>
          <w:szCs w:val="24"/>
        </w:rPr>
        <w:object w:dxaOrig="840" w:dyaOrig="340">
          <v:shape id="_x0000_i1073" type="#_x0000_t75" style="width:43.5pt;height:14.25pt" o:ole="" fillcolor="window">
            <v:imagedata r:id="rId5" o:title=""/>
          </v:shape>
          <o:OLEObject Type="Embed" ProgID="Equation.DSMT4" ShapeID="_x0000_i1073" DrawAspect="Content" ObjectID="_1520260008" r:id="rId8"/>
        </w:object>
      </w:r>
      <w:r w:rsidR="00A236D7" w:rsidRPr="00F2043D">
        <w:rPr>
          <w:rFonts w:ascii="Times New Roman" w:hAnsi="Times New Roman" w:cs="Times New Roman"/>
          <w:sz w:val="24"/>
          <w:szCs w:val="24"/>
        </w:rPr>
        <w:t>)-(1-(N(</w:t>
      </w:r>
      <w:r w:rsidR="00A236D7" w:rsidRPr="00F2043D">
        <w:rPr>
          <w:rFonts w:ascii="Times New Roman" w:hAnsi="Times New Roman" w:cs="Times New Roman"/>
          <w:b/>
          <w:bCs/>
          <w:position w:val="-6"/>
          <w:sz w:val="24"/>
          <w:szCs w:val="24"/>
        </w:rPr>
        <w:object w:dxaOrig="840" w:dyaOrig="340">
          <v:shape id="_x0000_i1074" type="#_x0000_t75" style="width:43.5pt;height:14.25pt" o:ole="" fillcolor="window">
            <v:imagedata r:id="rId5" o:title=""/>
          </v:shape>
          <o:OLEObject Type="Embed" ProgID="Equation.DSMT4" ShapeID="_x0000_i1074" DrawAspect="Content" ObjectID="_1520260009" r:id="rId9"/>
        </w:object>
      </w:r>
      <w:r w:rsidR="00A236D7" w:rsidRPr="00F2043D">
        <w:rPr>
          <w:rFonts w:ascii="Times New Roman" w:hAnsi="Times New Roman" w:cs="Times New Roman"/>
          <w:sz w:val="24"/>
          <w:szCs w:val="24"/>
        </w:rPr>
        <w:t>))] = -S + 2 SN(</w:t>
      </w:r>
      <w:r w:rsidR="00A236D7" w:rsidRPr="00F2043D">
        <w:rPr>
          <w:rFonts w:ascii="Times New Roman" w:hAnsi="Times New Roman" w:cs="Times New Roman"/>
          <w:b/>
          <w:bCs/>
          <w:position w:val="-6"/>
          <w:sz w:val="24"/>
          <w:szCs w:val="24"/>
        </w:rPr>
        <w:object w:dxaOrig="840" w:dyaOrig="340">
          <v:shape id="_x0000_i1075" type="#_x0000_t75" style="width:43.5pt;height:14.25pt" o:ole="" fillcolor="window">
            <v:imagedata r:id="rId5" o:title=""/>
          </v:shape>
          <o:OLEObject Type="Embed" ProgID="Equation.DSMT4" ShapeID="_x0000_i1075" DrawAspect="Content" ObjectID="_1520260010" r:id="rId10"/>
        </w:object>
      </w:r>
      <w:r w:rsidR="00A236D7" w:rsidRPr="00F2043D">
        <w:rPr>
          <w:rFonts w:ascii="Times New Roman" w:hAnsi="Times New Roman" w:cs="Times New Roman"/>
          <w:sz w:val="24"/>
          <w:szCs w:val="24"/>
        </w:rPr>
        <w:t>), solve the ISD yields equation (4.</w:t>
      </w:r>
      <w:r w:rsidR="000270DA">
        <w:rPr>
          <w:rFonts w:ascii="Times New Roman" w:hAnsi="Times New Roman" w:cs="Times New Roman"/>
          <w:sz w:val="24"/>
          <w:szCs w:val="24"/>
        </w:rPr>
        <w:t>7</w:t>
      </w:r>
      <w:r w:rsidR="00A236D7" w:rsidRPr="00F2043D">
        <w:rPr>
          <w:rFonts w:ascii="Times New Roman" w:hAnsi="Times New Roman" w:cs="Times New Roman"/>
          <w:sz w:val="24"/>
          <w:szCs w:val="24"/>
        </w:rPr>
        <w:t xml:space="preserve">).  </w:t>
      </w:r>
    </w:p>
  </w:footnote>
  <w:footnote w:id="3">
    <w:p w:rsidR="00A236D7" w:rsidRDefault="00277E43" w:rsidP="00D778E8">
      <w:pPr>
        <w:pStyle w:val="EndnoteText"/>
        <w:rPr>
          <w:sz w:val="24"/>
          <w:szCs w:val="24"/>
        </w:rPr>
      </w:pPr>
      <w:r>
        <w:rPr>
          <w:rStyle w:val="EndnoteReference"/>
          <w:sz w:val="28"/>
          <w:szCs w:val="28"/>
        </w:rPr>
        <w:t>3</w:t>
      </w:r>
      <m:oMath>
        <m:r>
          <w:rPr>
            <w:rFonts w:ascii="Cambria Math" w:hAnsi="Cambria Math"/>
            <w:sz w:val="28"/>
            <w:szCs w:val="28"/>
          </w:rPr>
          <m:t xml:space="preserve"> </m:t>
        </m:r>
      </m:oMath>
      <w:r w:rsidR="00A236D7">
        <w:rPr>
          <w:sz w:val="24"/>
          <w:szCs w:val="24"/>
        </w:rPr>
        <w:t xml:space="preserve">The function used to calculate the inverse cumulative normal function is named as “NORMSINV” in </w:t>
      </w:r>
      <w:r w:rsidR="00A236D7">
        <w:rPr>
          <w:i/>
          <w:iCs/>
          <w:sz w:val="24"/>
          <w:szCs w:val="24"/>
        </w:rPr>
        <w:t>f</w:t>
      </w:r>
      <w:r w:rsidR="00A236D7">
        <w:rPr>
          <w:i/>
          <w:iCs/>
          <w:sz w:val="24"/>
          <w:szCs w:val="24"/>
          <w:vertAlign w:val="subscript"/>
        </w:rPr>
        <w:t>x</w:t>
      </w:r>
      <w:r w:rsidR="00A236D7">
        <w:rPr>
          <w:sz w:val="24"/>
          <w:szCs w:val="24"/>
        </w:rPr>
        <w:t xml:space="preserve"> of the Excel.</w:t>
      </w:r>
    </w:p>
    <w:p w:rsidR="00A236D7" w:rsidRDefault="00A236D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007E"/>
    <w:multiLevelType w:val="singleLevel"/>
    <w:tmpl w:val="E1540662"/>
    <w:lvl w:ilvl="0">
      <w:start w:val="1"/>
      <w:numFmt w:val="lowerLetter"/>
      <w:lvlText w:val="%1)"/>
      <w:legacy w:legacy="1" w:legacySpace="0" w:legacyIndent="317"/>
      <w:lvlJc w:val="left"/>
      <w:rPr>
        <w:rFonts w:ascii="Times New Roman" w:hAnsi="Times New Roman" w:cs="Times New Roman" w:hint="default"/>
      </w:rPr>
    </w:lvl>
  </w:abstractNum>
  <w:abstractNum w:abstractNumId="1">
    <w:nsid w:val="2C39458E"/>
    <w:multiLevelType w:val="hybridMultilevel"/>
    <w:tmpl w:val="EDBA8982"/>
    <w:lvl w:ilvl="0" w:tplc="F014EF88">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BB6873"/>
    <w:multiLevelType w:val="hybridMultilevel"/>
    <w:tmpl w:val="4AB6AC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71287D"/>
    <w:multiLevelType w:val="singleLevel"/>
    <w:tmpl w:val="EB0E0932"/>
    <w:lvl w:ilvl="0">
      <w:start w:val="1"/>
      <w:numFmt w:val="upperLetter"/>
      <w:lvlText w:val="%1)"/>
      <w:legacy w:legacy="1" w:legacySpace="0" w:legacyIndent="446"/>
      <w:lvlJc w:val="left"/>
      <w:rPr>
        <w:rFonts w:ascii="Times New Roman" w:hAnsi="Times New Roman" w:cs="Times New Roman" w:hint="default"/>
      </w:rPr>
    </w:lvl>
  </w:abstractNum>
  <w:abstractNum w:abstractNumId="4">
    <w:nsid w:val="5D2E70B7"/>
    <w:multiLevelType w:val="hybridMultilevel"/>
    <w:tmpl w:val="302C6E18"/>
    <w:lvl w:ilvl="0" w:tplc="FBB288B6">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C21F4"/>
    <w:multiLevelType w:val="hybridMultilevel"/>
    <w:tmpl w:val="4D02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661DD7"/>
    <w:multiLevelType w:val="hybridMultilevel"/>
    <w:tmpl w:val="56EC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D7EEF"/>
    <w:multiLevelType w:val="multilevel"/>
    <w:tmpl w:val="D09EE3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
    <w:lvlOverride w:ilvl="0">
      <w:lvl w:ilvl="0">
        <w:start w:val="1"/>
        <w:numFmt w:val="upperLetter"/>
        <w:lvlText w:val="%1)"/>
        <w:legacy w:legacy="1" w:legacySpace="0" w:legacyIndent="447"/>
        <w:lvlJc w:val="left"/>
        <w:rPr>
          <w:rFonts w:ascii="Times New Roman" w:hAnsi="Times New Roman" w:cs="Times New Roman" w:hint="default"/>
        </w:rPr>
      </w:lvl>
    </w:lvlOverride>
  </w:num>
  <w:num w:numId="3">
    <w:abstractNumId w:val="0"/>
  </w:num>
  <w:num w:numId="4">
    <w:abstractNumId w:val="1"/>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0A"/>
    <w:rsid w:val="00003F93"/>
    <w:rsid w:val="00004177"/>
    <w:rsid w:val="00025C5D"/>
    <w:rsid w:val="000270DA"/>
    <w:rsid w:val="00043FAF"/>
    <w:rsid w:val="00091E64"/>
    <w:rsid w:val="000B576B"/>
    <w:rsid w:val="000C7639"/>
    <w:rsid w:val="000D22D4"/>
    <w:rsid w:val="000D7B27"/>
    <w:rsid w:val="000F4890"/>
    <w:rsid w:val="00110C86"/>
    <w:rsid w:val="00165CA6"/>
    <w:rsid w:val="00184DFA"/>
    <w:rsid w:val="001B0DAB"/>
    <w:rsid w:val="001E0BFD"/>
    <w:rsid w:val="001E64CE"/>
    <w:rsid w:val="0022101F"/>
    <w:rsid w:val="00221F10"/>
    <w:rsid w:val="002307F9"/>
    <w:rsid w:val="00231198"/>
    <w:rsid w:val="00252D82"/>
    <w:rsid w:val="002617AF"/>
    <w:rsid w:val="00277E43"/>
    <w:rsid w:val="00292CE6"/>
    <w:rsid w:val="00296516"/>
    <w:rsid w:val="002D37AB"/>
    <w:rsid w:val="002D59FC"/>
    <w:rsid w:val="002E7622"/>
    <w:rsid w:val="003028DD"/>
    <w:rsid w:val="00355088"/>
    <w:rsid w:val="003A3275"/>
    <w:rsid w:val="003B0F72"/>
    <w:rsid w:val="003D2657"/>
    <w:rsid w:val="00403337"/>
    <w:rsid w:val="00424CA4"/>
    <w:rsid w:val="00434533"/>
    <w:rsid w:val="00453FDE"/>
    <w:rsid w:val="00455679"/>
    <w:rsid w:val="004569D6"/>
    <w:rsid w:val="005107B1"/>
    <w:rsid w:val="00521A11"/>
    <w:rsid w:val="00562BC1"/>
    <w:rsid w:val="00570BD0"/>
    <w:rsid w:val="00575C93"/>
    <w:rsid w:val="00585AE9"/>
    <w:rsid w:val="005B7E49"/>
    <w:rsid w:val="005D46DC"/>
    <w:rsid w:val="005D6A02"/>
    <w:rsid w:val="005E1205"/>
    <w:rsid w:val="005E3526"/>
    <w:rsid w:val="005F3A58"/>
    <w:rsid w:val="005F424A"/>
    <w:rsid w:val="00664E62"/>
    <w:rsid w:val="00684F0A"/>
    <w:rsid w:val="006A3DA0"/>
    <w:rsid w:val="006B6846"/>
    <w:rsid w:val="006C1ECF"/>
    <w:rsid w:val="006D1960"/>
    <w:rsid w:val="006E6C3E"/>
    <w:rsid w:val="007234F5"/>
    <w:rsid w:val="00736DBB"/>
    <w:rsid w:val="0074599A"/>
    <w:rsid w:val="0076768D"/>
    <w:rsid w:val="00793818"/>
    <w:rsid w:val="007D382D"/>
    <w:rsid w:val="007F0B5A"/>
    <w:rsid w:val="00801B5E"/>
    <w:rsid w:val="00806508"/>
    <w:rsid w:val="00807EA1"/>
    <w:rsid w:val="00810743"/>
    <w:rsid w:val="00820830"/>
    <w:rsid w:val="00837936"/>
    <w:rsid w:val="008435B4"/>
    <w:rsid w:val="008C0537"/>
    <w:rsid w:val="008C0A15"/>
    <w:rsid w:val="008E006F"/>
    <w:rsid w:val="009000D0"/>
    <w:rsid w:val="00927E45"/>
    <w:rsid w:val="00936C3C"/>
    <w:rsid w:val="00972F5C"/>
    <w:rsid w:val="009C4615"/>
    <w:rsid w:val="009D2FE6"/>
    <w:rsid w:val="009D7D6D"/>
    <w:rsid w:val="009E015E"/>
    <w:rsid w:val="00A028BB"/>
    <w:rsid w:val="00A236D7"/>
    <w:rsid w:val="00A636B9"/>
    <w:rsid w:val="00A7261F"/>
    <w:rsid w:val="00AC471E"/>
    <w:rsid w:val="00AC4D2C"/>
    <w:rsid w:val="00AD7FFC"/>
    <w:rsid w:val="00AE7593"/>
    <w:rsid w:val="00AF2158"/>
    <w:rsid w:val="00B1484D"/>
    <w:rsid w:val="00B55E59"/>
    <w:rsid w:val="00B71CE6"/>
    <w:rsid w:val="00BF2279"/>
    <w:rsid w:val="00C15829"/>
    <w:rsid w:val="00C23735"/>
    <w:rsid w:val="00C56419"/>
    <w:rsid w:val="00C76E48"/>
    <w:rsid w:val="00C8677C"/>
    <w:rsid w:val="00CC7FE1"/>
    <w:rsid w:val="00CE2599"/>
    <w:rsid w:val="00CF42DA"/>
    <w:rsid w:val="00D7782E"/>
    <w:rsid w:val="00D778E8"/>
    <w:rsid w:val="00D834EB"/>
    <w:rsid w:val="00D918F4"/>
    <w:rsid w:val="00E1374D"/>
    <w:rsid w:val="00E207E6"/>
    <w:rsid w:val="00E27E09"/>
    <w:rsid w:val="00E35714"/>
    <w:rsid w:val="00E6390C"/>
    <w:rsid w:val="00E82699"/>
    <w:rsid w:val="00EA0E06"/>
    <w:rsid w:val="00EB456D"/>
    <w:rsid w:val="00EB72BB"/>
    <w:rsid w:val="00EC4BCB"/>
    <w:rsid w:val="00EF272E"/>
    <w:rsid w:val="00F04A6B"/>
    <w:rsid w:val="00F050D7"/>
    <w:rsid w:val="00F2043D"/>
    <w:rsid w:val="00F225E6"/>
    <w:rsid w:val="00FA5348"/>
    <w:rsid w:val="00FC14BD"/>
    <w:rsid w:val="00FC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0A"/>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uiPriority w:val="9"/>
    <w:qFormat/>
    <w:rsid w:val="00684F0A"/>
    <w:pPr>
      <w:keepNext/>
      <w:widowControl/>
      <w:outlineLvl w:val="0"/>
    </w:pPr>
    <w:rPr>
      <w:b/>
      <w:bCs/>
      <w:kern w:val="0"/>
    </w:rPr>
  </w:style>
  <w:style w:type="paragraph" w:styleId="Heading2">
    <w:name w:val="heading 2"/>
    <w:basedOn w:val="Normal"/>
    <w:next w:val="Normal"/>
    <w:link w:val="Heading2Char"/>
    <w:uiPriority w:val="9"/>
    <w:unhideWhenUsed/>
    <w:qFormat/>
    <w:rsid w:val="008435B4"/>
    <w:pPr>
      <w:keepNext/>
      <w:keepLines/>
      <w:widowControl/>
      <w:spacing w:before="200" w:line="276" w:lineRule="auto"/>
      <w:outlineLvl w:val="1"/>
    </w:pPr>
    <w:rPr>
      <w:rFonts w:asciiTheme="majorHAnsi" w:eastAsiaTheme="majorEastAsia" w:hAnsiTheme="majorHAnsi" w:cstheme="majorBidi"/>
      <w:b/>
      <w:bCs/>
      <w:color w:val="5B9BD5" w:themeColor="accent1"/>
      <w:kern w:val="0"/>
      <w:sz w:val="26"/>
      <w:szCs w:val="26"/>
      <w:lang w:eastAsia="en-US"/>
    </w:rPr>
  </w:style>
  <w:style w:type="paragraph" w:styleId="Heading3">
    <w:name w:val="heading 3"/>
    <w:basedOn w:val="Normal"/>
    <w:next w:val="Normal"/>
    <w:link w:val="Heading3Char"/>
    <w:uiPriority w:val="9"/>
    <w:unhideWhenUsed/>
    <w:qFormat/>
    <w:rsid w:val="008435B4"/>
    <w:pPr>
      <w:keepNext/>
      <w:keepLines/>
      <w:widowControl/>
      <w:spacing w:before="200" w:line="276" w:lineRule="auto"/>
      <w:outlineLvl w:val="2"/>
    </w:pPr>
    <w:rPr>
      <w:rFonts w:asciiTheme="majorHAnsi" w:eastAsiaTheme="majorEastAsia" w:hAnsiTheme="majorHAnsi" w:cstheme="majorBidi"/>
      <w:b/>
      <w:bCs/>
      <w:color w:val="5B9BD5" w:themeColor="accent1"/>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F0A"/>
    <w:rPr>
      <w:rFonts w:ascii="Times New Roman" w:eastAsia="PMingLiU" w:hAnsi="Times New Roman" w:cs="Times New Roman"/>
      <w:b/>
      <w:bCs/>
      <w:sz w:val="24"/>
      <w:szCs w:val="24"/>
      <w:lang w:eastAsia="zh-TW"/>
    </w:rPr>
  </w:style>
  <w:style w:type="character" w:customStyle="1" w:styleId="Heading2Char">
    <w:name w:val="Heading 2 Char"/>
    <w:basedOn w:val="DefaultParagraphFont"/>
    <w:link w:val="Heading2"/>
    <w:uiPriority w:val="9"/>
    <w:rsid w:val="008435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35B4"/>
    <w:rPr>
      <w:rFonts w:asciiTheme="majorHAnsi" w:eastAsiaTheme="majorEastAsia" w:hAnsiTheme="majorHAnsi" w:cstheme="majorBidi"/>
      <w:b/>
      <w:bCs/>
      <w:color w:val="5B9BD5" w:themeColor="accent1"/>
    </w:rPr>
  </w:style>
  <w:style w:type="character" w:styleId="EndnoteReference">
    <w:name w:val="endnote reference"/>
    <w:basedOn w:val="DefaultParagraphFont"/>
    <w:uiPriority w:val="99"/>
    <w:semiHidden/>
    <w:rsid w:val="00684F0A"/>
    <w:rPr>
      <w:rFonts w:cs="Times New Roman"/>
      <w:vertAlign w:val="superscript"/>
    </w:rPr>
  </w:style>
  <w:style w:type="paragraph" w:styleId="Caption">
    <w:name w:val="caption"/>
    <w:basedOn w:val="Normal"/>
    <w:next w:val="Normal"/>
    <w:uiPriority w:val="99"/>
    <w:qFormat/>
    <w:rsid w:val="00684F0A"/>
    <w:pPr>
      <w:widowControl/>
      <w:spacing w:before="120" w:after="120"/>
    </w:pPr>
    <w:rPr>
      <w:b/>
      <w:bCs/>
      <w:kern w:val="0"/>
    </w:rPr>
  </w:style>
  <w:style w:type="paragraph" w:styleId="BodyTextIndent">
    <w:name w:val="Body Text Indent"/>
    <w:basedOn w:val="Normal"/>
    <w:link w:val="BodyTextIndentChar"/>
    <w:uiPriority w:val="99"/>
    <w:rsid w:val="00684F0A"/>
    <w:pPr>
      <w:widowControl/>
      <w:spacing w:line="480" w:lineRule="auto"/>
      <w:ind w:firstLine="720"/>
    </w:pPr>
    <w:rPr>
      <w:kern w:val="0"/>
    </w:rPr>
  </w:style>
  <w:style w:type="character" w:customStyle="1" w:styleId="BodyTextIndentChar">
    <w:name w:val="Body Text Indent Char"/>
    <w:basedOn w:val="DefaultParagraphFont"/>
    <w:link w:val="BodyTextIndent"/>
    <w:uiPriority w:val="99"/>
    <w:rsid w:val="00684F0A"/>
    <w:rPr>
      <w:rFonts w:ascii="Times New Roman" w:eastAsia="PMingLiU" w:hAnsi="Times New Roman" w:cs="Times New Roman"/>
      <w:sz w:val="24"/>
      <w:szCs w:val="24"/>
      <w:lang w:eastAsia="zh-TW"/>
    </w:rPr>
  </w:style>
  <w:style w:type="paragraph" w:styleId="EndnoteText">
    <w:name w:val="endnote text"/>
    <w:basedOn w:val="Normal"/>
    <w:link w:val="EndnoteTextChar"/>
    <w:uiPriority w:val="99"/>
    <w:semiHidden/>
    <w:rsid w:val="00684F0A"/>
    <w:pPr>
      <w:widowControl/>
    </w:pPr>
    <w:rPr>
      <w:kern w:val="0"/>
      <w:sz w:val="20"/>
      <w:szCs w:val="20"/>
    </w:rPr>
  </w:style>
  <w:style w:type="character" w:customStyle="1" w:styleId="EndnoteTextChar">
    <w:name w:val="Endnote Text Char"/>
    <w:basedOn w:val="DefaultParagraphFont"/>
    <w:link w:val="EndnoteText"/>
    <w:uiPriority w:val="99"/>
    <w:semiHidden/>
    <w:rsid w:val="00684F0A"/>
    <w:rPr>
      <w:rFonts w:ascii="Times New Roman" w:eastAsia="PMingLiU" w:hAnsi="Times New Roman" w:cs="Times New Roman"/>
      <w:sz w:val="20"/>
      <w:szCs w:val="20"/>
      <w:lang w:eastAsia="zh-TW"/>
    </w:rPr>
  </w:style>
  <w:style w:type="paragraph" w:styleId="BodyText2">
    <w:name w:val="Body Text 2"/>
    <w:basedOn w:val="Normal"/>
    <w:link w:val="BodyText2Char"/>
    <w:uiPriority w:val="99"/>
    <w:rsid w:val="00684F0A"/>
    <w:pPr>
      <w:spacing w:line="480" w:lineRule="auto"/>
      <w:jc w:val="center"/>
    </w:pPr>
  </w:style>
  <w:style w:type="character" w:customStyle="1" w:styleId="BodyText2Char">
    <w:name w:val="Body Text 2 Char"/>
    <w:basedOn w:val="DefaultParagraphFont"/>
    <w:link w:val="BodyText2"/>
    <w:uiPriority w:val="99"/>
    <w:rsid w:val="00684F0A"/>
    <w:rPr>
      <w:rFonts w:ascii="Times New Roman" w:eastAsia="PMingLiU" w:hAnsi="Times New Roman" w:cs="Times New Roman"/>
      <w:kern w:val="2"/>
      <w:sz w:val="24"/>
      <w:szCs w:val="24"/>
      <w:lang w:eastAsia="zh-TW"/>
    </w:rPr>
  </w:style>
  <w:style w:type="paragraph" w:styleId="ListParagraph">
    <w:name w:val="List Paragraph"/>
    <w:basedOn w:val="Normal"/>
    <w:uiPriority w:val="34"/>
    <w:qFormat/>
    <w:rsid w:val="00296516"/>
    <w:pPr>
      <w:ind w:left="720"/>
      <w:contextualSpacing/>
    </w:pPr>
  </w:style>
  <w:style w:type="character" w:styleId="PlaceholderText">
    <w:name w:val="Placeholder Text"/>
    <w:basedOn w:val="DefaultParagraphFont"/>
    <w:uiPriority w:val="99"/>
    <w:semiHidden/>
    <w:rsid w:val="00AD7FFC"/>
    <w:rPr>
      <w:color w:val="808080"/>
    </w:rPr>
  </w:style>
  <w:style w:type="paragraph" w:styleId="BalloonText">
    <w:name w:val="Balloon Text"/>
    <w:basedOn w:val="Normal"/>
    <w:link w:val="BalloonTextChar"/>
    <w:uiPriority w:val="99"/>
    <w:semiHidden/>
    <w:unhideWhenUsed/>
    <w:rsid w:val="00AD7FFC"/>
    <w:rPr>
      <w:rFonts w:ascii="Tahoma" w:hAnsi="Tahoma" w:cs="Tahoma"/>
      <w:sz w:val="16"/>
      <w:szCs w:val="16"/>
    </w:rPr>
  </w:style>
  <w:style w:type="character" w:customStyle="1" w:styleId="BalloonTextChar">
    <w:name w:val="Balloon Text Char"/>
    <w:basedOn w:val="DefaultParagraphFont"/>
    <w:link w:val="BalloonText"/>
    <w:uiPriority w:val="99"/>
    <w:semiHidden/>
    <w:rsid w:val="00AD7FFC"/>
    <w:rPr>
      <w:rFonts w:ascii="Tahoma" w:eastAsia="PMingLiU" w:hAnsi="Tahoma" w:cs="Tahoma"/>
      <w:kern w:val="2"/>
      <w:sz w:val="16"/>
      <w:szCs w:val="16"/>
      <w:lang w:eastAsia="zh-TW"/>
    </w:rPr>
  </w:style>
  <w:style w:type="paragraph" w:customStyle="1" w:styleId="Style25">
    <w:name w:val="Style25"/>
    <w:basedOn w:val="Normal"/>
    <w:rsid w:val="008435B4"/>
    <w:pPr>
      <w:widowControl/>
      <w:shd w:val="clear" w:color="auto" w:fill="FFFFFF"/>
      <w:spacing w:line="259" w:lineRule="exact"/>
      <w:ind w:left="2098" w:firstLine="267"/>
      <w:jc w:val="both"/>
    </w:pPr>
    <w:rPr>
      <w:color w:val="000000"/>
      <w:kern w:val="0"/>
      <w:sz w:val="22"/>
      <w:szCs w:val="22"/>
      <w:lang w:eastAsia="en-US"/>
    </w:rPr>
  </w:style>
  <w:style w:type="character" w:styleId="FootnoteReference">
    <w:name w:val="footnote reference"/>
    <w:uiPriority w:val="99"/>
    <w:rsid w:val="008435B4"/>
    <w:rPr>
      <w:vertAlign w:val="superscript"/>
    </w:rPr>
  </w:style>
  <w:style w:type="paragraph" w:customStyle="1" w:styleId="Style24">
    <w:name w:val="Style24"/>
    <w:basedOn w:val="Normal"/>
    <w:link w:val="Style24Char"/>
    <w:rsid w:val="008435B4"/>
    <w:pPr>
      <w:widowControl/>
      <w:shd w:val="clear" w:color="auto" w:fill="FFFFFF"/>
      <w:spacing w:line="259" w:lineRule="exact"/>
      <w:ind w:left="2098" w:firstLine="267"/>
      <w:jc w:val="both"/>
    </w:pPr>
    <w:rPr>
      <w:color w:val="000000"/>
      <w:kern w:val="0"/>
      <w:sz w:val="22"/>
      <w:szCs w:val="22"/>
      <w:lang w:eastAsia="en-US"/>
    </w:rPr>
  </w:style>
  <w:style w:type="character" w:customStyle="1" w:styleId="Style24Char">
    <w:name w:val="Style24 Char"/>
    <w:basedOn w:val="DefaultParagraphFont"/>
    <w:link w:val="Style24"/>
    <w:rsid w:val="008435B4"/>
    <w:rPr>
      <w:rFonts w:ascii="Times New Roman" w:eastAsia="PMingLiU" w:hAnsi="Times New Roman" w:cs="Times New Roman"/>
      <w:color w:val="000000"/>
      <w:shd w:val="clear" w:color="auto" w:fill="FFFFFF"/>
    </w:rPr>
  </w:style>
  <w:style w:type="paragraph" w:customStyle="1" w:styleId="Style3">
    <w:name w:val="Style3"/>
    <w:basedOn w:val="Normal"/>
    <w:rsid w:val="008435B4"/>
    <w:pPr>
      <w:widowControl/>
      <w:shd w:val="clear" w:color="auto" w:fill="FFFFFF"/>
      <w:spacing w:after="120" w:line="260" w:lineRule="exact"/>
      <w:ind w:left="2098" w:firstLine="267"/>
      <w:jc w:val="both"/>
    </w:pPr>
    <w:rPr>
      <w:color w:val="000000"/>
      <w:kern w:val="0"/>
      <w:sz w:val="22"/>
      <w:szCs w:val="22"/>
      <w:lang w:eastAsia="en-US"/>
    </w:rPr>
  </w:style>
  <w:style w:type="paragraph" w:styleId="Title">
    <w:name w:val="Title"/>
    <w:basedOn w:val="Normal"/>
    <w:next w:val="Normal"/>
    <w:link w:val="TitleChar"/>
    <w:uiPriority w:val="10"/>
    <w:qFormat/>
    <w:rsid w:val="008435B4"/>
    <w:pPr>
      <w:widowControl/>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8435B4"/>
    <w:rPr>
      <w:rFonts w:asciiTheme="majorHAnsi" w:eastAsiaTheme="majorEastAsia" w:hAnsiTheme="majorHAnsi" w:cstheme="majorBidi"/>
      <w:color w:val="323E4F" w:themeColor="text2" w:themeShade="BF"/>
      <w:spacing w:val="5"/>
      <w:kern w:val="28"/>
      <w:sz w:val="52"/>
      <w:szCs w:val="52"/>
    </w:rPr>
  </w:style>
  <w:style w:type="paragraph" w:styleId="FootnoteText">
    <w:name w:val="footnote text"/>
    <w:basedOn w:val="Normal"/>
    <w:link w:val="FootnoteTextChar"/>
    <w:uiPriority w:val="99"/>
    <w:unhideWhenUsed/>
    <w:rsid w:val="008435B4"/>
    <w:pPr>
      <w:widowControl/>
    </w:pPr>
    <w:rPr>
      <w:rFonts w:asciiTheme="minorHAnsi" w:eastAsiaTheme="minorEastAsia" w:hAnsi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8435B4"/>
    <w:rPr>
      <w:rFonts w:eastAsiaTheme="minorEastAsia"/>
      <w:sz w:val="20"/>
      <w:szCs w:val="20"/>
    </w:rPr>
  </w:style>
  <w:style w:type="character" w:customStyle="1" w:styleId="MTEquationSection">
    <w:name w:val="MTEquationSection"/>
    <w:basedOn w:val="DefaultParagraphFont"/>
    <w:rsid w:val="008435B4"/>
    <w:rPr>
      <w:vanish/>
      <w:color w:val="FF0000"/>
    </w:rPr>
  </w:style>
  <w:style w:type="paragraph" w:styleId="BodyText">
    <w:name w:val="Body Text"/>
    <w:basedOn w:val="Normal"/>
    <w:link w:val="BodyTextChar"/>
    <w:rsid w:val="008435B4"/>
    <w:pPr>
      <w:widowControl/>
    </w:pPr>
    <w:rPr>
      <w:color w:val="000000"/>
      <w:kern w:val="0"/>
      <w:lang w:eastAsia="en-US"/>
    </w:rPr>
  </w:style>
  <w:style w:type="character" w:customStyle="1" w:styleId="BodyTextChar">
    <w:name w:val="Body Text Char"/>
    <w:basedOn w:val="DefaultParagraphFont"/>
    <w:link w:val="BodyText"/>
    <w:rsid w:val="008435B4"/>
    <w:rPr>
      <w:rFonts w:ascii="Times New Roman" w:eastAsia="PMingLiU" w:hAnsi="Times New Roman" w:cs="Times New Roman"/>
      <w:color w:val="000000"/>
      <w:sz w:val="24"/>
      <w:szCs w:val="24"/>
    </w:rPr>
  </w:style>
  <w:style w:type="paragraph" w:styleId="BodyText3">
    <w:name w:val="Body Text 3"/>
    <w:basedOn w:val="Normal"/>
    <w:link w:val="BodyText3Char"/>
    <w:rsid w:val="008435B4"/>
    <w:pPr>
      <w:widowControl/>
      <w:spacing w:line="360" w:lineRule="auto"/>
      <w:jc w:val="both"/>
    </w:pPr>
    <w:rPr>
      <w:color w:val="000000"/>
      <w:kern w:val="0"/>
      <w:lang w:eastAsia="en-US"/>
    </w:rPr>
  </w:style>
  <w:style w:type="character" w:customStyle="1" w:styleId="BodyText3Char">
    <w:name w:val="Body Text 3 Char"/>
    <w:basedOn w:val="DefaultParagraphFont"/>
    <w:link w:val="BodyText3"/>
    <w:rsid w:val="008435B4"/>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sid w:val="008435B4"/>
    <w:rPr>
      <w:color w:val="0563C1" w:themeColor="hyperlink"/>
      <w:u w:val="single"/>
    </w:rPr>
  </w:style>
  <w:style w:type="character" w:customStyle="1" w:styleId="CommentTextChar">
    <w:name w:val="Comment Text Char"/>
    <w:basedOn w:val="DefaultParagraphFont"/>
    <w:link w:val="CommentText"/>
    <w:uiPriority w:val="99"/>
    <w:semiHidden/>
    <w:rsid w:val="008435B4"/>
    <w:rPr>
      <w:rFonts w:eastAsiaTheme="minorEastAsia"/>
      <w:sz w:val="20"/>
      <w:szCs w:val="20"/>
    </w:rPr>
  </w:style>
  <w:style w:type="paragraph" w:styleId="CommentText">
    <w:name w:val="annotation text"/>
    <w:basedOn w:val="Normal"/>
    <w:link w:val="CommentTextChar"/>
    <w:uiPriority w:val="99"/>
    <w:semiHidden/>
    <w:unhideWhenUsed/>
    <w:rsid w:val="008435B4"/>
    <w:pPr>
      <w:widowControl/>
      <w:spacing w:after="200"/>
    </w:pPr>
    <w:rPr>
      <w:rFonts w:asciiTheme="minorHAnsi" w:eastAsiaTheme="minorEastAsia" w:hAnsiTheme="minorHAnsi" w:cstheme="minorBidi"/>
      <w:kern w:val="0"/>
      <w:sz w:val="20"/>
      <w:szCs w:val="20"/>
      <w:lang w:eastAsia="en-US"/>
    </w:rPr>
  </w:style>
  <w:style w:type="character" w:customStyle="1" w:styleId="CommentSubjectChar">
    <w:name w:val="Comment Subject Char"/>
    <w:basedOn w:val="CommentTextChar"/>
    <w:link w:val="CommentSubject"/>
    <w:uiPriority w:val="99"/>
    <w:semiHidden/>
    <w:rsid w:val="008435B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435B4"/>
    <w:rPr>
      <w:b/>
      <w:bCs/>
    </w:rPr>
  </w:style>
  <w:style w:type="paragraph" w:styleId="Header">
    <w:name w:val="header"/>
    <w:basedOn w:val="Normal"/>
    <w:link w:val="HeaderChar"/>
    <w:uiPriority w:val="99"/>
    <w:unhideWhenUsed/>
    <w:rsid w:val="008435B4"/>
    <w:pPr>
      <w:widowControl/>
      <w:tabs>
        <w:tab w:val="center" w:pos="4680"/>
        <w:tab w:val="right" w:pos="9360"/>
      </w:tabs>
    </w:pPr>
    <w:rPr>
      <w:rFonts w:asciiTheme="minorHAnsi" w:eastAsiaTheme="minorEastAsia" w:hAnsiTheme="minorHAnsi" w:cstheme="minorBidi"/>
      <w:kern w:val="0"/>
      <w:sz w:val="22"/>
      <w:szCs w:val="22"/>
      <w:lang w:eastAsia="en-US"/>
    </w:rPr>
  </w:style>
  <w:style w:type="character" w:customStyle="1" w:styleId="HeaderChar">
    <w:name w:val="Header Char"/>
    <w:basedOn w:val="DefaultParagraphFont"/>
    <w:link w:val="Header"/>
    <w:uiPriority w:val="99"/>
    <w:rsid w:val="008435B4"/>
    <w:rPr>
      <w:rFonts w:eastAsiaTheme="minorEastAsia"/>
    </w:rPr>
  </w:style>
  <w:style w:type="paragraph" w:styleId="Footer">
    <w:name w:val="footer"/>
    <w:basedOn w:val="Normal"/>
    <w:link w:val="FooterChar"/>
    <w:uiPriority w:val="99"/>
    <w:unhideWhenUsed/>
    <w:rsid w:val="008435B4"/>
    <w:pPr>
      <w:widowControl/>
      <w:tabs>
        <w:tab w:val="center" w:pos="4680"/>
        <w:tab w:val="right" w:pos="9360"/>
      </w:tabs>
    </w:pPr>
    <w:rPr>
      <w:rFonts w:asciiTheme="minorHAnsi" w:eastAsiaTheme="minorEastAsia" w:hAnsiTheme="minorHAnsi" w:cstheme="minorBidi"/>
      <w:kern w:val="0"/>
      <w:sz w:val="22"/>
      <w:szCs w:val="22"/>
      <w:lang w:eastAsia="en-US"/>
    </w:rPr>
  </w:style>
  <w:style w:type="character" w:customStyle="1" w:styleId="FooterChar">
    <w:name w:val="Footer Char"/>
    <w:basedOn w:val="DefaultParagraphFont"/>
    <w:link w:val="Footer"/>
    <w:uiPriority w:val="99"/>
    <w:rsid w:val="008435B4"/>
    <w:rPr>
      <w:rFonts w:eastAsiaTheme="minorEastAsia"/>
    </w:rPr>
  </w:style>
  <w:style w:type="table" w:styleId="TableGrid">
    <w:name w:val="Table Grid"/>
    <w:basedOn w:val="TableNormal"/>
    <w:uiPriority w:val="39"/>
    <w:rsid w:val="00C7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0A"/>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uiPriority w:val="9"/>
    <w:qFormat/>
    <w:rsid w:val="00684F0A"/>
    <w:pPr>
      <w:keepNext/>
      <w:widowControl/>
      <w:outlineLvl w:val="0"/>
    </w:pPr>
    <w:rPr>
      <w:b/>
      <w:bCs/>
      <w:kern w:val="0"/>
    </w:rPr>
  </w:style>
  <w:style w:type="paragraph" w:styleId="Heading2">
    <w:name w:val="heading 2"/>
    <w:basedOn w:val="Normal"/>
    <w:next w:val="Normal"/>
    <w:link w:val="Heading2Char"/>
    <w:uiPriority w:val="9"/>
    <w:unhideWhenUsed/>
    <w:qFormat/>
    <w:rsid w:val="008435B4"/>
    <w:pPr>
      <w:keepNext/>
      <w:keepLines/>
      <w:widowControl/>
      <w:spacing w:before="200" w:line="276" w:lineRule="auto"/>
      <w:outlineLvl w:val="1"/>
    </w:pPr>
    <w:rPr>
      <w:rFonts w:asciiTheme="majorHAnsi" w:eastAsiaTheme="majorEastAsia" w:hAnsiTheme="majorHAnsi" w:cstheme="majorBidi"/>
      <w:b/>
      <w:bCs/>
      <w:color w:val="5B9BD5" w:themeColor="accent1"/>
      <w:kern w:val="0"/>
      <w:sz w:val="26"/>
      <w:szCs w:val="26"/>
      <w:lang w:eastAsia="en-US"/>
    </w:rPr>
  </w:style>
  <w:style w:type="paragraph" w:styleId="Heading3">
    <w:name w:val="heading 3"/>
    <w:basedOn w:val="Normal"/>
    <w:next w:val="Normal"/>
    <w:link w:val="Heading3Char"/>
    <w:uiPriority w:val="9"/>
    <w:unhideWhenUsed/>
    <w:qFormat/>
    <w:rsid w:val="008435B4"/>
    <w:pPr>
      <w:keepNext/>
      <w:keepLines/>
      <w:widowControl/>
      <w:spacing w:before="200" w:line="276" w:lineRule="auto"/>
      <w:outlineLvl w:val="2"/>
    </w:pPr>
    <w:rPr>
      <w:rFonts w:asciiTheme="majorHAnsi" w:eastAsiaTheme="majorEastAsia" w:hAnsiTheme="majorHAnsi" w:cstheme="majorBidi"/>
      <w:b/>
      <w:bCs/>
      <w:color w:val="5B9BD5" w:themeColor="accent1"/>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F0A"/>
    <w:rPr>
      <w:rFonts w:ascii="Times New Roman" w:eastAsia="PMingLiU" w:hAnsi="Times New Roman" w:cs="Times New Roman"/>
      <w:b/>
      <w:bCs/>
      <w:sz w:val="24"/>
      <w:szCs w:val="24"/>
      <w:lang w:eastAsia="zh-TW"/>
    </w:rPr>
  </w:style>
  <w:style w:type="character" w:customStyle="1" w:styleId="Heading2Char">
    <w:name w:val="Heading 2 Char"/>
    <w:basedOn w:val="DefaultParagraphFont"/>
    <w:link w:val="Heading2"/>
    <w:uiPriority w:val="9"/>
    <w:rsid w:val="008435B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35B4"/>
    <w:rPr>
      <w:rFonts w:asciiTheme="majorHAnsi" w:eastAsiaTheme="majorEastAsia" w:hAnsiTheme="majorHAnsi" w:cstheme="majorBidi"/>
      <w:b/>
      <w:bCs/>
      <w:color w:val="5B9BD5" w:themeColor="accent1"/>
    </w:rPr>
  </w:style>
  <w:style w:type="character" w:styleId="EndnoteReference">
    <w:name w:val="endnote reference"/>
    <w:basedOn w:val="DefaultParagraphFont"/>
    <w:uiPriority w:val="99"/>
    <w:semiHidden/>
    <w:rsid w:val="00684F0A"/>
    <w:rPr>
      <w:rFonts w:cs="Times New Roman"/>
      <w:vertAlign w:val="superscript"/>
    </w:rPr>
  </w:style>
  <w:style w:type="paragraph" w:styleId="Caption">
    <w:name w:val="caption"/>
    <w:basedOn w:val="Normal"/>
    <w:next w:val="Normal"/>
    <w:uiPriority w:val="99"/>
    <w:qFormat/>
    <w:rsid w:val="00684F0A"/>
    <w:pPr>
      <w:widowControl/>
      <w:spacing w:before="120" w:after="120"/>
    </w:pPr>
    <w:rPr>
      <w:b/>
      <w:bCs/>
      <w:kern w:val="0"/>
    </w:rPr>
  </w:style>
  <w:style w:type="paragraph" w:styleId="BodyTextIndent">
    <w:name w:val="Body Text Indent"/>
    <w:basedOn w:val="Normal"/>
    <w:link w:val="BodyTextIndentChar"/>
    <w:uiPriority w:val="99"/>
    <w:rsid w:val="00684F0A"/>
    <w:pPr>
      <w:widowControl/>
      <w:spacing w:line="480" w:lineRule="auto"/>
      <w:ind w:firstLine="720"/>
    </w:pPr>
    <w:rPr>
      <w:kern w:val="0"/>
    </w:rPr>
  </w:style>
  <w:style w:type="character" w:customStyle="1" w:styleId="BodyTextIndentChar">
    <w:name w:val="Body Text Indent Char"/>
    <w:basedOn w:val="DefaultParagraphFont"/>
    <w:link w:val="BodyTextIndent"/>
    <w:uiPriority w:val="99"/>
    <w:rsid w:val="00684F0A"/>
    <w:rPr>
      <w:rFonts w:ascii="Times New Roman" w:eastAsia="PMingLiU" w:hAnsi="Times New Roman" w:cs="Times New Roman"/>
      <w:sz w:val="24"/>
      <w:szCs w:val="24"/>
      <w:lang w:eastAsia="zh-TW"/>
    </w:rPr>
  </w:style>
  <w:style w:type="paragraph" w:styleId="EndnoteText">
    <w:name w:val="endnote text"/>
    <w:basedOn w:val="Normal"/>
    <w:link w:val="EndnoteTextChar"/>
    <w:uiPriority w:val="99"/>
    <w:semiHidden/>
    <w:rsid w:val="00684F0A"/>
    <w:pPr>
      <w:widowControl/>
    </w:pPr>
    <w:rPr>
      <w:kern w:val="0"/>
      <w:sz w:val="20"/>
      <w:szCs w:val="20"/>
    </w:rPr>
  </w:style>
  <w:style w:type="character" w:customStyle="1" w:styleId="EndnoteTextChar">
    <w:name w:val="Endnote Text Char"/>
    <w:basedOn w:val="DefaultParagraphFont"/>
    <w:link w:val="EndnoteText"/>
    <w:uiPriority w:val="99"/>
    <w:semiHidden/>
    <w:rsid w:val="00684F0A"/>
    <w:rPr>
      <w:rFonts w:ascii="Times New Roman" w:eastAsia="PMingLiU" w:hAnsi="Times New Roman" w:cs="Times New Roman"/>
      <w:sz w:val="20"/>
      <w:szCs w:val="20"/>
      <w:lang w:eastAsia="zh-TW"/>
    </w:rPr>
  </w:style>
  <w:style w:type="paragraph" w:styleId="BodyText2">
    <w:name w:val="Body Text 2"/>
    <w:basedOn w:val="Normal"/>
    <w:link w:val="BodyText2Char"/>
    <w:uiPriority w:val="99"/>
    <w:rsid w:val="00684F0A"/>
    <w:pPr>
      <w:spacing w:line="480" w:lineRule="auto"/>
      <w:jc w:val="center"/>
    </w:pPr>
  </w:style>
  <w:style w:type="character" w:customStyle="1" w:styleId="BodyText2Char">
    <w:name w:val="Body Text 2 Char"/>
    <w:basedOn w:val="DefaultParagraphFont"/>
    <w:link w:val="BodyText2"/>
    <w:uiPriority w:val="99"/>
    <w:rsid w:val="00684F0A"/>
    <w:rPr>
      <w:rFonts w:ascii="Times New Roman" w:eastAsia="PMingLiU" w:hAnsi="Times New Roman" w:cs="Times New Roman"/>
      <w:kern w:val="2"/>
      <w:sz w:val="24"/>
      <w:szCs w:val="24"/>
      <w:lang w:eastAsia="zh-TW"/>
    </w:rPr>
  </w:style>
  <w:style w:type="paragraph" w:styleId="ListParagraph">
    <w:name w:val="List Paragraph"/>
    <w:basedOn w:val="Normal"/>
    <w:uiPriority w:val="34"/>
    <w:qFormat/>
    <w:rsid w:val="00296516"/>
    <w:pPr>
      <w:ind w:left="720"/>
      <w:contextualSpacing/>
    </w:pPr>
  </w:style>
  <w:style w:type="character" w:styleId="PlaceholderText">
    <w:name w:val="Placeholder Text"/>
    <w:basedOn w:val="DefaultParagraphFont"/>
    <w:uiPriority w:val="99"/>
    <w:semiHidden/>
    <w:rsid w:val="00AD7FFC"/>
    <w:rPr>
      <w:color w:val="808080"/>
    </w:rPr>
  </w:style>
  <w:style w:type="paragraph" w:styleId="BalloonText">
    <w:name w:val="Balloon Text"/>
    <w:basedOn w:val="Normal"/>
    <w:link w:val="BalloonTextChar"/>
    <w:uiPriority w:val="99"/>
    <w:semiHidden/>
    <w:unhideWhenUsed/>
    <w:rsid w:val="00AD7FFC"/>
    <w:rPr>
      <w:rFonts w:ascii="Tahoma" w:hAnsi="Tahoma" w:cs="Tahoma"/>
      <w:sz w:val="16"/>
      <w:szCs w:val="16"/>
    </w:rPr>
  </w:style>
  <w:style w:type="character" w:customStyle="1" w:styleId="BalloonTextChar">
    <w:name w:val="Balloon Text Char"/>
    <w:basedOn w:val="DefaultParagraphFont"/>
    <w:link w:val="BalloonText"/>
    <w:uiPriority w:val="99"/>
    <w:semiHidden/>
    <w:rsid w:val="00AD7FFC"/>
    <w:rPr>
      <w:rFonts w:ascii="Tahoma" w:eastAsia="PMingLiU" w:hAnsi="Tahoma" w:cs="Tahoma"/>
      <w:kern w:val="2"/>
      <w:sz w:val="16"/>
      <w:szCs w:val="16"/>
      <w:lang w:eastAsia="zh-TW"/>
    </w:rPr>
  </w:style>
  <w:style w:type="paragraph" w:customStyle="1" w:styleId="Style25">
    <w:name w:val="Style25"/>
    <w:basedOn w:val="Normal"/>
    <w:rsid w:val="008435B4"/>
    <w:pPr>
      <w:widowControl/>
      <w:shd w:val="clear" w:color="auto" w:fill="FFFFFF"/>
      <w:spacing w:line="259" w:lineRule="exact"/>
      <w:ind w:left="2098" w:firstLine="267"/>
      <w:jc w:val="both"/>
    </w:pPr>
    <w:rPr>
      <w:color w:val="000000"/>
      <w:kern w:val="0"/>
      <w:sz w:val="22"/>
      <w:szCs w:val="22"/>
      <w:lang w:eastAsia="en-US"/>
    </w:rPr>
  </w:style>
  <w:style w:type="character" w:styleId="FootnoteReference">
    <w:name w:val="footnote reference"/>
    <w:uiPriority w:val="99"/>
    <w:rsid w:val="008435B4"/>
    <w:rPr>
      <w:vertAlign w:val="superscript"/>
    </w:rPr>
  </w:style>
  <w:style w:type="paragraph" w:customStyle="1" w:styleId="Style24">
    <w:name w:val="Style24"/>
    <w:basedOn w:val="Normal"/>
    <w:link w:val="Style24Char"/>
    <w:rsid w:val="008435B4"/>
    <w:pPr>
      <w:widowControl/>
      <w:shd w:val="clear" w:color="auto" w:fill="FFFFFF"/>
      <w:spacing w:line="259" w:lineRule="exact"/>
      <w:ind w:left="2098" w:firstLine="267"/>
      <w:jc w:val="both"/>
    </w:pPr>
    <w:rPr>
      <w:color w:val="000000"/>
      <w:kern w:val="0"/>
      <w:sz w:val="22"/>
      <w:szCs w:val="22"/>
      <w:lang w:eastAsia="en-US"/>
    </w:rPr>
  </w:style>
  <w:style w:type="character" w:customStyle="1" w:styleId="Style24Char">
    <w:name w:val="Style24 Char"/>
    <w:basedOn w:val="DefaultParagraphFont"/>
    <w:link w:val="Style24"/>
    <w:rsid w:val="008435B4"/>
    <w:rPr>
      <w:rFonts w:ascii="Times New Roman" w:eastAsia="PMingLiU" w:hAnsi="Times New Roman" w:cs="Times New Roman"/>
      <w:color w:val="000000"/>
      <w:shd w:val="clear" w:color="auto" w:fill="FFFFFF"/>
    </w:rPr>
  </w:style>
  <w:style w:type="paragraph" w:customStyle="1" w:styleId="Style3">
    <w:name w:val="Style3"/>
    <w:basedOn w:val="Normal"/>
    <w:rsid w:val="008435B4"/>
    <w:pPr>
      <w:widowControl/>
      <w:shd w:val="clear" w:color="auto" w:fill="FFFFFF"/>
      <w:spacing w:after="120" w:line="260" w:lineRule="exact"/>
      <w:ind w:left="2098" w:firstLine="267"/>
      <w:jc w:val="both"/>
    </w:pPr>
    <w:rPr>
      <w:color w:val="000000"/>
      <w:kern w:val="0"/>
      <w:sz w:val="22"/>
      <w:szCs w:val="22"/>
      <w:lang w:eastAsia="en-US"/>
    </w:rPr>
  </w:style>
  <w:style w:type="paragraph" w:styleId="Title">
    <w:name w:val="Title"/>
    <w:basedOn w:val="Normal"/>
    <w:next w:val="Normal"/>
    <w:link w:val="TitleChar"/>
    <w:uiPriority w:val="10"/>
    <w:qFormat/>
    <w:rsid w:val="008435B4"/>
    <w:pPr>
      <w:widowControl/>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har">
    <w:name w:val="Title Char"/>
    <w:basedOn w:val="DefaultParagraphFont"/>
    <w:link w:val="Title"/>
    <w:uiPriority w:val="10"/>
    <w:rsid w:val="008435B4"/>
    <w:rPr>
      <w:rFonts w:asciiTheme="majorHAnsi" w:eastAsiaTheme="majorEastAsia" w:hAnsiTheme="majorHAnsi" w:cstheme="majorBidi"/>
      <w:color w:val="323E4F" w:themeColor="text2" w:themeShade="BF"/>
      <w:spacing w:val="5"/>
      <w:kern w:val="28"/>
      <w:sz w:val="52"/>
      <w:szCs w:val="52"/>
    </w:rPr>
  </w:style>
  <w:style w:type="paragraph" w:styleId="FootnoteText">
    <w:name w:val="footnote text"/>
    <w:basedOn w:val="Normal"/>
    <w:link w:val="FootnoteTextChar"/>
    <w:uiPriority w:val="99"/>
    <w:unhideWhenUsed/>
    <w:rsid w:val="008435B4"/>
    <w:pPr>
      <w:widowControl/>
    </w:pPr>
    <w:rPr>
      <w:rFonts w:asciiTheme="minorHAnsi" w:eastAsiaTheme="minorEastAsia" w:hAnsiTheme="minorHAnsi" w:cstheme="minorBidi"/>
      <w:kern w:val="0"/>
      <w:sz w:val="20"/>
      <w:szCs w:val="20"/>
      <w:lang w:eastAsia="en-US"/>
    </w:rPr>
  </w:style>
  <w:style w:type="character" w:customStyle="1" w:styleId="FootnoteTextChar">
    <w:name w:val="Footnote Text Char"/>
    <w:basedOn w:val="DefaultParagraphFont"/>
    <w:link w:val="FootnoteText"/>
    <w:uiPriority w:val="99"/>
    <w:rsid w:val="008435B4"/>
    <w:rPr>
      <w:rFonts w:eastAsiaTheme="minorEastAsia"/>
      <w:sz w:val="20"/>
      <w:szCs w:val="20"/>
    </w:rPr>
  </w:style>
  <w:style w:type="character" w:customStyle="1" w:styleId="MTEquationSection">
    <w:name w:val="MTEquationSection"/>
    <w:basedOn w:val="DefaultParagraphFont"/>
    <w:rsid w:val="008435B4"/>
    <w:rPr>
      <w:vanish/>
      <w:color w:val="FF0000"/>
    </w:rPr>
  </w:style>
  <w:style w:type="paragraph" w:styleId="BodyText">
    <w:name w:val="Body Text"/>
    <w:basedOn w:val="Normal"/>
    <w:link w:val="BodyTextChar"/>
    <w:rsid w:val="008435B4"/>
    <w:pPr>
      <w:widowControl/>
    </w:pPr>
    <w:rPr>
      <w:color w:val="000000"/>
      <w:kern w:val="0"/>
      <w:lang w:eastAsia="en-US"/>
    </w:rPr>
  </w:style>
  <w:style w:type="character" w:customStyle="1" w:styleId="BodyTextChar">
    <w:name w:val="Body Text Char"/>
    <w:basedOn w:val="DefaultParagraphFont"/>
    <w:link w:val="BodyText"/>
    <w:rsid w:val="008435B4"/>
    <w:rPr>
      <w:rFonts w:ascii="Times New Roman" w:eastAsia="PMingLiU" w:hAnsi="Times New Roman" w:cs="Times New Roman"/>
      <w:color w:val="000000"/>
      <w:sz w:val="24"/>
      <w:szCs w:val="24"/>
    </w:rPr>
  </w:style>
  <w:style w:type="paragraph" w:styleId="BodyText3">
    <w:name w:val="Body Text 3"/>
    <w:basedOn w:val="Normal"/>
    <w:link w:val="BodyText3Char"/>
    <w:rsid w:val="008435B4"/>
    <w:pPr>
      <w:widowControl/>
      <w:spacing w:line="360" w:lineRule="auto"/>
      <w:jc w:val="both"/>
    </w:pPr>
    <w:rPr>
      <w:color w:val="000000"/>
      <w:kern w:val="0"/>
      <w:lang w:eastAsia="en-US"/>
    </w:rPr>
  </w:style>
  <w:style w:type="character" w:customStyle="1" w:styleId="BodyText3Char">
    <w:name w:val="Body Text 3 Char"/>
    <w:basedOn w:val="DefaultParagraphFont"/>
    <w:link w:val="BodyText3"/>
    <w:rsid w:val="008435B4"/>
    <w:rPr>
      <w:rFonts w:ascii="Times New Roman" w:eastAsia="PMingLiU" w:hAnsi="Times New Roman" w:cs="Times New Roman"/>
      <w:color w:val="000000"/>
      <w:sz w:val="24"/>
      <w:szCs w:val="24"/>
    </w:rPr>
  </w:style>
  <w:style w:type="character" w:styleId="Hyperlink">
    <w:name w:val="Hyperlink"/>
    <w:basedOn w:val="DefaultParagraphFont"/>
    <w:uiPriority w:val="99"/>
    <w:unhideWhenUsed/>
    <w:rsid w:val="008435B4"/>
    <w:rPr>
      <w:color w:val="0563C1" w:themeColor="hyperlink"/>
      <w:u w:val="single"/>
    </w:rPr>
  </w:style>
  <w:style w:type="character" w:customStyle="1" w:styleId="CommentTextChar">
    <w:name w:val="Comment Text Char"/>
    <w:basedOn w:val="DefaultParagraphFont"/>
    <w:link w:val="CommentText"/>
    <w:uiPriority w:val="99"/>
    <w:semiHidden/>
    <w:rsid w:val="008435B4"/>
    <w:rPr>
      <w:rFonts w:eastAsiaTheme="minorEastAsia"/>
      <w:sz w:val="20"/>
      <w:szCs w:val="20"/>
    </w:rPr>
  </w:style>
  <w:style w:type="paragraph" w:styleId="CommentText">
    <w:name w:val="annotation text"/>
    <w:basedOn w:val="Normal"/>
    <w:link w:val="CommentTextChar"/>
    <w:uiPriority w:val="99"/>
    <w:semiHidden/>
    <w:unhideWhenUsed/>
    <w:rsid w:val="008435B4"/>
    <w:pPr>
      <w:widowControl/>
      <w:spacing w:after="200"/>
    </w:pPr>
    <w:rPr>
      <w:rFonts w:asciiTheme="minorHAnsi" w:eastAsiaTheme="minorEastAsia" w:hAnsiTheme="minorHAnsi" w:cstheme="minorBidi"/>
      <w:kern w:val="0"/>
      <w:sz w:val="20"/>
      <w:szCs w:val="20"/>
      <w:lang w:eastAsia="en-US"/>
    </w:rPr>
  </w:style>
  <w:style w:type="character" w:customStyle="1" w:styleId="CommentSubjectChar">
    <w:name w:val="Comment Subject Char"/>
    <w:basedOn w:val="CommentTextChar"/>
    <w:link w:val="CommentSubject"/>
    <w:uiPriority w:val="99"/>
    <w:semiHidden/>
    <w:rsid w:val="008435B4"/>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435B4"/>
    <w:rPr>
      <w:b/>
      <w:bCs/>
    </w:rPr>
  </w:style>
  <w:style w:type="paragraph" w:styleId="Header">
    <w:name w:val="header"/>
    <w:basedOn w:val="Normal"/>
    <w:link w:val="HeaderChar"/>
    <w:uiPriority w:val="99"/>
    <w:unhideWhenUsed/>
    <w:rsid w:val="008435B4"/>
    <w:pPr>
      <w:widowControl/>
      <w:tabs>
        <w:tab w:val="center" w:pos="4680"/>
        <w:tab w:val="right" w:pos="9360"/>
      </w:tabs>
    </w:pPr>
    <w:rPr>
      <w:rFonts w:asciiTheme="minorHAnsi" w:eastAsiaTheme="minorEastAsia" w:hAnsiTheme="minorHAnsi" w:cstheme="minorBidi"/>
      <w:kern w:val="0"/>
      <w:sz w:val="22"/>
      <w:szCs w:val="22"/>
      <w:lang w:eastAsia="en-US"/>
    </w:rPr>
  </w:style>
  <w:style w:type="character" w:customStyle="1" w:styleId="HeaderChar">
    <w:name w:val="Header Char"/>
    <w:basedOn w:val="DefaultParagraphFont"/>
    <w:link w:val="Header"/>
    <w:uiPriority w:val="99"/>
    <w:rsid w:val="008435B4"/>
    <w:rPr>
      <w:rFonts w:eastAsiaTheme="minorEastAsia"/>
    </w:rPr>
  </w:style>
  <w:style w:type="paragraph" w:styleId="Footer">
    <w:name w:val="footer"/>
    <w:basedOn w:val="Normal"/>
    <w:link w:val="FooterChar"/>
    <w:uiPriority w:val="99"/>
    <w:unhideWhenUsed/>
    <w:rsid w:val="008435B4"/>
    <w:pPr>
      <w:widowControl/>
      <w:tabs>
        <w:tab w:val="center" w:pos="4680"/>
        <w:tab w:val="right" w:pos="9360"/>
      </w:tabs>
    </w:pPr>
    <w:rPr>
      <w:rFonts w:asciiTheme="minorHAnsi" w:eastAsiaTheme="minorEastAsia" w:hAnsiTheme="minorHAnsi" w:cstheme="minorBidi"/>
      <w:kern w:val="0"/>
      <w:sz w:val="22"/>
      <w:szCs w:val="22"/>
      <w:lang w:eastAsia="en-US"/>
    </w:rPr>
  </w:style>
  <w:style w:type="character" w:customStyle="1" w:styleId="FooterChar">
    <w:name w:val="Footer Char"/>
    <w:basedOn w:val="DefaultParagraphFont"/>
    <w:link w:val="Footer"/>
    <w:uiPriority w:val="99"/>
    <w:rsid w:val="008435B4"/>
    <w:rPr>
      <w:rFonts w:eastAsiaTheme="minorEastAsia"/>
    </w:rPr>
  </w:style>
  <w:style w:type="table" w:styleId="TableGrid">
    <w:name w:val="Table Grid"/>
    <w:basedOn w:val="TableNormal"/>
    <w:uiPriority w:val="39"/>
    <w:rsid w:val="00C76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5592">
      <w:bodyDiv w:val="1"/>
      <w:marLeft w:val="0"/>
      <w:marRight w:val="0"/>
      <w:marTop w:val="0"/>
      <w:marBottom w:val="0"/>
      <w:divBdr>
        <w:top w:val="none" w:sz="0" w:space="0" w:color="auto"/>
        <w:left w:val="none" w:sz="0" w:space="0" w:color="auto"/>
        <w:bottom w:val="none" w:sz="0" w:space="0" w:color="auto"/>
        <w:right w:val="none" w:sz="0" w:space="0" w:color="auto"/>
      </w:divBdr>
    </w:div>
    <w:div w:id="641889936">
      <w:bodyDiv w:val="1"/>
      <w:marLeft w:val="0"/>
      <w:marRight w:val="0"/>
      <w:marTop w:val="0"/>
      <w:marBottom w:val="0"/>
      <w:divBdr>
        <w:top w:val="none" w:sz="0" w:space="0" w:color="auto"/>
        <w:left w:val="none" w:sz="0" w:space="0" w:color="auto"/>
        <w:bottom w:val="none" w:sz="0" w:space="0" w:color="auto"/>
        <w:right w:val="none" w:sz="0" w:space="0" w:color="auto"/>
      </w:divBdr>
    </w:div>
    <w:div w:id="869225900">
      <w:bodyDiv w:val="1"/>
      <w:marLeft w:val="0"/>
      <w:marRight w:val="0"/>
      <w:marTop w:val="0"/>
      <w:marBottom w:val="0"/>
      <w:divBdr>
        <w:top w:val="none" w:sz="0" w:space="0" w:color="auto"/>
        <w:left w:val="none" w:sz="0" w:space="0" w:color="auto"/>
        <w:bottom w:val="none" w:sz="0" w:space="0" w:color="auto"/>
        <w:right w:val="none" w:sz="0" w:space="0" w:color="auto"/>
      </w:divBdr>
    </w:div>
    <w:div w:id="1144200566">
      <w:bodyDiv w:val="1"/>
      <w:marLeft w:val="0"/>
      <w:marRight w:val="0"/>
      <w:marTop w:val="0"/>
      <w:marBottom w:val="0"/>
      <w:divBdr>
        <w:top w:val="none" w:sz="0" w:space="0" w:color="auto"/>
        <w:left w:val="none" w:sz="0" w:space="0" w:color="auto"/>
        <w:bottom w:val="none" w:sz="0" w:space="0" w:color="auto"/>
        <w:right w:val="none" w:sz="0" w:space="0" w:color="auto"/>
      </w:divBdr>
    </w:div>
    <w:div w:id="14865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4.wmf"/><Relationship Id="rId21" Type="http://schemas.openxmlformats.org/officeDocument/2006/relationships/image" Target="media/image7.wmf"/><Relationship Id="rId34" Type="http://schemas.openxmlformats.org/officeDocument/2006/relationships/oleObject" Target="embeddings/oleObject21.bin"/><Relationship Id="rId42" Type="http://schemas.openxmlformats.org/officeDocument/2006/relationships/image" Target="media/image67.wmf"/><Relationship Id="rId47" Type="http://schemas.openxmlformats.org/officeDocument/2006/relationships/oleObject" Target="embeddings/oleObject69.bin"/><Relationship Id="rId50" Type="http://schemas.openxmlformats.org/officeDocument/2006/relationships/image" Target="media/image71.wmf"/><Relationship Id="rId55" Type="http://schemas.openxmlformats.org/officeDocument/2006/relationships/oleObject" Target="embeddings/oleObject74.bin"/><Relationship Id="rId63" Type="http://schemas.openxmlformats.org/officeDocument/2006/relationships/oleObject" Target="embeddings/oleObject78.bin"/><Relationship Id="rId68" Type="http://schemas.openxmlformats.org/officeDocument/2006/relationships/oleObject" Target="embeddings/oleObject81.bin"/><Relationship Id="rId76" Type="http://schemas.openxmlformats.org/officeDocument/2006/relationships/oleObject" Target="embeddings/oleObject85.bin"/><Relationship Id="rId84" Type="http://schemas.openxmlformats.org/officeDocument/2006/relationships/oleObject" Target="embeddings/oleObject89.bin"/><Relationship Id="rId89" Type="http://schemas.openxmlformats.org/officeDocument/2006/relationships/image" Target="media/image88.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24.bin"/><Relationship Id="rId45" Type="http://schemas.openxmlformats.org/officeDocument/2006/relationships/oleObject" Target="embeddings/oleObject68.bin"/><Relationship Id="rId53" Type="http://schemas.openxmlformats.org/officeDocument/2006/relationships/oleObject" Target="embeddings/oleObject72.bin"/><Relationship Id="rId58" Type="http://schemas.openxmlformats.org/officeDocument/2006/relationships/image" Target="media/image74.wmf"/><Relationship Id="rId66" Type="http://schemas.openxmlformats.org/officeDocument/2006/relationships/oleObject" Target="embeddings/oleObject80.bin"/><Relationship Id="rId74" Type="http://schemas.openxmlformats.org/officeDocument/2006/relationships/oleObject" Target="embeddings/oleObject84.bin"/><Relationship Id="rId79" Type="http://schemas.openxmlformats.org/officeDocument/2006/relationships/image" Target="media/image83.wmf"/><Relationship Id="rId87" Type="http://schemas.openxmlformats.org/officeDocument/2006/relationships/image" Target="media/image87.wmf"/><Relationship Id="rId5" Type="http://schemas.openxmlformats.org/officeDocument/2006/relationships/settings" Target="settings.xml"/><Relationship Id="rId61" Type="http://schemas.openxmlformats.org/officeDocument/2006/relationships/oleObject" Target="embeddings/oleObject77.bin"/><Relationship Id="rId82" Type="http://schemas.openxmlformats.org/officeDocument/2006/relationships/oleObject" Target="embeddings/oleObject88.bin"/><Relationship Id="rId90" Type="http://schemas.openxmlformats.org/officeDocument/2006/relationships/oleObject" Target="embeddings/oleObject92.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67.bin"/><Relationship Id="rId48" Type="http://schemas.openxmlformats.org/officeDocument/2006/relationships/image" Target="media/image70.wmf"/><Relationship Id="rId56" Type="http://schemas.openxmlformats.org/officeDocument/2006/relationships/image" Target="media/image73.wmf"/><Relationship Id="rId64" Type="http://schemas.openxmlformats.org/officeDocument/2006/relationships/image" Target="media/image77.wmf"/><Relationship Id="rId69" Type="http://schemas.openxmlformats.org/officeDocument/2006/relationships/image" Target="media/image79.wmf"/><Relationship Id="rId77" Type="http://schemas.openxmlformats.org/officeDocument/2006/relationships/image" Target="media/image82.wmf"/><Relationship Id="rId8" Type="http://schemas.openxmlformats.org/officeDocument/2006/relationships/endnotes" Target="endnotes.xml"/><Relationship Id="rId51" Type="http://schemas.openxmlformats.org/officeDocument/2006/relationships/oleObject" Target="embeddings/oleObject71.bin"/><Relationship Id="rId72" Type="http://schemas.openxmlformats.org/officeDocument/2006/relationships/oleObject" Target="embeddings/oleObject83.bin"/><Relationship Id="rId80" Type="http://schemas.openxmlformats.org/officeDocument/2006/relationships/oleObject" Target="embeddings/oleObject87.bin"/><Relationship Id="rId85" Type="http://schemas.openxmlformats.org/officeDocument/2006/relationships/image" Target="media/image8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oleObject" Target="embeddings/oleObject23.bin"/><Relationship Id="rId46" Type="http://schemas.openxmlformats.org/officeDocument/2006/relationships/image" Target="media/image69.wmf"/><Relationship Id="rId59" Type="http://schemas.openxmlformats.org/officeDocument/2006/relationships/oleObject" Target="embeddings/oleObject76.bin"/><Relationship Id="rId67" Type="http://schemas.openxmlformats.org/officeDocument/2006/relationships/image" Target="media/image78.wmf"/><Relationship Id="rId20" Type="http://schemas.openxmlformats.org/officeDocument/2006/relationships/oleObject" Target="embeddings/oleObject6.bin"/><Relationship Id="rId41" Type="http://schemas.openxmlformats.org/officeDocument/2006/relationships/oleObject" Target="embeddings/oleObject25.bin"/><Relationship Id="rId54" Type="http://schemas.openxmlformats.org/officeDocument/2006/relationships/oleObject" Target="embeddings/oleObject73.bin"/><Relationship Id="rId62" Type="http://schemas.openxmlformats.org/officeDocument/2006/relationships/image" Target="media/image76.wmf"/><Relationship Id="rId70" Type="http://schemas.openxmlformats.org/officeDocument/2006/relationships/oleObject" Target="embeddings/oleObject82.bin"/><Relationship Id="rId75" Type="http://schemas.openxmlformats.org/officeDocument/2006/relationships/image" Target="media/image81.wmf"/><Relationship Id="rId83" Type="http://schemas.openxmlformats.org/officeDocument/2006/relationships/image" Target="media/image85.wmf"/><Relationship Id="rId88" Type="http://schemas.openxmlformats.org/officeDocument/2006/relationships/oleObject" Target="embeddings/oleObject91.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22.bin"/><Relationship Id="rId49" Type="http://schemas.openxmlformats.org/officeDocument/2006/relationships/oleObject" Target="embeddings/oleObject70.bin"/><Relationship Id="rId57" Type="http://schemas.openxmlformats.org/officeDocument/2006/relationships/oleObject" Target="embeddings/oleObject75.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68.wmf"/><Relationship Id="rId52" Type="http://schemas.openxmlformats.org/officeDocument/2006/relationships/image" Target="media/image72.wmf"/><Relationship Id="rId60" Type="http://schemas.openxmlformats.org/officeDocument/2006/relationships/image" Target="media/image75.wmf"/><Relationship Id="rId65" Type="http://schemas.openxmlformats.org/officeDocument/2006/relationships/oleObject" Target="embeddings/oleObject79.bin"/><Relationship Id="rId73" Type="http://schemas.openxmlformats.org/officeDocument/2006/relationships/image" Target="media/image80.wmf"/><Relationship Id="rId78" Type="http://schemas.openxmlformats.org/officeDocument/2006/relationships/oleObject" Target="embeddings/oleObject86.bin"/><Relationship Id="rId81" Type="http://schemas.openxmlformats.org/officeDocument/2006/relationships/image" Target="media/image84.wmf"/><Relationship Id="rId86" Type="http://schemas.openxmlformats.org/officeDocument/2006/relationships/oleObject" Target="embeddings/oleObject90.bin"/><Relationship Id="rId4" Type="http://schemas.microsoft.com/office/2007/relationships/stylesWithEffects" Target="stylesWithEffects.xml"/><Relationship Id="rId9" Type="http://schemas.openxmlformats.org/officeDocument/2006/relationships/image" Target="media/image1.wmf"/></Relationships>
</file>

<file path=word/_rels/endnotes.xml.rels><?xml version="1.0" encoding="UTF-8" standalone="yes"?>
<Relationships xmlns="http://schemas.openxmlformats.org/package/2006/relationships"><Relationship Id="rId13" Type="http://schemas.openxmlformats.org/officeDocument/2006/relationships/oleObject" Target="embeddings/oleObject28.bin"/><Relationship Id="rId18" Type="http://schemas.openxmlformats.org/officeDocument/2006/relationships/image" Target="media/image30.wmf"/><Relationship Id="rId26" Type="http://schemas.openxmlformats.org/officeDocument/2006/relationships/image" Target="media/image34.wmf"/><Relationship Id="rId39" Type="http://schemas.openxmlformats.org/officeDocument/2006/relationships/oleObject" Target="embeddings/oleObject41.bin"/><Relationship Id="rId21" Type="http://schemas.openxmlformats.org/officeDocument/2006/relationships/oleObject" Target="embeddings/oleObject32.bin"/><Relationship Id="rId34" Type="http://schemas.openxmlformats.org/officeDocument/2006/relationships/image" Target="media/image38.wmf"/><Relationship Id="rId42" Type="http://schemas.openxmlformats.org/officeDocument/2006/relationships/image" Target="media/image42.wmf"/><Relationship Id="rId47" Type="http://schemas.openxmlformats.org/officeDocument/2006/relationships/oleObject" Target="embeddings/oleObject45.bin"/><Relationship Id="rId50" Type="http://schemas.openxmlformats.org/officeDocument/2006/relationships/image" Target="media/image46.wmf"/><Relationship Id="rId55" Type="http://schemas.openxmlformats.org/officeDocument/2006/relationships/oleObject" Target="embeddings/oleObject49.bin"/><Relationship Id="rId63" Type="http://schemas.openxmlformats.org/officeDocument/2006/relationships/oleObject" Target="embeddings/oleObject53.bin"/><Relationship Id="rId68" Type="http://schemas.openxmlformats.org/officeDocument/2006/relationships/image" Target="media/image55.wmf"/><Relationship Id="rId76" Type="http://schemas.openxmlformats.org/officeDocument/2006/relationships/image" Target="media/image59.wmf"/><Relationship Id="rId84" Type="http://schemas.openxmlformats.org/officeDocument/2006/relationships/image" Target="media/image63.wmf"/><Relationship Id="rId89" Type="http://schemas.openxmlformats.org/officeDocument/2006/relationships/oleObject" Target="embeddings/oleObject66.bin"/><Relationship Id="rId7" Type="http://schemas.openxmlformats.org/officeDocument/2006/relationships/image" Target="media/image24.emf"/><Relationship Id="rId71" Type="http://schemas.openxmlformats.org/officeDocument/2006/relationships/oleObject" Target="embeddings/oleObject57.bin"/><Relationship Id="rId2" Type="http://schemas.openxmlformats.org/officeDocument/2006/relationships/image" Target="media/image19.emf"/><Relationship Id="rId16" Type="http://schemas.openxmlformats.org/officeDocument/2006/relationships/image" Target="media/image29.wmf"/><Relationship Id="rId29" Type="http://schemas.openxmlformats.org/officeDocument/2006/relationships/oleObject" Target="embeddings/oleObject36.bin"/><Relationship Id="rId11" Type="http://schemas.openxmlformats.org/officeDocument/2006/relationships/oleObject" Target="embeddings/oleObject27.bin"/><Relationship Id="rId24" Type="http://schemas.openxmlformats.org/officeDocument/2006/relationships/image" Target="media/image33.wmf"/><Relationship Id="rId32" Type="http://schemas.openxmlformats.org/officeDocument/2006/relationships/image" Target="media/image37.wmf"/><Relationship Id="rId37" Type="http://schemas.openxmlformats.org/officeDocument/2006/relationships/oleObject" Target="embeddings/oleObject40.bin"/><Relationship Id="rId40" Type="http://schemas.openxmlformats.org/officeDocument/2006/relationships/image" Target="media/image41.wmf"/><Relationship Id="rId45" Type="http://schemas.openxmlformats.org/officeDocument/2006/relationships/oleObject" Target="embeddings/oleObject44.bin"/><Relationship Id="rId53" Type="http://schemas.openxmlformats.org/officeDocument/2006/relationships/oleObject" Target="embeddings/oleObject48.bin"/><Relationship Id="rId58" Type="http://schemas.openxmlformats.org/officeDocument/2006/relationships/image" Target="media/image50.wmf"/><Relationship Id="rId66" Type="http://schemas.openxmlformats.org/officeDocument/2006/relationships/image" Target="media/image54.wmf"/><Relationship Id="rId74" Type="http://schemas.openxmlformats.org/officeDocument/2006/relationships/image" Target="media/image58.wmf"/><Relationship Id="rId79" Type="http://schemas.openxmlformats.org/officeDocument/2006/relationships/oleObject" Target="embeddings/oleObject61.bin"/><Relationship Id="rId87" Type="http://schemas.openxmlformats.org/officeDocument/2006/relationships/oleObject" Target="embeddings/oleObject65.bin"/><Relationship Id="rId5" Type="http://schemas.openxmlformats.org/officeDocument/2006/relationships/image" Target="media/image22.emf"/><Relationship Id="rId61" Type="http://schemas.openxmlformats.org/officeDocument/2006/relationships/oleObject" Target="embeddings/oleObject52.bin"/><Relationship Id="rId82" Type="http://schemas.openxmlformats.org/officeDocument/2006/relationships/image" Target="media/image62.wmf"/><Relationship Id="rId90" Type="http://schemas.openxmlformats.org/officeDocument/2006/relationships/image" Target="media/image66.emf"/><Relationship Id="rId19" Type="http://schemas.openxmlformats.org/officeDocument/2006/relationships/oleObject" Target="embeddings/oleObject31.bin"/><Relationship Id="rId4" Type="http://schemas.openxmlformats.org/officeDocument/2006/relationships/image" Target="media/image21.png"/><Relationship Id="rId9" Type="http://schemas.openxmlformats.org/officeDocument/2006/relationships/oleObject" Target="embeddings/oleObject26.bin"/><Relationship Id="rId14" Type="http://schemas.openxmlformats.org/officeDocument/2006/relationships/image" Target="media/image28.wmf"/><Relationship Id="rId22" Type="http://schemas.openxmlformats.org/officeDocument/2006/relationships/image" Target="media/image32.wmf"/><Relationship Id="rId27" Type="http://schemas.openxmlformats.org/officeDocument/2006/relationships/oleObject" Target="embeddings/oleObject35.bin"/><Relationship Id="rId30" Type="http://schemas.openxmlformats.org/officeDocument/2006/relationships/image" Target="media/image36.wmf"/><Relationship Id="rId35" Type="http://schemas.openxmlformats.org/officeDocument/2006/relationships/oleObject" Target="embeddings/oleObject39.bin"/><Relationship Id="rId43" Type="http://schemas.openxmlformats.org/officeDocument/2006/relationships/oleObject" Target="embeddings/oleObject43.bin"/><Relationship Id="rId48" Type="http://schemas.openxmlformats.org/officeDocument/2006/relationships/image" Target="media/image45.wmf"/><Relationship Id="rId56" Type="http://schemas.openxmlformats.org/officeDocument/2006/relationships/image" Target="media/image49.wmf"/><Relationship Id="rId64" Type="http://schemas.openxmlformats.org/officeDocument/2006/relationships/image" Target="media/image53.wmf"/><Relationship Id="rId69" Type="http://schemas.openxmlformats.org/officeDocument/2006/relationships/oleObject" Target="embeddings/oleObject56.bin"/><Relationship Id="rId77" Type="http://schemas.openxmlformats.org/officeDocument/2006/relationships/oleObject" Target="embeddings/oleObject60.bin"/><Relationship Id="rId8" Type="http://schemas.openxmlformats.org/officeDocument/2006/relationships/image" Target="media/image25.wmf"/><Relationship Id="rId51" Type="http://schemas.openxmlformats.org/officeDocument/2006/relationships/oleObject" Target="embeddings/oleObject47.bin"/><Relationship Id="rId72" Type="http://schemas.openxmlformats.org/officeDocument/2006/relationships/image" Target="media/image57.wmf"/><Relationship Id="rId80" Type="http://schemas.openxmlformats.org/officeDocument/2006/relationships/image" Target="media/image61.wmf"/><Relationship Id="rId85" Type="http://schemas.openxmlformats.org/officeDocument/2006/relationships/oleObject" Target="embeddings/oleObject64.bin"/><Relationship Id="rId3" Type="http://schemas.openxmlformats.org/officeDocument/2006/relationships/image" Target="media/image20.emf"/><Relationship Id="rId12" Type="http://schemas.openxmlformats.org/officeDocument/2006/relationships/image" Target="media/image27.wmf"/><Relationship Id="rId17" Type="http://schemas.openxmlformats.org/officeDocument/2006/relationships/oleObject" Target="embeddings/oleObject30.bin"/><Relationship Id="rId25" Type="http://schemas.openxmlformats.org/officeDocument/2006/relationships/oleObject" Target="embeddings/oleObject34.bin"/><Relationship Id="rId33" Type="http://schemas.openxmlformats.org/officeDocument/2006/relationships/oleObject" Target="embeddings/oleObject38.bin"/><Relationship Id="rId38" Type="http://schemas.openxmlformats.org/officeDocument/2006/relationships/image" Target="media/image40.wmf"/><Relationship Id="rId46" Type="http://schemas.openxmlformats.org/officeDocument/2006/relationships/image" Target="media/image44.wmf"/><Relationship Id="rId59" Type="http://schemas.openxmlformats.org/officeDocument/2006/relationships/oleObject" Target="embeddings/oleObject51.bin"/><Relationship Id="rId67" Type="http://schemas.openxmlformats.org/officeDocument/2006/relationships/oleObject" Target="embeddings/oleObject55.bin"/><Relationship Id="rId20" Type="http://schemas.openxmlformats.org/officeDocument/2006/relationships/image" Target="media/image31.wmf"/><Relationship Id="rId41" Type="http://schemas.openxmlformats.org/officeDocument/2006/relationships/oleObject" Target="embeddings/oleObject42.bin"/><Relationship Id="rId54" Type="http://schemas.openxmlformats.org/officeDocument/2006/relationships/image" Target="media/image48.wmf"/><Relationship Id="rId62" Type="http://schemas.openxmlformats.org/officeDocument/2006/relationships/image" Target="media/image52.wmf"/><Relationship Id="rId70" Type="http://schemas.openxmlformats.org/officeDocument/2006/relationships/image" Target="media/image56.wmf"/><Relationship Id="rId75" Type="http://schemas.openxmlformats.org/officeDocument/2006/relationships/oleObject" Target="embeddings/oleObject59.bin"/><Relationship Id="rId83" Type="http://schemas.openxmlformats.org/officeDocument/2006/relationships/oleObject" Target="embeddings/oleObject63.bin"/><Relationship Id="rId88" Type="http://schemas.openxmlformats.org/officeDocument/2006/relationships/image" Target="media/image65.wmf"/><Relationship Id="rId1" Type="http://schemas.openxmlformats.org/officeDocument/2006/relationships/image" Target="media/image18.emf"/><Relationship Id="rId6" Type="http://schemas.openxmlformats.org/officeDocument/2006/relationships/image" Target="media/image23.emf"/><Relationship Id="rId15" Type="http://schemas.openxmlformats.org/officeDocument/2006/relationships/oleObject" Target="embeddings/oleObject29.bin"/><Relationship Id="rId23" Type="http://schemas.openxmlformats.org/officeDocument/2006/relationships/oleObject" Target="embeddings/oleObject33.bin"/><Relationship Id="rId28" Type="http://schemas.openxmlformats.org/officeDocument/2006/relationships/image" Target="media/image35.wmf"/><Relationship Id="rId36" Type="http://schemas.openxmlformats.org/officeDocument/2006/relationships/image" Target="media/image39.wmf"/><Relationship Id="rId49" Type="http://schemas.openxmlformats.org/officeDocument/2006/relationships/oleObject" Target="embeddings/oleObject46.bin"/><Relationship Id="rId57" Type="http://schemas.openxmlformats.org/officeDocument/2006/relationships/oleObject" Target="embeddings/oleObject50.bin"/><Relationship Id="rId10" Type="http://schemas.openxmlformats.org/officeDocument/2006/relationships/image" Target="media/image26.wmf"/><Relationship Id="rId31" Type="http://schemas.openxmlformats.org/officeDocument/2006/relationships/oleObject" Target="embeddings/oleObject37.bin"/><Relationship Id="rId44" Type="http://schemas.openxmlformats.org/officeDocument/2006/relationships/image" Target="media/image43.wmf"/><Relationship Id="rId52" Type="http://schemas.openxmlformats.org/officeDocument/2006/relationships/image" Target="media/image47.wmf"/><Relationship Id="rId60" Type="http://schemas.openxmlformats.org/officeDocument/2006/relationships/image" Target="media/image51.wmf"/><Relationship Id="rId65" Type="http://schemas.openxmlformats.org/officeDocument/2006/relationships/oleObject" Target="embeddings/oleObject54.bin"/><Relationship Id="rId73" Type="http://schemas.openxmlformats.org/officeDocument/2006/relationships/oleObject" Target="embeddings/oleObject58.bin"/><Relationship Id="rId78" Type="http://schemas.openxmlformats.org/officeDocument/2006/relationships/image" Target="media/image60.wmf"/><Relationship Id="rId81" Type="http://schemas.openxmlformats.org/officeDocument/2006/relationships/oleObject" Target="embeddings/oleObject62.bin"/><Relationship Id="rId86" Type="http://schemas.openxmlformats.org/officeDocument/2006/relationships/image" Target="media/image64.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8.bin"/><Relationship Id="rId3" Type="http://schemas.openxmlformats.org/officeDocument/2006/relationships/image" Target="media/image13.wmf"/><Relationship Id="rId7" Type="http://schemas.openxmlformats.org/officeDocument/2006/relationships/oleObject" Target="embeddings/oleObject17.bin"/><Relationship Id="rId2" Type="http://schemas.openxmlformats.org/officeDocument/2006/relationships/oleObject" Target="embeddings/oleObject14.bin"/><Relationship Id="rId1" Type="http://schemas.openxmlformats.org/officeDocument/2006/relationships/image" Target="media/image12.wmf"/><Relationship Id="rId6" Type="http://schemas.openxmlformats.org/officeDocument/2006/relationships/oleObject" Target="embeddings/oleObject16.bin"/><Relationship Id="rId5" Type="http://schemas.openxmlformats.org/officeDocument/2006/relationships/image" Target="media/image14.wmf"/><Relationship Id="rId10" Type="http://schemas.openxmlformats.org/officeDocument/2006/relationships/oleObject" Target="embeddings/oleObject20.bin"/><Relationship Id="rId4" Type="http://schemas.openxmlformats.org/officeDocument/2006/relationships/oleObject" Target="embeddings/oleObject15.bin"/><Relationship Id="rId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B546-342E-4AE7-9719-E7B305698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Cheng-Few</dc:creator>
  <cp:lastModifiedBy>Student</cp:lastModifiedBy>
  <cp:revision>2</cp:revision>
  <dcterms:created xsi:type="dcterms:W3CDTF">2016-03-23T20:30:00Z</dcterms:created>
  <dcterms:modified xsi:type="dcterms:W3CDTF">2016-03-23T20:30:00Z</dcterms:modified>
</cp:coreProperties>
</file>