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DF6" w:rsidRPr="00FF6AA6" w:rsidRDefault="001A5DF6" w:rsidP="00CE5507">
      <w:pPr>
        <w:spacing w:line="480" w:lineRule="auto"/>
        <w:jc w:val="center"/>
        <w:outlineLvl w:val="0"/>
        <w:rPr>
          <w:b/>
          <w:color w:val="000000"/>
        </w:rPr>
      </w:pPr>
      <w:r w:rsidRPr="00FF6AA6">
        <w:rPr>
          <w:b/>
          <w:color w:val="000000"/>
        </w:rPr>
        <w:t>Insider Selling and Exchange Listing Stock Returns</w:t>
      </w:r>
    </w:p>
    <w:p w:rsidR="001A5DF6" w:rsidRPr="00FF6AA6" w:rsidRDefault="001A5DF6" w:rsidP="00CE5507">
      <w:pPr>
        <w:spacing w:line="480" w:lineRule="auto"/>
        <w:jc w:val="center"/>
        <w:outlineLvl w:val="0"/>
        <w:rPr>
          <w:b/>
          <w:color w:val="000000"/>
          <w:sz w:val="28"/>
          <w:szCs w:val="28"/>
        </w:rPr>
      </w:pPr>
    </w:p>
    <w:p w:rsidR="001A5DF6" w:rsidRPr="00FF6AA6" w:rsidRDefault="001A5DF6" w:rsidP="00CE5507">
      <w:pPr>
        <w:spacing w:line="480" w:lineRule="auto"/>
        <w:jc w:val="center"/>
        <w:outlineLvl w:val="0"/>
        <w:rPr>
          <w:color w:val="000000"/>
          <w:sz w:val="20"/>
          <w:szCs w:val="20"/>
        </w:rPr>
      </w:pPr>
      <w:r w:rsidRPr="00FF6AA6">
        <w:rPr>
          <w:rFonts w:eastAsia="標楷體"/>
          <w:color w:val="000000"/>
          <w:sz w:val="20"/>
          <w:szCs w:val="20"/>
        </w:rPr>
        <w:t>Tsai-Ling Liao</w:t>
      </w:r>
      <w:r w:rsidRPr="00FF6AA6">
        <w:rPr>
          <w:rStyle w:val="contentj"/>
          <w:color w:val="000000"/>
          <w:sz w:val="20"/>
          <w:szCs w:val="20"/>
        </w:rPr>
        <w:t xml:space="preserve"> and</w:t>
      </w:r>
      <w:r w:rsidRPr="00FF6AA6">
        <w:rPr>
          <w:color w:val="000000"/>
          <w:sz w:val="20"/>
          <w:szCs w:val="20"/>
        </w:rPr>
        <w:t xml:space="preserve"> Min-Teh Yu</w:t>
      </w:r>
      <w:r w:rsidRPr="00FF6AA6">
        <w:rPr>
          <w:rStyle w:val="FootnoteReference"/>
          <w:rFonts w:eastAsia="標楷體"/>
          <w:color w:val="000000"/>
          <w:sz w:val="20"/>
          <w:szCs w:val="20"/>
        </w:rPr>
        <w:footnoteReference w:customMarkFollows="1" w:id="2"/>
        <w:t>*</w:t>
      </w:r>
      <w:r w:rsidRPr="00FF6AA6">
        <w:rPr>
          <w:color w:val="000000"/>
          <w:sz w:val="20"/>
          <w:szCs w:val="20"/>
        </w:rPr>
        <w:t xml:space="preserve"> </w:t>
      </w:r>
    </w:p>
    <w:p w:rsidR="001A5DF6" w:rsidRPr="00FF6AA6" w:rsidRDefault="001A5DF6" w:rsidP="00CE5507">
      <w:pPr>
        <w:spacing w:line="480" w:lineRule="auto"/>
        <w:jc w:val="center"/>
        <w:outlineLvl w:val="0"/>
        <w:rPr>
          <w:b/>
          <w:color w:val="000000"/>
          <w:sz w:val="20"/>
          <w:szCs w:val="20"/>
        </w:rPr>
      </w:pPr>
      <w:r w:rsidRPr="00FF6AA6">
        <w:rPr>
          <w:color w:val="000000"/>
          <w:sz w:val="20"/>
          <w:szCs w:val="20"/>
        </w:rPr>
        <w:t>December 10, 2008</w:t>
      </w:r>
    </w:p>
    <w:p w:rsidR="001A5DF6" w:rsidRPr="00FF6AA6" w:rsidRDefault="001A5DF6" w:rsidP="007F1A44">
      <w:pPr>
        <w:tabs>
          <w:tab w:val="left" w:pos="3780"/>
        </w:tabs>
        <w:jc w:val="both"/>
        <w:rPr>
          <w:color w:val="000000"/>
          <w:sz w:val="20"/>
          <w:szCs w:val="20"/>
        </w:rPr>
      </w:pPr>
    </w:p>
    <w:p w:rsidR="001A5DF6" w:rsidRPr="00FF6AA6" w:rsidRDefault="001A5DF6" w:rsidP="007F1A44">
      <w:pPr>
        <w:tabs>
          <w:tab w:val="left" w:pos="3780"/>
        </w:tabs>
        <w:jc w:val="both"/>
        <w:rPr>
          <w:color w:val="000000"/>
          <w:sz w:val="20"/>
          <w:szCs w:val="20"/>
        </w:rPr>
      </w:pPr>
    </w:p>
    <w:p w:rsidR="001A5DF6" w:rsidRPr="00FF6AA6" w:rsidRDefault="001A5DF6" w:rsidP="003973B5">
      <w:pPr>
        <w:tabs>
          <w:tab w:val="left" w:pos="3780"/>
        </w:tabs>
        <w:jc w:val="center"/>
        <w:rPr>
          <w:b/>
          <w:color w:val="000000"/>
          <w:sz w:val="20"/>
          <w:szCs w:val="20"/>
        </w:rPr>
      </w:pPr>
      <w:r w:rsidRPr="00FF6AA6">
        <w:rPr>
          <w:b/>
          <w:color w:val="000000"/>
          <w:sz w:val="20"/>
          <w:szCs w:val="20"/>
        </w:rPr>
        <w:t>Abstract</w:t>
      </w:r>
    </w:p>
    <w:p w:rsidR="001A5DF6" w:rsidRPr="00FF6AA6" w:rsidRDefault="001A5DF6" w:rsidP="003973B5">
      <w:pPr>
        <w:tabs>
          <w:tab w:val="left" w:pos="3780"/>
        </w:tabs>
        <w:jc w:val="center"/>
        <w:rPr>
          <w:color w:val="000000"/>
          <w:sz w:val="20"/>
          <w:szCs w:val="20"/>
        </w:rPr>
      </w:pPr>
    </w:p>
    <w:p w:rsidR="001A5DF6" w:rsidRPr="00FF6AA6" w:rsidRDefault="001A5DF6" w:rsidP="007F1A44">
      <w:pPr>
        <w:tabs>
          <w:tab w:val="left" w:pos="3780"/>
        </w:tabs>
        <w:jc w:val="both"/>
        <w:rPr>
          <w:color w:val="000000"/>
          <w:sz w:val="20"/>
          <w:szCs w:val="20"/>
        </w:rPr>
      </w:pPr>
      <w:r w:rsidRPr="00FF6AA6">
        <w:rPr>
          <w:color w:val="000000"/>
          <w:sz w:val="20"/>
          <w:szCs w:val="20"/>
        </w:rPr>
        <w:t xml:space="preserve">This paper examines whether prior insider selling functions as a signal of the stock performance around exchange listings and whether investors consider the revealed information on announced prior insider sales as a useful signal for evaluating firms’ listing decisions. Consistent with our hypothesis, while we observe no association between prior insider sales and listing day returns, we find that prior insider selling has a strong correlation with post-listing underperformance. Firms with pre-listing insider sales perform more poorly after listing than firms without prior insider sales. By employing a simultaneous equation approach, we also test the alternative explanation that insiders may have simply traded for portfolio adjustment or liquidity reasons. Our empirical results support the informational role of prior insider selling in anticipating post-listing stock returns.  </w:t>
      </w:r>
    </w:p>
    <w:p w:rsidR="001A5DF6" w:rsidRPr="00FF6AA6" w:rsidRDefault="001A5DF6" w:rsidP="00CE5507">
      <w:pPr>
        <w:autoSpaceDE w:val="0"/>
        <w:autoSpaceDN w:val="0"/>
        <w:adjustRightInd w:val="0"/>
        <w:outlineLvl w:val="0"/>
        <w:rPr>
          <w:bCs/>
          <w:i/>
          <w:color w:val="000000"/>
          <w:kern w:val="0"/>
          <w:sz w:val="20"/>
          <w:szCs w:val="20"/>
        </w:rPr>
      </w:pPr>
    </w:p>
    <w:p w:rsidR="001A5DF6" w:rsidRPr="00FF6AA6" w:rsidRDefault="001A5DF6" w:rsidP="00CE5507">
      <w:pPr>
        <w:autoSpaceDE w:val="0"/>
        <w:autoSpaceDN w:val="0"/>
        <w:adjustRightInd w:val="0"/>
        <w:outlineLvl w:val="0"/>
        <w:rPr>
          <w:bCs/>
          <w:i/>
          <w:color w:val="000000"/>
          <w:kern w:val="0"/>
          <w:sz w:val="20"/>
          <w:szCs w:val="20"/>
        </w:rPr>
      </w:pPr>
    </w:p>
    <w:p w:rsidR="001A5DF6" w:rsidRPr="00FF6AA6" w:rsidRDefault="001A5DF6" w:rsidP="00CE5507">
      <w:pPr>
        <w:autoSpaceDE w:val="0"/>
        <w:autoSpaceDN w:val="0"/>
        <w:adjustRightInd w:val="0"/>
        <w:outlineLvl w:val="0"/>
        <w:rPr>
          <w:bCs/>
          <w:color w:val="000000"/>
          <w:kern w:val="0"/>
          <w:sz w:val="20"/>
          <w:szCs w:val="20"/>
        </w:rPr>
      </w:pPr>
      <w:r w:rsidRPr="00FF6AA6">
        <w:rPr>
          <w:bCs/>
          <w:i/>
          <w:color w:val="000000"/>
          <w:kern w:val="0"/>
          <w:sz w:val="20"/>
          <w:szCs w:val="20"/>
        </w:rPr>
        <w:t>JEL classification:</w:t>
      </w:r>
      <w:r w:rsidRPr="00FF6AA6">
        <w:rPr>
          <w:bCs/>
          <w:color w:val="000000"/>
          <w:kern w:val="0"/>
          <w:sz w:val="20"/>
          <w:szCs w:val="20"/>
        </w:rPr>
        <w:t xml:space="preserve"> G14; G32</w:t>
      </w:r>
    </w:p>
    <w:p w:rsidR="001A5DF6" w:rsidRPr="00FF6AA6" w:rsidRDefault="001A5DF6" w:rsidP="00CE5507">
      <w:pPr>
        <w:autoSpaceDE w:val="0"/>
        <w:autoSpaceDN w:val="0"/>
        <w:adjustRightInd w:val="0"/>
        <w:rPr>
          <w:bCs/>
          <w:color w:val="000000"/>
          <w:kern w:val="0"/>
          <w:sz w:val="20"/>
          <w:szCs w:val="20"/>
        </w:rPr>
      </w:pPr>
      <w:r w:rsidRPr="00FF6AA6">
        <w:rPr>
          <w:bCs/>
          <w:i/>
          <w:color w:val="000000"/>
          <w:kern w:val="0"/>
          <w:sz w:val="20"/>
          <w:szCs w:val="20"/>
        </w:rPr>
        <w:t>Keywords:</w:t>
      </w:r>
      <w:r w:rsidRPr="00FF6AA6">
        <w:rPr>
          <w:bCs/>
          <w:color w:val="000000"/>
          <w:kern w:val="0"/>
          <w:sz w:val="20"/>
          <w:szCs w:val="20"/>
        </w:rPr>
        <w:t xml:space="preserve"> Insider selling; Exchange listing; Stock returns</w:t>
      </w:r>
    </w:p>
    <w:p w:rsidR="001A5DF6" w:rsidRPr="00FF6AA6" w:rsidRDefault="001A5DF6" w:rsidP="00D3471C">
      <w:pPr>
        <w:spacing w:line="480" w:lineRule="auto"/>
        <w:jc w:val="both"/>
        <w:outlineLvl w:val="0"/>
        <w:rPr>
          <w:b/>
          <w:color w:val="000000"/>
          <w:sz w:val="20"/>
          <w:szCs w:val="20"/>
        </w:rPr>
      </w:pPr>
      <w:r w:rsidRPr="00FF6AA6">
        <w:rPr>
          <w:b/>
          <w:color w:val="000000"/>
          <w:sz w:val="20"/>
          <w:szCs w:val="20"/>
        </w:rPr>
        <w:br w:type="page"/>
        <w:t xml:space="preserve"> 1. Introduction</w:t>
      </w:r>
    </w:p>
    <w:p w:rsidR="001A5DF6" w:rsidRPr="00FF6AA6" w:rsidRDefault="001A5DF6" w:rsidP="00A508F4">
      <w:pPr>
        <w:spacing w:line="360" w:lineRule="auto"/>
        <w:jc w:val="both"/>
        <w:rPr>
          <w:color w:val="000000"/>
          <w:kern w:val="0"/>
          <w:sz w:val="20"/>
          <w:szCs w:val="20"/>
        </w:rPr>
      </w:pPr>
      <w:r w:rsidRPr="00FF6AA6">
        <w:rPr>
          <w:color w:val="000000"/>
          <w:sz w:val="20"/>
          <w:szCs w:val="20"/>
        </w:rPr>
        <w:t xml:space="preserve">  Insider trading has long been an issue of great interest in the literature. However, little research focuses on the relationship between insider sales and exchange listing. The empirical studies concerning exchange listing and firm performance show that the average firm experiences significantly positive abnormal returns prior to listing, while abnormal returns following listing on the exchange are typically negative. Meanwhile, researchers also document the return reversals around the listing period.</w:t>
      </w:r>
      <w:r w:rsidRPr="00FF6AA6">
        <w:rPr>
          <w:rStyle w:val="FootnoteReference"/>
          <w:color w:val="000000"/>
          <w:sz w:val="20"/>
          <w:szCs w:val="20"/>
        </w:rPr>
        <w:footnoteReference w:id="3"/>
      </w:r>
      <w:r w:rsidRPr="00FF6AA6">
        <w:rPr>
          <w:color w:val="000000"/>
          <w:sz w:val="20"/>
          <w:szCs w:val="20"/>
        </w:rPr>
        <w:t xml:space="preserve"> The opportunism argument of Dharan and Ikenberry (1995) indicates that poor post-listing performance appears to be related to managerial timing of listing applications around the peaks in stock performance. Webb’s (1999) findings also support Dharan and Ikenberry. On the other hand, Cheng (2005) finds no underperformance of new listings in the post-listing period by using calendar-time analyses, consistent with the pseudo market timing hypothesis by Schultz (2003). Managerial actions that coincide with the peaks of firm’s stock prices do not necessarily mean the managers can forecast the overall market. Indeed managers can tell when their firms’ stock prices are high, and by taking actions like exchange listings at these times, there can be the</w:t>
      </w:r>
      <w:r w:rsidRPr="00FF6AA6">
        <w:rPr>
          <w:iCs/>
          <w:color w:val="000000"/>
          <w:sz w:val="20"/>
          <w:szCs w:val="20"/>
        </w:rPr>
        <w:t xml:space="preserve"> appearance </w:t>
      </w:r>
      <w:r w:rsidRPr="00FF6AA6">
        <w:rPr>
          <w:color w:val="000000"/>
          <w:sz w:val="20"/>
          <w:szCs w:val="20"/>
        </w:rPr>
        <w:t xml:space="preserve">of foresight. However, given the possibility of self interest motivation, insiders of these firms inevitably have the incentive to act on their private information about the timing of listing. Thus, examining the exchange listing performance and the role of insiders should bring more insights about the issue. </w:t>
      </w:r>
    </w:p>
    <w:p w:rsidR="001A5DF6" w:rsidRPr="00FF6AA6" w:rsidRDefault="001A5DF6" w:rsidP="00680453">
      <w:pPr>
        <w:spacing w:line="360" w:lineRule="auto"/>
        <w:ind w:firstLineChars="100" w:firstLine="31680"/>
        <w:jc w:val="both"/>
        <w:rPr>
          <w:color w:val="000000"/>
          <w:kern w:val="0"/>
          <w:sz w:val="20"/>
          <w:szCs w:val="20"/>
        </w:rPr>
      </w:pPr>
      <w:r w:rsidRPr="00FF6AA6">
        <w:rPr>
          <w:color w:val="000000"/>
          <w:kern w:val="0"/>
          <w:sz w:val="20"/>
          <w:szCs w:val="20"/>
        </w:rPr>
        <w:t xml:space="preserve">As suggested by previous studies that insiders are able to identify the mispricing in equities of their own firms, insider trades hence have important signaling value for investors </w:t>
      </w:r>
      <w:r w:rsidRPr="00FF6AA6">
        <w:rPr>
          <w:color w:val="000000"/>
          <w:sz w:val="20"/>
          <w:szCs w:val="20"/>
        </w:rPr>
        <w:t>(e.g., Jaffe, 1974; Finnerty, 1976; Rozeff and Zaman, 1988; Lin and Howe, 1990; Lakonishok and Lee, 2001)</w:t>
      </w:r>
      <w:r w:rsidRPr="00FF6AA6">
        <w:rPr>
          <w:color w:val="000000"/>
          <w:kern w:val="0"/>
          <w:sz w:val="20"/>
          <w:szCs w:val="20"/>
        </w:rPr>
        <w:t xml:space="preserve">. </w:t>
      </w:r>
      <w:r w:rsidRPr="00FF6AA6">
        <w:rPr>
          <w:color w:val="000000"/>
          <w:sz w:val="20"/>
          <w:szCs w:val="20"/>
        </w:rPr>
        <w:t xml:space="preserve">Furthermore, researchers also document that insiders can even </w:t>
      </w:r>
      <w:r w:rsidRPr="00FF6AA6">
        <w:rPr>
          <w:color w:val="000000"/>
          <w:kern w:val="0"/>
          <w:sz w:val="20"/>
          <w:szCs w:val="20"/>
        </w:rPr>
        <w:t>predict abnormal shifts of future stock price</w:t>
      </w:r>
      <w:r w:rsidRPr="00FF6AA6">
        <w:rPr>
          <w:color w:val="000000"/>
          <w:sz w:val="20"/>
          <w:szCs w:val="20"/>
        </w:rPr>
        <w:t xml:space="preserve"> (Seyhun, 1988, 1992) and know of future firm-specific events, including bankruptcy (Seyhun and Bradley, 1997), corporate earnings announcements (Penman, 1982; Elliott et al., 1984), dividend initiations (John and Lang, 1991), seasoned equity offerings (Karpoff and Lee, 1991; Gombola et al., 1999), stock repurchases (Lee et al., 1992), takeover bids (Seyhun, 1990), and exchange listings (Lo et al., 2006). Together, these studies provide a theoretical framework on how insider trading is related to their private information on firm-specific events and offer empirically testable propositions. </w:t>
      </w:r>
    </w:p>
    <w:p w:rsidR="001A5DF6" w:rsidRPr="00FF6AA6" w:rsidRDefault="001A5DF6" w:rsidP="00680453">
      <w:pPr>
        <w:spacing w:line="360" w:lineRule="auto"/>
        <w:ind w:firstLineChars="100" w:firstLine="31680"/>
        <w:jc w:val="both"/>
        <w:rPr>
          <w:color w:val="000000"/>
          <w:kern w:val="0"/>
          <w:sz w:val="20"/>
          <w:szCs w:val="20"/>
        </w:rPr>
      </w:pPr>
      <w:r w:rsidRPr="00FF6AA6">
        <w:rPr>
          <w:color w:val="000000"/>
          <w:kern w:val="0"/>
          <w:sz w:val="20"/>
          <w:szCs w:val="20"/>
        </w:rPr>
        <w:t>In a setting where insiders have privileged knowledge about the firm’s potential projects, their voluntary sales of the firm’s stocks at least partially reveal their private information. Kahle (2000) shows that equity issues with prior insider sales are more likely to be overvalued, and thus more likely to underperform in the long run. This finding is consistent with the view that i</w:t>
      </w:r>
      <w:r w:rsidRPr="00FF6AA6">
        <w:rPr>
          <w:color w:val="000000"/>
          <w:sz w:val="20"/>
          <w:szCs w:val="20"/>
        </w:rPr>
        <w:t xml:space="preserve">f insiders possess useful information, their selling should signal poor returns ahead. </w:t>
      </w:r>
      <w:r w:rsidRPr="00FF6AA6">
        <w:rPr>
          <w:color w:val="000000"/>
          <w:kern w:val="0"/>
          <w:sz w:val="20"/>
          <w:szCs w:val="20"/>
        </w:rPr>
        <w:t xml:space="preserve">In accordance with this observation, we take the perspective </w:t>
      </w:r>
      <w:r w:rsidRPr="00FF6AA6">
        <w:rPr>
          <w:color w:val="000000"/>
          <w:sz w:val="20"/>
          <w:szCs w:val="20"/>
        </w:rPr>
        <w:t>that insider selling activity (subject to disclosure regulations) is one of the most direct signals available about exchange listing for conveying private information to the market. Given that insiders act on longer-term information rather than upcoming announcements suggested by</w:t>
      </w:r>
      <w:r w:rsidRPr="00FF6AA6">
        <w:rPr>
          <w:color w:val="000000"/>
          <w:kern w:val="0"/>
          <w:sz w:val="20"/>
          <w:szCs w:val="20"/>
        </w:rPr>
        <w:t xml:space="preserve"> prior research</w:t>
      </w:r>
      <w:r w:rsidRPr="00FF6AA6">
        <w:rPr>
          <w:color w:val="000000"/>
          <w:sz w:val="20"/>
          <w:szCs w:val="20"/>
        </w:rPr>
        <w:t xml:space="preserve"> (e.g., Elliott et al., 1984; Ke et al., 2003), i</w:t>
      </w:r>
      <w:r w:rsidRPr="00FF6AA6">
        <w:rPr>
          <w:color w:val="000000"/>
          <w:kern w:val="0"/>
          <w:sz w:val="20"/>
          <w:szCs w:val="20"/>
        </w:rPr>
        <w:t xml:space="preserve">f insiders exploit the extraordinary pre-listing stock returns for personal gains, then insider sale transactions prior to the listing should be related to post-listing performance rather than to listing day returns. As a result, after listing performance should be poorer for firms with prior insider sales than those without. </w:t>
      </w:r>
    </w:p>
    <w:p w:rsidR="001A5DF6" w:rsidRPr="00FF6AA6" w:rsidRDefault="001A5DF6" w:rsidP="00680453">
      <w:pPr>
        <w:spacing w:line="360" w:lineRule="auto"/>
        <w:ind w:firstLineChars="100" w:firstLine="31680"/>
        <w:jc w:val="both"/>
        <w:rPr>
          <w:color w:val="000000"/>
          <w:kern w:val="0"/>
          <w:sz w:val="20"/>
          <w:szCs w:val="20"/>
        </w:rPr>
      </w:pPr>
      <w:r w:rsidRPr="00FF6AA6">
        <w:rPr>
          <w:color w:val="000000"/>
          <w:kern w:val="0"/>
          <w:sz w:val="20"/>
          <w:szCs w:val="20"/>
        </w:rPr>
        <w:t>The main purpose of this paper is therefore to</w:t>
      </w:r>
      <w:r w:rsidRPr="00FF6AA6">
        <w:rPr>
          <w:color w:val="000000"/>
          <w:sz w:val="20"/>
          <w:szCs w:val="20"/>
        </w:rPr>
        <w:t xml:space="preserve"> examine the informational role of pre-listing insider selling by testing its relationship with the performance of exchange listing. Specifically</w:t>
      </w:r>
      <w:r w:rsidRPr="00FF6AA6">
        <w:rPr>
          <w:color w:val="000000"/>
          <w:kern w:val="0"/>
          <w:sz w:val="20"/>
          <w:szCs w:val="20"/>
        </w:rPr>
        <w:t>,</w:t>
      </w:r>
      <w:r w:rsidRPr="00FF6AA6">
        <w:rPr>
          <w:color w:val="000000"/>
          <w:sz w:val="20"/>
          <w:szCs w:val="20"/>
        </w:rPr>
        <w:t xml:space="preserve"> we wish to ascertain</w:t>
      </w:r>
      <w:r w:rsidRPr="00FF6AA6">
        <w:rPr>
          <w:color w:val="000000"/>
          <w:kern w:val="0"/>
          <w:sz w:val="20"/>
          <w:szCs w:val="20"/>
        </w:rPr>
        <w:t xml:space="preserve"> whether investors consider the revealed information on announced insider sales preceding listing as a useful signal for evaluating firms’ listing decisions, </w:t>
      </w:r>
      <w:r w:rsidRPr="00FF6AA6">
        <w:rPr>
          <w:color w:val="000000"/>
          <w:sz w:val="20"/>
          <w:szCs w:val="20"/>
        </w:rPr>
        <w:t>and whether the pre-listing insider sale activities can be an important mechanism to predict post-listing stock returns.</w:t>
      </w:r>
      <w:r w:rsidRPr="00FF6AA6">
        <w:rPr>
          <w:color w:val="000000"/>
          <w:kern w:val="0"/>
          <w:sz w:val="20"/>
          <w:szCs w:val="20"/>
        </w:rPr>
        <w:t xml:space="preserve">  </w:t>
      </w:r>
    </w:p>
    <w:p w:rsidR="001A5DF6" w:rsidRPr="00FF6AA6" w:rsidRDefault="001A5DF6" w:rsidP="00680453">
      <w:pPr>
        <w:autoSpaceDE w:val="0"/>
        <w:autoSpaceDN w:val="0"/>
        <w:adjustRightInd w:val="0"/>
        <w:spacing w:line="360" w:lineRule="auto"/>
        <w:ind w:firstLineChars="100" w:firstLine="31680"/>
        <w:jc w:val="both"/>
        <w:rPr>
          <w:color w:val="000000"/>
          <w:sz w:val="20"/>
          <w:szCs w:val="20"/>
        </w:rPr>
      </w:pPr>
      <w:r w:rsidRPr="00FF6AA6">
        <w:rPr>
          <w:color w:val="000000"/>
          <w:sz w:val="20"/>
          <w:szCs w:val="20"/>
        </w:rPr>
        <w:t xml:space="preserve">Over the last decade, the Taiwan Stock Exchange (TSEC) has attempted to lure OTC companies to list on the main board. Since 1992, many OTC firms have responded by moving from the OTC market to the TSEC. </w:t>
      </w:r>
      <w:r w:rsidRPr="00FF6AA6">
        <w:rPr>
          <w:rFonts w:ascii="TimesNewRoman" w:hAnsi="TimesNewRoman" w:cs="TimesNewRoman"/>
          <w:color w:val="000000"/>
          <w:kern w:val="0"/>
          <w:sz w:val="20"/>
          <w:szCs w:val="20"/>
        </w:rPr>
        <w:t>The moves of these firms, together with the unique regulation environment in Taiwan that</w:t>
      </w:r>
      <w:r w:rsidRPr="00FF6AA6">
        <w:rPr>
          <w:color w:val="000000"/>
          <w:sz w:val="20"/>
          <w:szCs w:val="20"/>
        </w:rPr>
        <w:t xml:space="preserve"> requires </w:t>
      </w:r>
      <w:r w:rsidRPr="00FF6AA6">
        <w:rPr>
          <w:rFonts w:ascii="TimesNewRoman" w:hAnsi="TimesNewRoman" w:cs="TimesNewRoman"/>
          <w:color w:val="000000"/>
          <w:kern w:val="0"/>
          <w:sz w:val="20"/>
          <w:szCs w:val="20"/>
        </w:rPr>
        <w:t xml:space="preserve">the disclosure of </w:t>
      </w:r>
      <w:r w:rsidRPr="00FF6AA6">
        <w:rPr>
          <w:rFonts w:ascii="TimesNewRoman" w:hAnsi="TimesNewRoman" w:cs="TimesNewRoman"/>
          <w:i/>
          <w:color w:val="000000"/>
          <w:kern w:val="0"/>
          <w:sz w:val="20"/>
          <w:szCs w:val="20"/>
        </w:rPr>
        <w:t>planned</w:t>
      </w:r>
      <w:r w:rsidRPr="00FF6AA6">
        <w:rPr>
          <w:rFonts w:ascii="TimesNewRoman" w:hAnsi="TimesNewRoman" w:cs="TimesNewRoman"/>
          <w:color w:val="000000"/>
          <w:kern w:val="0"/>
          <w:sz w:val="20"/>
          <w:szCs w:val="20"/>
        </w:rPr>
        <w:t xml:space="preserve"> insider sales before trading, provide a favorable opportunity for investigating the information value of insider behavior prior to exchange listing. Owing to</w:t>
      </w:r>
      <w:r w:rsidRPr="00FF6AA6">
        <w:rPr>
          <w:color w:val="000000"/>
          <w:sz w:val="20"/>
          <w:szCs w:val="20"/>
        </w:rPr>
        <w:t xml:space="preserve"> the knowledge of insider sale is available to the market before trading, we can avoid the debate about when insider selling is publicly available. Besides, Lo et al. (2006) find that the information on insider sales reported after listing attracts only limited attention, while dissemination of planned insider selling before exchange listing can negatively influence the stock price in Taiwan market. Given that the market pays more attention to the pre-listing planned insider sales, we conduct our tests with sample firms from TSEC based on such knowledge. </w:t>
      </w:r>
      <w:r w:rsidRPr="00FF6AA6">
        <w:rPr>
          <w:rFonts w:ascii="TimesNewRoman" w:hAnsi="TimesNewRoman" w:cs="TimesNewRoman"/>
          <w:color w:val="000000"/>
          <w:kern w:val="0"/>
          <w:sz w:val="20"/>
          <w:szCs w:val="20"/>
        </w:rPr>
        <w:t xml:space="preserve">Since most of the related studies use data from the developed markets, our tests shed light on the nature of insider actions before listing in </w:t>
      </w:r>
      <w:r w:rsidRPr="00FF6AA6">
        <w:rPr>
          <w:color w:val="000000"/>
          <w:sz w:val="20"/>
          <w:szCs w:val="20"/>
        </w:rPr>
        <w:t>an emerging market</w:t>
      </w:r>
      <w:r w:rsidRPr="00FF6AA6">
        <w:rPr>
          <w:color w:val="000000"/>
          <w:kern w:val="0"/>
          <w:sz w:val="20"/>
          <w:szCs w:val="20"/>
        </w:rPr>
        <w:t xml:space="preserve"> characterized by more strict disclosure regulations on insider selling</w:t>
      </w:r>
      <w:r w:rsidRPr="00FF6AA6">
        <w:rPr>
          <w:iCs/>
          <w:color w:val="000000"/>
          <w:kern w:val="0"/>
          <w:sz w:val="20"/>
          <w:szCs w:val="20"/>
        </w:rPr>
        <w:t xml:space="preserve">. </w:t>
      </w:r>
      <w:r w:rsidRPr="00FF6AA6">
        <w:rPr>
          <w:color w:val="000000"/>
          <w:kern w:val="0"/>
          <w:sz w:val="20"/>
          <w:szCs w:val="20"/>
        </w:rPr>
        <w:t>Empirical results based on the Taiwanese data may reflect a</w:t>
      </w:r>
      <w:r w:rsidRPr="00FF6AA6">
        <w:rPr>
          <w:rFonts w:ascii="TimesNewRomanPSMT" w:hAnsi="TimesNewRomanPSMT" w:cs="TimesNewRomanPSMT"/>
          <w:color w:val="000000"/>
          <w:kern w:val="0"/>
          <w:sz w:val="20"/>
          <w:szCs w:val="20"/>
        </w:rPr>
        <w:t xml:space="preserve"> relatively clearer informed trading behavior</w:t>
      </w:r>
      <w:r w:rsidRPr="00FF6AA6">
        <w:rPr>
          <w:color w:val="000000"/>
          <w:kern w:val="0"/>
          <w:sz w:val="20"/>
          <w:szCs w:val="20"/>
        </w:rPr>
        <w:t xml:space="preserve"> and may generate interesting empirical findings along the line of exchange listing.</w:t>
      </w:r>
    </w:p>
    <w:p w:rsidR="001A5DF6" w:rsidRPr="00FF6AA6" w:rsidRDefault="001A5DF6" w:rsidP="003D6633">
      <w:pPr>
        <w:spacing w:line="360" w:lineRule="auto"/>
        <w:ind w:firstLineChars="100" w:firstLine="31680"/>
        <w:jc w:val="both"/>
        <w:rPr>
          <w:color w:val="000000"/>
          <w:kern w:val="0"/>
          <w:sz w:val="20"/>
          <w:szCs w:val="20"/>
        </w:rPr>
      </w:pPr>
      <w:r w:rsidRPr="00FF6AA6">
        <w:rPr>
          <w:color w:val="000000"/>
          <w:kern w:val="0"/>
          <w:sz w:val="20"/>
          <w:szCs w:val="20"/>
        </w:rPr>
        <w:t>By examining the association of insider sale transactions with stock returns around exchange listing, we hope to observe whether insider sales before listing are driven by exceptional pre-listing stock performance, and to assess the predictive capability</w:t>
      </w:r>
      <w:r w:rsidRPr="00FF6AA6">
        <w:rPr>
          <w:color w:val="000000"/>
          <w:sz w:val="20"/>
          <w:szCs w:val="20"/>
        </w:rPr>
        <w:t xml:space="preserve"> of prior insider sales for exchange listing day effect as well as post-listing stock performance.</w:t>
      </w:r>
      <w:r w:rsidRPr="00FF6AA6">
        <w:rPr>
          <w:color w:val="000000"/>
          <w:kern w:val="0"/>
          <w:sz w:val="20"/>
          <w:szCs w:val="20"/>
        </w:rPr>
        <w:t xml:space="preserve"> We posit that insider sales based on excellent pre-listing returns will be reflected in the relationship between prior insider sale transactions and subsequent post-listing stock returns rather than the listing day returns. A negative association between prior insider sales and post-listing stock returns will indicate that pre-listing insider sales do signal poor future stock performance and can help predict the prospects of the firm. </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This paper differs from the previous studies in several ways. First, it is the first attempt at analyzing the post-listing performance from the perspective of insider sales before listing, and provides new insights into the predictive ability of prior insider sales for exchange listing day effect and for post-listing performance. Second, by employing a simultaneous equation approach, it tests the alternative explanation that insiders may have simply traded for portfolio adjustment or liquidity reasons when stock performance is unusually good, regardless of information-based motivation. Finally, it extends the early research on exchange listing and insider trading in an emerging market outside the U.S. By providing evidence that prior insider sale transactions, motivated by their private information regarding listing decisions, have a strong effect on the post-listing underperformance, we believe that this paper contributes to the existing literature on the informational role of insider trading around exchange listing.</w:t>
      </w:r>
      <w:r w:rsidRPr="00FF6AA6">
        <w:rPr>
          <w:rStyle w:val="FootnoteReference"/>
          <w:color w:val="000000"/>
          <w:sz w:val="20"/>
          <w:szCs w:val="20"/>
        </w:rPr>
        <w:footnoteReference w:id="4"/>
      </w:r>
      <w:r w:rsidRPr="00FF6AA6">
        <w:rPr>
          <w:color w:val="000000"/>
          <w:sz w:val="20"/>
          <w:szCs w:val="20"/>
        </w:rPr>
        <w:t xml:space="preserve"> </w:t>
      </w:r>
    </w:p>
    <w:p w:rsidR="001A5DF6" w:rsidRPr="00FF6AA6" w:rsidRDefault="001A5DF6" w:rsidP="00680453">
      <w:pPr>
        <w:spacing w:line="360" w:lineRule="auto"/>
        <w:ind w:firstLineChars="100" w:firstLine="31680"/>
        <w:jc w:val="both"/>
        <w:rPr>
          <w:color w:val="000000"/>
          <w:kern w:val="0"/>
          <w:sz w:val="20"/>
          <w:szCs w:val="20"/>
        </w:rPr>
      </w:pPr>
      <w:r w:rsidRPr="00FF6AA6">
        <w:rPr>
          <w:color w:val="000000"/>
          <w:sz w:val="20"/>
          <w:szCs w:val="20"/>
        </w:rPr>
        <w:t>The remainder of this paper is organized as follows. Section 2 discusses the data and explains the methodology. Empirical results are analyzed in Section 3. Finally, Section 4 summarizes the conclusions and their implications.</w:t>
      </w:r>
    </w:p>
    <w:p w:rsidR="001A5DF6" w:rsidRPr="00FF6AA6" w:rsidRDefault="001A5DF6" w:rsidP="00A508F4">
      <w:pPr>
        <w:spacing w:line="360" w:lineRule="auto"/>
        <w:jc w:val="both"/>
        <w:outlineLvl w:val="0"/>
        <w:rPr>
          <w:b/>
          <w:color w:val="000000"/>
          <w:sz w:val="20"/>
          <w:szCs w:val="20"/>
        </w:rPr>
      </w:pPr>
      <w:r w:rsidRPr="00FF6AA6">
        <w:rPr>
          <w:b/>
          <w:color w:val="000000"/>
          <w:sz w:val="20"/>
          <w:szCs w:val="20"/>
        </w:rPr>
        <w:t>2. Data and methodology</w:t>
      </w:r>
    </w:p>
    <w:p w:rsidR="001A5DF6" w:rsidRPr="00FF6AA6" w:rsidRDefault="001A5DF6" w:rsidP="000846F0">
      <w:pPr>
        <w:autoSpaceDE w:val="0"/>
        <w:autoSpaceDN w:val="0"/>
        <w:adjustRightInd w:val="0"/>
        <w:spacing w:line="360" w:lineRule="auto"/>
        <w:jc w:val="both"/>
        <w:rPr>
          <w:b/>
          <w:color w:val="000000"/>
          <w:kern w:val="0"/>
          <w:sz w:val="20"/>
          <w:szCs w:val="20"/>
        </w:rPr>
      </w:pPr>
      <w:r w:rsidRPr="00FF6AA6">
        <w:rPr>
          <w:b/>
          <w:color w:val="000000"/>
          <w:kern w:val="0"/>
          <w:sz w:val="20"/>
          <w:szCs w:val="20"/>
        </w:rPr>
        <w:t>2.1 Exchange listing procedure in Taiwan</w:t>
      </w:r>
    </w:p>
    <w:p w:rsidR="001A5DF6" w:rsidRPr="00FF6AA6" w:rsidRDefault="001A5DF6" w:rsidP="000846F0">
      <w:pPr>
        <w:autoSpaceDE w:val="0"/>
        <w:autoSpaceDN w:val="0"/>
        <w:adjustRightInd w:val="0"/>
        <w:spacing w:line="360" w:lineRule="auto"/>
        <w:jc w:val="both"/>
        <w:rPr>
          <w:color w:val="000000"/>
          <w:kern w:val="0"/>
          <w:sz w:val="20"/>
          <w:szCs w:val="20"/>
        </w:rPr>
      </w:pPr>
      <w:r w:rsidRPr="00FF6AA6">
        <w:rPr>
          <w:color w:val="000000"/>
          <w:kern w:val="0"/>
          <w:sz w:val="20"/>
          <w:szCs w:val="20"/>
        </w:rPr>
        <w:t xml:space="preserve">  </w:t>
      </w:r>
      <w:r w:rsidRPr="00FF6AA6">
        <w:rPr>
          <w:color w:val="000000"/>
          <w:sz w:val="20"/>
          <w:szCs w:val="20"/>
        </w:rPr>
        <w:t>Similar to the regulation in the US, a</w:t>
      </w:r>
      <w:r w:rsidRPr="00FF6AA6">
        <w:rPr>
          <w:color w:val="000000"/>
          <w:kern w:val="0"/>
          <w:sz w:val="20"/>
          <w:szCs w:val="20"/>
        </w:rPr>
        <w:t xml:space="preserve"> detailed sequence of procedures must be followed by a firm to obtain a listing on the Taiwan Stock Exchange (TSEC). First, a firm must meet certain exchange standards that include a minimum firm age, a minimum realized capital, a minimum net income, and a minimum number of owners of round lots of shares. Next, the firm applies for listing in discussion with an exchange. Following a formal application for listed status, an official announcement appears in the exchange’s bulletin. Then the exchange issues an approval of the listing application followed by the date on which the firm is to commence trading on the exchange. These dates (</w:t>
      </w:r>
      <w:r w:rsidRPr="00FF6AA6">
        <w:rPr>
          <w:color w:val="000000"/>
          <w:sz w:val="20"/>
          <w:szCs w:val="20"/>
        </w:rPr>
        <w:t>the approval day and the listing day) are published in subsequent issues of statement. Finally, all firms that are approved for listing must enter into a listing agreement with the TSEC.</w:t>
      </w:r>
      <w:r w:rsidRPr="00FF6AA6">
        <w:rPr>
          <w:rStyle w:val="FootnoteReference"/>
          <w:color w:val="000000"/>
          <w:sz w:val="20"/>
          <w:szCs w:val="20"/>
        </w:rPr>
        <w:footnoteReference w:id="5"/>
      </w:r>
      <w:r w:rsidRPr="00FF6AA6">
        <w:rPr>
          <w:color w:val="000000"/>
          <w:sz w:val="20"/>
          <w:szCs w:val="20"/>
        </w:rPr>
        <w:t xml:space="preserve"> Though t</w:t>
      </w:r>
      <w:r w:rsidRPr="00FF6AA6">
        <w:rPr>
          <w:color w:val="000000"/>
          <w:kern w:val="0"/>
          <w:sz w:val="20"/>
          <w:szCs w:val="20"/>
        </w:rPr>
        <w:t>he interval between application announcement and listing date may vary in length from company to company, the average (median) period of the sample firms used in this study is 102 (80) days with a minimum of 52 days and a maximum of 574 days.</w:t>
      </w:r>
      <w:r w:rsidRPr="00FF6AA6">
        <w:rPr>
          <w:rStyle w:val="FootnoteReference"/>
          <w:color w:val="000000"/>
          <w:kern w:val="0"/>
          <w:sz w:val="20"/>
          <w:szCs w:val="20"/>
        </w:rPr>
        <w:footnoteReference w:id="6"/>
      </w:r>
      <w:r w:rsidRPr="00FF6AA6">
        <w:rPr>
          <w:color w:val="000000"/>
          <w:kern w:val="0"/>
          <w:sz w:val="20"/>
          <w:szCs w:val="20"/>
        </w:rPr>
        <w:t xml:space="preserve">  </w:t>
      </w:r>
    </w:p>
    <w:p w:rsidR="001A5DF6" w:rsidRPr="00FF6AA6" w:rsidRDefault="001A5DF6" w:rsidP="00A508F4">
      <w:pPr>
        <w:spacing w:line="360" w:lineRule="auto"/>
        <w:outlineLvl w:val="0"/>
        <w:rPr>
          <w:b/>
          <w:color w:val="000000"/>
          <w:sz w:val="20"/>
          <w:szCs w:val="20"/>
        </w:rPr>
      </w:pPr>
      <w:r w:rsidRPr="00FF6AA6">
        <w:rPr>
          <w:b/>
          <w:color w:val="000000"/>
          <w:sz w:val="20"/>
          <w:szCs w:val="20"/>
        </w:rPr>
        <w:t>2.2 Sample selection and data on insider sale trades</w:t>
      </w:r>
    </w:p>
    <w:p w:rsidR="001A5DF6" w:rsidRPr="00FF6AA6" w:rsidRDefault="001A5DF6" w:rsidP="00A508F4">
      <w:pPr>
        <w:spacing w:line="360" w:lineRule="auto"/>
        <w:jc w:val="both"/>
        <w:rPr>
          <w:color w:val="000000"/>
          <w:sz w:val="20"/>
          <w:szCs w:val="20"/>
        </w:rPr>
      </w:pPr>
      <w:r w:rsidRPr="00FF6AA6">
        <w:rPr>
          <w:color w:val="000000"/>
          <w:sz w:val="20"/>
          <w:szCs w:val="20"/>
        </w:rPr>
        <w:t xml:space="preserve">  The sample of exchange listings and their announcement dates are identified from the TSEC and the Market Observation Post System (MOPS), the online service</w:t>
      </w:r>
      <w:r w:rsidRPr="00FF6AA6">
        <w:rPr>
          <w:color w:val="000000"/>
          <w:kern w:val="0"/>
          <w:sz w:val="20"/>
          <w:szCs w:val="20"/>
        </w:rPr>
        <w:t xml:space="preserve"> provided by TSEC,</w:t>
      </w:r>
      <w:r w:rsidRPr="00FF6AA6">
        <w:rPr>
          <w:color w:val="000000"/>
          <w:sz w:val="20"/>
          <w:szCs w:val="20"/>
        </w:rPr>
        <w:t xml:space="preserve"> over the period from January 1992 through December 2002 in which there were no changes in insider trading laws. We obtain 191 OTC sample firms changing trading marketplace to the TSEC, excluding observations with incomplete data.</w:t>
      </w:r>
    </w:p>
    <w:p w:rsidR="001A5DF6" w:rsidRPr="00FF6AA6" w:rsidRDefault="001A5DF6" w:rsidP="00A508F4">
      <w:pPr>
        <w:spacing w:line="360" w:lineRule="auto"/>
        <w:jc w:val="both"/>
        <w:rPr>
          <w:color w:val="000000"/>
          <w:kern w:val="0"/>
          <w:sz w:val="20"/>
          <w:szCs w:val="20"/>
        </w:rPr>
      </w:pPr>
      <w:r w:rsidRPr="00FF6AA6">
        <w:rPr>
          <w:color w:val="000000"/>
          <w:sz w:val="20"/>
          <w:szCs w:val="20"/>
        </w:rPr>
        <w:t xml:space="preserve">  Article 22-2 of </w:t>
      </w:r>
      <w:r w:rsidRPr="00FF6AA6">
        <w:rPr>
          <w:color w:val="000000"/>
          <w:sz w:val="20"/>
          <w:szCs w:val="20"/>
          <w:u w:val="single"/>
        </w:rPr>
        <w:t>Securities and Exchange Act</w:t>
      </w:r>
      <w:r w:rsidRPr="00FF6AA6">
        <w:rPr>
          <w:color w:val="000000"/>
          <w:sz w:val="20"/>
          <w:szCs w:val="20"/>
        </w:rPr>
        <w:t xml:space="preserve"> </w:t>
      </w:r>
      <w:r w:rsidRPr="00FF6AA6">
        <w:rPr>
          <w:color w:val="000000"/>
          <w:kern w:val="0"/>
          <w:sz w:val="20"/>
          <w:szCs w:val="20"/>
        </w:rPr>
        <w:t>in Taiwan defines insiders as directors</w:t>
      </w:r>
      <w:r w:rsidRPr="00FF6AA6">
        <w:rPr>
          <w:rFonts w:ascii="新細明體" w:cs="新細明體"/>
          <w:color w:val="000000"/>
          <w:kern w:val="0"/>
          <w:sz w:val="20"/>
          <w:szCs w:val="20"/>
        </w:rPr>
        <w:t>,</w:t>
      </w:r>
      <w:r w:rsidRPr="00FF6AA6">
        <w:rPr>
          <w:color w:val="000000"/>
          <w:kern w:val="0"/>
          <w:sz w:val="20"/>
          <w:szCs w:val="20"/>
        </w:rPr>
        <w:t xml:space="preserve"> managers, or shareholders with holdings more than ten percent of the total outstanding shares. </w:t>
      </w:r>
      <w:r w:rsidRPr="00FF6AA6">
        <w:rPr>
          <w:color w:val="000000"/>
          <w:sz w:val="20"/>
          <w:szCs w:val="20"/>
        </w:rPr>
        <w:t>A</w:t>
      </w:r>
      <w:r w:rsidRPr="00FF6AA6">
        <w:rPr>
          <w:color w:val="000000"/>
          <w:kern w:val="0"/>
          <w:sz w:val="20"/>
          <w:szCs w:val="20"/>
        </w:rPr>
        <w:t>ccording to t</w:t>
      </w:r>
      <w:r w:rsidRPr="00FF6AA6">
        <w:rPr>
          <w:color w:val="000000"/>
          <w:sz w:val="20"/>
          <w:szCs w:val="20"/>
        </w:rPr>
        <w:t xml:space="preserve">he </w:t>
      </w:r>
      <w:r w:rsidRPr="00FF6AA6">
        <w:rPr>
          <w:color w:val="000000"/>
          <w:sz w:val="20"/>
          <w:szCs w:val="20"/>
          <w:u w:val="single"/>
        </w:rPr>
        <w:t>Securities and Exchange Act</w:t>
      </w:r>
      <w:r w:rsidRPr="00FF6AA6">
        <w:rPr>
          <w:color w:val="000000"/>
          <w:sz w:val="20"/>
          <w:szCs w:val="20"/>
        </w:rPr>
        <w:t xml:space="preserve"> (</w:t>
      </w:r>
      <w:hyperlink r:id="rId7" w:history="1">
        <w:r w:rsidRPr="00FF6AA6">
          <w:rPr>
            <w:color w:val="000000"/>
            <w:kern w:val="0"/>
            <w:sz w:val="20"/>
            <w:szCs w:val="20"/>
          </w:rPr>
          <w:t>Article 22-2</w:t>
        </w:r>
      </w:hyperlink>
      <w:r w:rsidRPr="00FF6AA6">
        <w:rPr>
          <w:color w:val="000000"/>
          <w:kern w:val="0"/>
          <w:sz w:val="20"/>
          <w:szCs w:val="20"/>
        </w:rPr>
        <w:t xml:space="preserve"> and 25), </w:t>
      </w:r>
      <w:r w:rsidRPr="00FF6AA6">
        <w:rPr>
          <w:color w:val="000000"/>
          <w:sz w:val="20"/>
          <w:szCs w:val="20"/>
        </w:rPr>
        <w:t xml:space="preserve">insiders who want to sell </w:t>
      </w:r>
      <w:r w:rsidRPr="00FF6AA6">
        <w:rPr>
          <w:color w:val="000000"/>
          <w:kern w:val="0"/>
          <w:sz w:val="20"/>
          <w:szCs w:val="20"/>
        </w:rPr>
        <w:t>their stocks on the open market</w:t>
      </w:r>
      <w:r w:rsidRPr="00FF6AA6">
        <w:rPr>
          <w:color w:val="000000"/>
          <w:sz w:val="20"/>
          <w:szCs w:val="20"/>
        </w:rPr>
        <w:t xml:space="preserve"> must file their plans in advance with the regulatory authority. Also, if insiders do not complete the planned sales during the permitted transaction period, they still have to report any unfulfilled sales after the expiration of the transaction period. Additionally, insiders shall file, by the fifth day of each month, a report with the issuer of the changes in the number of shares they held during the preceding month. The issuer shall then compile the insider trading data and file the report of changes with the authority by the fifteenth day of each month.</w:t>
      </w:r>
      <w:r w:rsidRPr="00FF6AA6">
        <w:rPr>
          <w:color w:val="000000"/>
          <w:sz w:val="16"/>
          <w:szCs w:val="16"/>
        </w:rPr>
        <w:t xml:space="preserve"> </w:t>
      </w:r>
      <w:r w:rsidRPr="00FF6AA6">
        <w:rPr>
          <w:color w:val="000000"/>
          <w:kern w:val="0"/>
          <w:sz w:val="20"/>
          <w:szCs w:val="20"/>
        </w:rPr>
        <w:t xml:space="preserve">The data on insider sales are obtained from the database of </w:t>
      </w:r>
      <w:r w:rsidRPr="00FF6AA6">
        <w:rPr>
          <w:i/>
          <w:iCs/>
          <w:color w:val="000000"/>
          <w:kern w:val="0"/>
          <w:sz w:val="20"/>
          <w:szCs w:val="20"/>
        </w:rPr>
        <w:t>Taiwan Economic Journal</w:t>
      </w:r>
      <w:r w:rsidRPr="00FF6AA6">
        <w:rPr>
          <w:color w:val="000000"/>
          <w:kern w:val="0"/>
          <w:sz w:val="20"/>
          <w:szCs w:val="20"/>
        </w:rPr>
        <w:t xml:space="preserve"> (TEJ), and MOPS is used to verify the insider trading information. The TEJ database contains all transactions of stock sales reported by insiders subject to disclosure regulations described in t</w:t>
      </w:r>
      <w:r w:rsidRPr="00FF6AA6">
        <w:rPr>
          <w:color w:val="000000"/>
          <w:sz w:val="20"/>
          <w:szCs w:val="20"/>
        </w:rPr>
        <w:t xml:space="preserve">he </w:t>
      </w:r>
      <w:r w:rsidRPr="00FF6AA6">
        <w:rPr>
          <w:color w:val="000000"/>
          <w:sz w:val="20"/>
          <w:szCs w:val="20"/>
          <w:u w:val="single"/>
        </w:rPr>
        <w:t>Securities and Exchange Act</w:t>
      </w:r>
      <w:r w:rsidRPr="00FF6AA6">
        <w:rPr>
          <w:color w:val="000000"/>
          <w:kern w:val="0"/>
          <w:sz w:val="20"/>
          <w:szCs w:val="20"/>
        </w:rPr>
        <w:t xml:space="preserve">. As Seyhun (1992) shows that open market transactions are more informative than other types of trades, our analysis focuses on voluntary open market sales by insiders within the one-year period prior to the listing day. </w:t>
      </w:r>
    </w:p>
    <w:p w:rsidR="001A5DF6" w:rsidRPr="00FF6AA6" w:rsidRDefault="001A5DF6" w:rsidP="00A508F4">
      <w:pPr>
        <w:spacing w:line="360" w:lineRule="auto"/>
        <w:jc w:val="both"/>
        <w:rPr>
          <w:color w:val="000000"/>
          <w:kern w:val="0"/>
          <w:sz w:val="20"/>
          <w:szCs w:val="20"/>
        </w:rPr>
      </w:pPr>
      <w:r w:rsidRPr="00FF6AA6">
        <w:rPr>
          <w:color w:val="000000"/>
          <w:kern w:val="0"/>
          <w:sz w:val="20"/>
          <w:szCs w:val="20"/>
        </w:rPr>
        <w:t xml:space="preserve">  Furthermore, because r</w:t>
      </w:r>
      <w:r w:rsidRPr="00FF6AA6">
        <w:rPr>
          <w:color w:val="000000"/>
          <w:sz w:val="20"/>
          <w:szCs w:val="20"/>
        </w:rPr>
        <w:t xml:space="preserve">egulation and practice in Taiwan demand more than a year for a firm to actually be listed after announcing its board decision to do so, we consider a full year period before listing to capture the full effects of its information content on the listing day returns </w:t>
      </w:r>
      <w:r w:rsidRPr="00FF6AA6">
        <w:rPr>
          <w:color w:val="000000"/>
          <w:kern w:val="0"/>
          <w:sz w:val="20"/>
          <w:szCs w:val="20"/>
        </w:rPr>
        <w:t xml:space="preserve">and on the post-listing stock returns. Given the security ordinance in Taiwan that requires reporting the frequency of insider sales, but not the purchases of the stocks, and the evidence reported by </w:t>
      </w:r>
      <w:r w:rsidRPr="00FF6AA6">
        <w:rPr>
          <w:color w:val="000000"/>
          <w:sz w:val="20"/>
          <w:szCs w:val="20"/>
        </w:rPr>
        <w:t>Lo et al. 2006 that</w:t>
      </w:r>
      <w:r w:rsidRPr="00FF6AA6">
        <w:rPr>
          <w:color w:val="000000"/>
          <w:kern w:val="0"/>
          <w:sz w:val="20"/>
          <w:szCs w:val="20"/>
        </w:rPr>
        <w:t xml:space="preserve"> the market participants treat the </w:t>
      </w:r>
      <w:r w:rsidRPr="00FF6AA6">
        <w:rPr>
          <w:color w:val="000000"/>
          <w:sz w:val="20"/>
          <w:szCs w:val="20"/>
        </w:rPr>
        <w:t>pre-listing insider sales as a negative signal regarding the future prospects of the exchange listing in Taiwan stock market, there is reason to believe a priori that investors consider an unweighted measure of insider sale trades useful. Therefore, unlike previous studies on aggregate (net) insider trading, this paper uses the number of insider sales</w:t>
      </w:r>
      <w:r w:rsidRPr="00FF6AA6">
        <w:rPr>
          <w:color w:val="000000"/>
          <w:kern w:val="0"/>
          <w:sz w:val="20"/>
          <w:szCs w:val="20"/>
        </w:rPr>
        <w:t xml:space="preserve"> to measure the intensity of information content signaled by insider’s actions</w:t>
      </w:r>
      <w:r w:rsidRPr="00FF6AA6">
        <w:rPr>
          <w:color w:val="000000"/>
          <w:sz w:val="20"/>
          <w:szCs w:val="20"/>
        </w:rPr>
        <w:t>, since net sales of stock may still have some insiders buying shares and examination of sales alone might be more informative than net sales.</w:t>
      </w:r>
      <w:r w:rsidRPr="00FF6AA6">
        <w:rPr>
          <w:color w:val="000000"/>
          <w:kern w:val="0"/>
          <w:sz w:val="20"/>
          <w:szCs w:val="20"/>
        </w:rPr>
        <w:t xml:space="preserve"> Also, trading frequency served as a measure of information content is supported by Kyle (1985) that insider information is gradually incorporated into the price with their accumulating orders. A volume-based measurement will be discussed for robust testing in Section 3.5.</w:t>
      </w:r>
    </w:p>
    <w:p w:rsidR="001A5DF6" w:rsidRPr="00FF6AA6" w:rsidRDefault="001A5DF6" w:rsidP="00680453">
      <w:pPr>
        <w:spacing w:line="360" w:lineRule="auto"/>
        <w:ind w:firstLineChars="100" w:firstLine="31680"/>
        <w:jc w:val="both"/>
        <w:rPr>
          <w:color w:val="000000"/>
          <w:kern w:val="0"/>
          <w:sz w:val="20"/>
          <w:szCs w:val="20"/>
        </w:rPr>
      </w:pPr>
      <w:r w:rsidRPr="00FF6AA6">
        <w:rPr>
          <w:color w:val="000000"/>
          <w:kern w:val="0"/>
          <w:sz w:val="20"/>
          <w:szCs w:val="20"/>
        </w:rPr>
        <w:t>Of 191 sample firms, 119 have at least one insider sale trade reported on the TEJ database during the sample period, and the number of insider sales amounts to 436, averaging 3.66 for each firm.</w:t>
      </w:r>
      <w:r w:rsidRPr="00FF6AA6">
        <w:rPr>
          <w:rStyle w:val="FootnoteReference"/>
          <w:color w:val="000000"/>
          <w:kern w:val="0"/>
          <w:sz w:val="20"/>
          <w:szCs w:val="20"/>
        </w:rPr>
        <w:footnoteReference w:id="7"/>
      </w:r>
    </w:p>
    <w:p w:rsidR="001A5DF6" w:rsidRPr="00FF6AA6" w:rsidRDefault="001A5DF6" w:rsidP="00A508F4">
      <w:pPr>
        <w:spacing w:line="360" w:lineRule="auto"/>
        <w:outlineLvl w:val="0"/>
        <w:rPr>
          <w:b/>
          <w:color w:val="000000"/>
          <w:sz w:val="20"/>
          <w:szCs w:val="20"/>
        </w:rPr>
      </w:pPr>
      <w:r w:rsidRPr="00FF6AA6">
        <w:rPr>
          <w:b/>
          <w:color w:val="000000"/>
          <w:sz w:val="20"/>
          <w:szCs w:val="20"/>
        </w:rPr>
        <w:t>2.3 Methodology</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 xml:space="preserve">We use the abnormal stock returns to indicate the effects of the event under study. The primary methodology employed to measure the average magnitude of abnormal returns is based upon the market-adjusted returns model, which avoids the need to estimate controversial betas. We obtain daily stock returns from the </w:t>
      </w:r>
      <w:r w:rsidRPr="00FF6AA6">
        <w:rPr>
          <w:color w:val="000000"/>
          <w:kern w:val="0"/>
          <w:sz w:val="20"/>
          <w:szCs w:val="20"/>
        </w:rPr>
        <w:t>TEJ’s daily stock price file. T</w:t>
      </w:r>
      <w:r w:rsidRPr="00FF6AA6">
        <w:rPr>
          <w:color w:val="000000"/>
          <w:sz w:val="20"/>
          <w:szCs w:val="20"/>
        </w:rPr>
        <w:t xml:space="preserve">he OTC index and TSEC index are used as the proxies for the pre-listing and post-listing markets respectively, and the abnormal returns are computed as the returns in excess of the market index. In order to test the link between the stock performance and insider selling before listing, abnormal returns are calculated first over the pre-listing period from 251 days before to 2 days before the listing day (t=0), then over the 3-day listing event window from day t=-1 to day t=+1, and finally over the post-listing period from day t=+2 to day t=+251. </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For comparison, we also examine various firm characteristics for the year before and after listing, including market value, insider ownership, daily volume turnover, and systematic risk (beta) that may help explain insider sale trading around exchange listing.</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To assess whether investors consider insider sales preceding listing as useful information for evaluating firm’s listing decisions, a regression approach is used to investigate the effect of prior insider sales on the returns of listing period (t-1 to t+1). To control for factors possibly related to listing effects, the ordinary least squares (OLS) regression model is specified as follows:</w:t>
      </w:r>
    </w:p>
    <w:p w:rsidR="001A5DF6" w:rsidRPr="00FF6AA6" w:rsidRDefault="001A5DF6" w:rsidP="003D6633">
      <w:pPr>
        <w:tabs>
          <w:tab w:val="left" w:pos="3420"/>
        </w:tabs>
        <w:spacing w:beforeLines="50" w:afterLines="50" w:line="360" w:lineRule="auto"/>
        <w:ind w:firstLineChars="250" w:firstLine="31680"/>
        <w:jc w:val="right"/>
        <w:rPr>
          <w:color w:val="000000"/>
          <w:sz w:val="20"/>
          <w:szCs w:val="20"/>
        </w:rPr>
      </w:pPr>
      <w:r w:rsidRPr="00FF6AA6">
        <w:rPr>
          <w:color w:val="000000"/>
          <w:position w:val="-32"/>
          <w:sz w:val="20"/>
          <w:szCs w:val="20"/>
        </w:rPr>
        <w:object w:dxaOrig="675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25pt;height:34.5pt" o:ole="">
            <v:imagedata r:id="rId8" o:title=""/>
          </v:shape>
          <o:OLEObject Type="Embed" ProgID="Equation.DSMT4" ShapeID="_x0000_i1025" DrawAspect="Content" ObjectID="_1292138233" r:id="rId9"/>
        </w:object>
      </w:r>
      <w:r w:rsidRPr="00FF6AA6">
        <w:rPr>
          <w:color w:val="000000"/>
          <w:sz w:val="20"/>
          <w:szCs w:val="20"/>
        </w:rPr>
        <w:t xml:space="preserve">      (1)</w:t>
      </w:r>
    </w:p>
    <w:p w:rsidR="001A5DF6" w:rsidRPr="00FF6AA6" w:rsidRDefault="001A5DF6" w:rsidP="00A508F4">
      <w:pPr>
        <w:spacing w:line="360" w:lineRule="auto"/>
        <w:jc w:val="both"/>
        <w:rPr>
          <w:color w:val="000000"/>
          <w:sz w:val="20"/>
          <w:szCs w:val="20"/>
        </w:rPr>
      </w:pPr>
      <w:r w:rsidRPr="00FF6AA6">
        <w:rPr>
          <w:color w:val="000000"/>
          <w:sz w:val="20"/>
          <w:szCs w:val="20"/>
        </w:rPr>
        <w:t xml:space="preserve">where </w:t>
      </w:r>
      <w:r w:rsidRPr="00FF6AA6">
        <w:rPr>
          <w:i/>
          <w:color w:val="000000"/>
          <w:sz w:val="20"/>
          <w:szCs w:val="20"/>
        </w:rPr>
        <w:t>ListingdayCAR</w:t>
      </w:r>
      <w:r w:rsidRPr="00FF6AA6">
        <w:rPr>
          <w:i/>
          <w:color w:val="000000"/>
          <w:sz w:val="20"/>
          <w:szCs w:val="20"/>
          <w:vertAlign w:val="subscript"/>
        </w:rPr>
        <w:t>i</w:t>
      </w:r>
      <w:r w:rsidRPr="00FF6AA6">
        <w:rPr>
          <w:color w:val="000000"/>
          <w:sz w:val="20"/>
          <w:szCs w:val="20"/>
        </w:rPr>
        <w:t xml:space="preserve"> is the abnormal returns for the listing event window (t-1 to t+1); the primary independent variable, </w:t>
      </w:r>
      <w:r w:rsidRPr="00FF6AA6">
        <w:rPr>
          <w:i/>
          <w:color w:val="000000"/>
          <w:sz w:val="20"/>
          <w:szCs w:val="20"/>
        </w:rPr>
        <w:t>InsiderSelling</w:t>
      </w:r>
      <w:r w:rsidRPr="00FF6AA6">
        <w:rPr>
          <w:i/>
          <w:color w:val="000000"/>
          <w:sz w:val="20"/>
          <w:szCs w:val="20"/>
          <w:vertAlign w:val="subscript"/>
        </w:rPr>
        <w:t>i</w:t>
      </w:r>
      <w:r w:rsidRPr="00FF6AA6">
        <w:rPr>
          <w:color w:val="000000"/>
          <w:sz w:val="20"/>
          <w:szCs w:val="20"/>
        </w:rPr>
        <w:t xml:space="preserve">, is the number of insider sales reported in the one year period before the listing day; </w:t>
      </w:r>
      <w:r w:rsidRPr="00FF6AA6">
        <w:rPr>
          <w:i/>
          <w:color w:val="000000"/>
          <w:sz w:val="20"/>
          <w:szCs w:val="20"/>
        </w:rPr>
        <w:t>PrelistingCAR</w:t>
      </w:r>
      <w:r w:rsidRPr="00FF6AA6">
        <w:rPr>
          <w:i/>
          <w:color w:val="000000"/>
          <w:sz w:val="20"/>
          <w:szCs w:val="20"/>
          <w:vertAlign w:val="subscript"/>
        </w:rPr>
        <w:t>i</w:t>
      </w:r>
      <w:r w:rsidRPr="00FF6AA6">
        <w:rPr>
          <w:color w:val="000000"/>
          <w:sz w:val="20"/>
          <w:szCs w:val="20"/>
        </w:rPr>
        <w:t xml:space="preserve"> is the cumulative abnormal returns over 250 days before the listing day (t-251 to t-2); </w:t>
      </w:r>
      <w:r w:rsidRPr="00FF6AA6">
        <w:rPr>
          <w:i/>
          <w:color w:val="000000"/>
          <w:sz w:val="20"/>
          <w:szCs w:val="20"/>
        </w:rPr>
        <w:t>Size</w:t>
      </w:r>
      <w:r w:rsidRPr="00FF6AA6">
        <w:rPr>
          <w:i/>
          <w:color w:val="000000"/>
          <w:sz w:val="20"/>
          <w:szCs w:val="20"/>
          <w:vertAlign w:val="subscript"/>
        </w:rPr>
        <w:t>i</w:t>
      </w:r>
      <w:r w:rsidRPr="00FF6AA6">
        <w:rPr>
          <w:color w:val="000000"/>
          <w:sz w:val="20"/>
          <w:szCs w:val="20"/>
        </w:rPr>
        <w:t xml:space="preserve"> is the log of the average market value of equity in the year prior to the listing; </w:t>
      </w:r>
      <w:r w:rsidRPr="00FF6AA6">
        <w:rPr>
          <w:i/>
          <w:color w:val="000000"/>
          <w:sz w:val="20"/>
          <w:szCs w:val="20"/>
        </w:rPr>
        <w:t>Ownership</w:t>
      </w:r>
      <w:r w:rsidRPr="00FF6AA6">
        <w:rPr>
          <w:i/>
          <w:color w:val="000000"/>
          <w:sz w:val="20"/>
          <w:szCs w:val="20"/>
          <w:vertAlign w:val="subscript"/>
        </w:rPr>
        <w:t>i</w:t>
      </w:r>
      <w:r w:rsidRPr="00FF6AA6">
        <w:rPr>
          <w:color w:val="000000"/>
          <w:sz w:val="20"/>
          <w:szCs w:val="20"/>
        </w:rPr>
        <w:t xml:space="preserve"> is the average percentage of holdings held by insiders in the year prior to the listing; and </w:t>
      </w:r>
      <w:r w:rsidRPr="00FF6AA6">
        <w:rPr>
          <w:i/>
          <w:color w:val="000000"/>
          <w:sz w:val="20"/>
          <w:szCs w:val="20"/>
        </w:rPr>
        <w:t>Dindustry</w:t>
      </w:r>
      <w:r w:rsidRPr="00FF6AA6">
        <w:rPr>
          <w:i/>
          <w:color w:val="000000"/>
          <w:sz w:val="20"/>
          <w:szCs w:val="20"/>
          <w:vertAlign w:val="subscript"/>
        </w:rPr>
        <w:t>i</w:t>
      </w:r>
      <w:r w:rsidRPr="00FF6AA6">
        <w:rPr>
          <w:color w:val="000000"/>
          <w:sz w:val="20"/>
          <w:szCs w:val="20"/>
        </w:rPr>
        <w:t xml:space="preserve"> is a dummy equal to one for firms classified as in the electronic industry.</w:t>
      </w:r>
      <w:r w:rsidRPr="00FF6AA6">
        <w:rPr>
          <w:rStyle w:val="FootnoteReference"/>
          <w:color w:val="000000"/>
          <w:sz w:val="20"/>
          <w:szCs w:val="20"/>
        </w:rPr>
        <w:footnoteReference w:id="8"/>
      </w:r>
      <w:r w:rsidRPr="00FF6AA6">
        <w:rPr>
          <w:color w:val="000000"/>
          <w:sz w:val="20"/>
          <w:szCs w:val="20"/>
        </w:rPr>
        <w:t xml:space="preserve"> </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 xml:space="preserve">We control for the firm size and insider ownership because previous evidence shows that firms with higher insider holdings experience greater announcement returns for various corporate decisions such as stock repurchases (Vermaelen, 1981), dividend initiations (Born, 1988), sell-offs (Hirschey and Zaima, 1989), stock splits (Han and Suk, 1998a), and junior-for-senior (Hull and Mazachek, 2001). Specifically, Han and Suk (1998a), who use firm size as a proxy for the level of information asymmetry, find that the significant relationship between insider ownership and announcement returns is due to small firm effect. In addition, </w:t>
      </w:r>
      <w:r w:rsidRPr="00FF6AA6">
        <w:rPr>
          <w:i/>
          <w:color w:val="000000"/>
          <w:sz w:val="20"/>
          <w:szCs w:val="20"/>
        </w:rPr>
        <w:t xml:space="preserve">PrelistingCAR </w:t>
      </w:r>
      <w:r w:rsidRPr="00FF6AA6">
        <w:rPr>
          <w:color w:val="000000"/>
          <w:sz w:val="20"/>
          <w:szCs w:val="20"/>
        </w:rPr>
        <w:t xml:space="preserve">can be interpreted as a measure of the extent to which the listing day effect might be predicted by the market. As electronic firms dominate our sample, we also include a dummy to control for the industry effect.  </w:t>
      </w:r>
    </w:p>
    <w:p w:rsidR="001A5DF6" w:rsidRPr="00FF6AA6" w:rsidRDefault="001A5DF6" w:rsidP="00A508F4">
      <w:pPr>
        <w:tabs>
          <w:tab w:val="left" w:pos="1640"/>
        </w:tabs>
        <w:spacing w:line="360" w:lineRule="auto"/>
        <w:jc w:val="both"/>
        <w:rPr>
          <w:color w:val="000000"/>
          <w:sz w:val="20"/>
          <w:szCs w:val="20"/>
        </w:rPr>
      </w:pPr>
      <w:r w:rsidRPr="00FF6AA6">
        <w:rPr>
          <w:color w:val="000000"/>
          <w:sz w:val="20"/>
          <w:szCs w:val="20"/>
        </w:rPr>
        <w:t xml:space="preserve">  Next, we employ the regression framework to examine the association of prior insider sale transactions with post-listing stock returns. In other words, our interest lies in ascertaining the predictive content of pre-listing insider sales for future return prospects. The models are given by the following representations:</w:t>
      </w:r>
    </w:p>
    <w:p w:rsidR="001A5DF6" w:rsidRPr="00FF6AA6" w:rsidRDefault="001A5DF6" w:rsidP="001479D4">
      <w:pPr>
        <w:tabs>
          <w:tab w:val="left" w:pos="1640"/>
        </w:tabs>
        <w:spacing w:beforeLines="50" w:afterLines="50" w:line="360" w:lineRule="auto"/>
        <w:jc w:val="right"/>
        <w:rPr>
          <w:color w:val="000000"/>
          <w:sz w:val="20"/>
          <w:szCs w:val="20"/>
        </w:rPr>
      </w:pPr>
      <w:r w:rsidRPr="00FF6AA6">
        <w:rPr>
          <w:color w:val="000000"/>
          <w:sz w:val="20"/>
          <w:szCs w:val="20"/>
        </w:rPr>
        <w:t xml:space="preserve">   </w:t>
      </w:r>
      <w:r w:rsidRPr="00FF6AA6">
        <w:rPr>
          <w:color w:val="000000"/>
          <w:position w:val="-12"/>
          <w:sz w:val="20"/>
          <w:szCs w:val="20"/>
        </w:rPr>
        <w:object w:dxaOrig="6399" w:dyaOrig="380">
          <v:shape id="_x0000_i1026" type="#_x0000_t75" style="width:307.5pt;height:17.25pt" o:ole="">
            <v:imagedata r:id="rId10" o:title=""/>
          </v:shape>
          <o:OLEObject Type="Embed" ProgID="Equation.DSMT4" ShapeID="_x0000_i1026" DrawAspect="Content" ObjectID="_1292138234" r:id="rId11"/>
        </w:object>
      </w:r>
      <w:r w:rsidRPr="00FF6AA6">
        <w:rPr>
          <w:color w:val="000000"/>
          <w:sz w:val="20"/>
          <w:szCs w:val="20"/>
        </w:rPr>
        <w:t xml:space="preserve">        (2)</w:t>
      </w:r>
    </w:p>
    <w:p w:rsidR="001A5DF6" w:rsidRPr="00FF6AA6" w:rsidRDefault="001A5DF6" w:rsidP="001479D4">
      <w:pPr>
        <w:tabs>
          <w:tab w:val="left" w:pos="1640"/>
        </w:tabs>
        <w:spacing w:beforeLines="50" w:afterLines="50" w:line="360" w:lineRule="auto"/>
        <w:jc w:val="right"/>
        <w:rPr>
          <w:color w:val="000000"/>
          <w:sz w:val="20"/>
          <w:szCs w:val="20"/>
        </w:rPr>
      </w:pPr>
      <w:r w:rsidRPr="00FF6AA6">
        <w:rPr>
          <w:color w:val="000000"/>
          <w:sz w:val="20"/>
          <w:szCs w:val="20"/>
        </w:rPr>
        <w:t xml:space="preserve">   </w:t>
      </w:r>
      <w:r w:rsidRPr="00FF6AA6">
        <w:rPr>
          <w:color w:val="000000"/>
          <w:position w:val="-32"/>
          <w:sz w:val="20"/>
          <w:szCs w:val="20"/>
        </w:rPr>
        <w:object w:dxaOrig="6660" w:dyaOrig="760">
          <v:shape id="_x0000_i1027" type="#_x0000_t75" style="width:309.75pt;height:34.5pt" o:ole="">
            <v:imagedata r:id="rId12" o:title=""/>
          </v:shape>
          <o:OLEObject Type="Embed" ProgID="Equation.DSMT4" ShapeID="_x0000_i1027" DrawAspect="Content" ObjectID="_1292138235" r:id="rId13"/>
        </w:object>
      </w:r>
      <w:r w:rsidRPr="00FF6AA6">
        <w:rPr>
          <w:color w:val="000000"/>
          <w:sz w:val="20"/>
          <w:szCs w:val="20"/>
        </w:rPr>
        <w:t xml:space="preserve">        (3)</w:t>
      </w:r>
    </w:p>
    <w:p w:rsidR="001A5DF6" w:rsidRPr="00FF6AA6" w:rsidRDefault="001A5DF6" w:rsidP="00A508F4">
      <w:pPr>
        <w:tabs>
          <w:tab w:val="left" w:pos="1640"/>
        </w:tabs>
        <w:spacing w:line="360" w:lineRule="auto"/>
        <w:jc w:val="both"/>
        <w:rPr>
          <w:color w:val="000000"/>
          <w:sz w:val="20"/>
          <w:szCs w:val="20"/>
        </w:rPr>
      </w:pPr>
      <w:r w:rsidRPr="00FF6AA6">
        <w:rPr>
          <w:color w:val="000000"/>
          <w:sz w:val="20"/>
          <w:szCs w:val="20"/>
        </w:rPr>
        <w:t xml:space="preserve">where </w:t>
      </w:r>
      <w:r w:rsidRPr="00FF6AA6">
        <w:rPr>
          <w:i/>
          <w:color w:val="000000"/>
          <w:sz w:val="20"/>
          <w:szCs w:val="20"/>
        </w:rPr>
        <w:t>PostlistingCAR</w:t>
      </w:r>
      <w:r w:rsidRPr="00FF6AA6">
        <w:rPr>
          <w:i/>
          <w:color w:val="000000"/>
          <w:sz w:val="20"/>
          <w:szCs w:val="20"/>
          <w:vertAlign w:val="subscript"/>
        </w:rPr>
        <w:t>i</w:t>
      </w:r>
      <w:r w:rsidRPr="00FF6AA6">
        <w:rPr>
          <w:color w:val="000000"/>
          <w:sz w:val="20"/>
          <w:szCs w:val="20"/>
        </w:rPr>
        <w:t xml:space="preserve"> is the cumulative abnormal returns over 250 days after the listing day (t+2 to t+251); </w:t>
      </w:r>
      <w:r w:rsidRPr="00FF6AA6">
        <w:rPr>
          <w:i/>
          <w:color w:val="000000"/>
          <w:sz w:val="20"/>
          <w:szCs w:val="20"/>
        </w:rPr>
        <w:t>Beta</w:t>
      </w:r>
      <w:r w:rsidRPr="00FF6AA6">
        <w:rPr>
          <w:i/>
          <w:color w:val="000000"/>
          <w:sz w:val="20"/>
          <w:szCs w:val="20"/>
          <w:vertAlign w:val="subscript"/>
        </w:rPr>
        <w:t>i</w:t>
      </w:r>
      <w:r w:rsidRPr="00FF6AA6">
        <w:rPr>
          <w:color w:val="000000"/>
          <w:sz w:val="20"/>
          <w:szCs w:val="20"/>
        </w:rPr>
        <w:t xml:space="preserve"> is the systematic risk of the firm’s stock estimated by the market model over 250 days before listing; and the other variables are defined in the same way as in Equation (1). </w:t>
      </w:r>
    </w:p>
    <w:p w:rsidR="001A5DF6" w:rsidRPr="00FF6AA6" w:rsidRDefault="001A5DF6" w:rsidP="00A508F4">
      <w:pPr>
        <w:tabs>
          <w:tab w:val="left" w:pos="1640"/>
        </w:tabs>
        <w:spacing w:line="360" w:lineRule="auto"/>
        <w:jc w:val="both"/>
        <w:rPr>
          <w:color w:val="000000"/>
          <w:sz w:val="20"/>
          <w:szCs w:val="20"/>
        </w:rPr>
      </w:pPr>
      <w:r w:rsidRPr="00FF6AA6">
        <w:rPr>
          <w:color w:val="000000"/>
          <w:sz w:val="20"/>
          <w:szCs w:val="20"/>
        </w:rPr>
        <w:t xml:space="preserve">  In addition to the testable relationship in Equation (2), we also use an expanded model in Equation (3) to better compare the results across firms by controlling various firm characteristics proved important in determining stock returns. These include the level of insider ownership (</w:t>
      </w:r>
      <w:r w:rsidRPr="00FF6AA6">
        <w:rPr>
          <w:i/>
          <w:color w:val="000000"/>
          <w:sz w:val="20"/>
          <w:szCs w:val="20"/>
        </w:rPr>
        <w:t>Ownership</w:t>
      </w:r>
      <w:r w:rsidRPr="00FF6AA6">
        <w:rPr>
          <w:color w:val="000000"/>
          <w:sz w:val="20"/>
          <w:szCs w:val="20"/>
        </w:rPr>
        <w:t>), the size effect (</w:t>
      </w:r>
      <w:r w:rsidRPr="00FF6AA6">
        <w:rPr>
          <w:i/>
          <w:color w:val="000000"/>
          <w:sz w:val="20"/>
          <w:szCs w:val="20"/>
        </w:rPr>
        <w:t>Size</w:t>
      </w:r>
      <w:r w:rsidRPr="00FF6AA6">
        <w:rPr>
          <w:color w:val="000000"/>
          <w:sz w:val="20"/>
          <w:szCs w:val="20"/>
        </w:rPr>
        <w:t>), the systematic risk (</w:t>
      </w:r>
      <w:r w:rsidRPr="00FF6AA6">
        <w:rPr>
          <w:i/>
          <w:color w:val="000000"/>
          <w:sz w:val="20"/>
          <w:szCs w:val="20"/>
        </w:rPr>
        <w:t>Beta</w:t>
      </w:r>
      <w:r w:rsidRPr="00FF6AA6">
        <w:rPr>
          <w:color w:val="000000"/>
          <w:sz w:val="20"/>
          <w:szCs w:val="20"/>
        </w:rPr>
        <w:t>) and the industry effect (</w:t>
      </w:r>
      <w:r w:rsidRPr="00FF6AA6">
        <w:rPr>
          <w:i/>
          <w:color w:val="000000"/>
          <w:sz w:val="20"/>
          <w:szCs w:val="20"/>
        </w:rPr>
        <w:t>Dindustry</w:t>
      </w:r>
      <w:r w:rsidRPr="00FF6AA6">
        <w:rPr>
          <w:color w:val="000000"/>
          <w:sz w:val="20"/>
          <w:szCs w:val="20"/>
        </w:rPr>
        <w:t xml:space="preserve">). Han and Suk (1998b) suggest that the level of insider ownership is positively related to the stock returns. Dharan and Ikenberry (1995) find that poor post-listing performance is more severe for smaller firms. </w:t>
      </w:r>
    </w:p>
    <w:p w:rsidR="001A5DF6" w:rsidRPr="00FF6AA6" w:rsidRDefault="001A5DF6" w:rsidP="00680453">
      <w:pPr>
        <w:tabs>
          <w:tab w:val="left" w:pos="1640"/>
        </w:tabs>
        <w:spacing w:line="360" w:lineRule="auto"/>
        <w:ind w:firstLineChars="100" w:firstLine="31680"/>
        <w:jc w:val="both"/>
        <w:rPr>
          <w:color w:val="000000"/>
          <w:sz w:val="20"/>
          <w:szCs w:val="20"/>
        </w:rPr>
      </w:pPr>
      <w:r w:rsidRPr="00FF6AA6">
        <w:rPr>
          <w:color w:val="000000"/>
          <w:sz w:val="20"/>
          <w:szCs w:val="20"/>
        </w:rPr>
        <w:t xml:space="preserve">To the extent that prior insider sales serve as a valuable signal for post-listing stock performance, the estimated coefficients of </w:t>
      </w:r>
      <w:r w:rsidRPr="00FF6AA6">
        <w:rPr>
          <w:i/>
          <w:color w:val="000000"/>
          <w:sz w:val="20"/>
          <w:szCs w:val="20"/>
        </w:rPr>
        <w:t>InsiderSelling</w:t>
      </w:r>
      <w:r w:rsidRPr="00FF6AA6">
        <w:rPr>
          <w:color w:val="000000"/>
          <w:sz w:val="20"/>
          <w:szCs w:val="20"/>
        </w:rPr>
        <w:t xml:space="preserve"> are considered to be negative.</w:t>
      </w:r>
    </w:p>
    <w:p w:rsidR="001A5DF6" w:rsidRPr="00FF6AA6" w:rsidRDefault="001A5DF6" w:rsidP="00A508F4">
      <w:pPr>
        <w:spacing w:line="360" w:lineRule="auto"/>
        <w:jc w:val="both"/>
        <w:outlineLvl w:val="0"/>
        <w:rPr>
          <w:b/>
          <w:color w:val="000000"/>
          <w:sz w:val="20"/>
          <w:szCs w:val="20"/>
        </w:rPr>
      </w:pPr>
      <w:r w:rsidRPr="00FF6AA6">
        <w:rPr>
          <w:b/>
          <w:color w:val="000000"/>
          <w:sz w:val="20"/>
          <w:szCs w:val="20"/>
        </w:rPr>
        <w:t>3. Empirical results</w:t>
      </w:r>
    </w:p>
    <w:p w:rsidR="001A5DF6" w:rsidRPr="00FF6AA6" w:rsidRDefault="001A5DF6" w:rsidP="00A508F4">
      <w:pPr>
        <w:spacing w:line="360" w:lineRule="auto"/>
        <w:jc w:val="both"/>
        <w:outlineLvl w:val="0"/>
        <w:rPr>
          <w:b/>
          <w:color w:val="000000"/>
          <w:kern w:val="0"/>
          <w:sz w:val="20"/>
          <w:szCs w:val="20"/>
        </w:rPr>
      </w:pPr>
      <w:r w:rsidRPr="00FF6AA6">
        <w:rPr>
          <w:b/>
          <w:color w:val="000000"/>
          <w:kern w:val="0"/>
          <w:sz w:val="20"/>
          <w:szCs w:val="20"/>
        </w:rPr>
        <w:t xml:space="preserve">3.1 Comparisons of abnormal returns before and after exchange listing  </w:t>
      </w:r>
    </w:p>
    <w:p w:rsidR="001A5DF6" w:rsidRPr="00FF6AA6" w:rsidRDefault="001A5DF6" w:rsidP="00A508F4">
      <w:pPr>
        <w:spacing w:line="360" w:lineRule="auto"/>
        <w:jc w:val="both"/>
        <w:rPr>
          <w:color w:val="000000"/>
          <w:sz w:val="20"/>
          <w:szCs w:val="20"/>
        </w:rPr>
      </w:pPr>
      <w:r w:rsidRPr="00FF6AA6">
        <w:rPr>
          <w:color w:val="000000"/>
          <w:sz w:val="20"/>
          <w:szCs w:val="20"/>
        </w:rPr>
        <w:t xml:space="preserve">  We first examine daily abnormal returns of sample firms moving from the OTC market to the TSEC to determine whether these firms experience positive abnormal returns before listing and negative abnormal returns after listing. Also, various firm characteristics that may help explain insider sales around exchange listing are presented. Table 1 lists cumulative abnormal returns (CARs) </w:t>
      </w:r>
      <w:r w:rsidRPr="00FF6AA6">
        <w:rPr>
          <w:color w:val="000000"/>
          <w:kern w:val="0"/>
          <w:sz w:val="20"/>
          <w:szCs w:val="20"/>
        </w:rPr>
        <w:t>for all the sample listings and the two subgroups—firms with and without prior insider sales</w:t>
      </w:r>
      <w:r w:rsidRPr="00FF6AA6">
        <w:rPr>
          <w:color w:val="000000"/>
          <w:sz w:val="20"/>
          <w:szCs w:val="20"/>
        </w:rPr>
        <w:t xml:space="preserve">. On average, the cumulative abnormal return (CAR) from the application announcement to the actual listing day is 6.77%, and CAR over 250 days before listing reaches 11.46%, both significant at the 0.01 level. Meanwhile, the CARs over 50, 150, and 250 days after listing are -5.65%, -3.66%, and -14.13%, respectively, all significant at the 0.1 level or better. The findings are further verified by the declines in market value as well as by the decreases in insider ownership percentages following the listing. Additionally, the three-day CAR for the listing window (t-1 to t+1) is not significantly different from zero. These results are consistent with the evidences from previous studies regarding exchange listing as mentioned above. </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 xml:space="preserve">For ease of comparison, the similar data of sample firms with and without pre-listing insider sales are provided in column 3 and 4 in Table 1. Also, the </w:t>
      </w:r>
      <w:r w:rsidRPr="00FF6AA6">
        <w:rPr>
          <w:i/>
          <w:color w:val="000000"/>
          <w:sz w:val="20"/>
          <w:szCs w:val="20"/>
        </w:rPr>
        <w:t>t</w:t>
      </w:r>
      <w:r w:rsidRPr="00FF6AA6">
        <w:rPr>
          <w:color w:val="000000"/>
          <w:sz w:val="20"/>
          <w:szCs w:val="20"/>
        </w:rPr>
        <w:t>-tests and non-parametric</w:t>
      </w:r>
      <w:r w:rsidRPr="00FF6AA6">
        <w:rPr>
          <w:color w:val="000000"/>
          <w:kern w:val="0"/>
          <w:sz w:val="20"/>
          <w:szCs w:val="20"/>
        </w:rPr>
        <w:t xml:space="preserve"> Mann-Whitney tests</w:t>
      </w:r>
      <w:r w:rsidRPr="00FF6AA6">
        <w:rPr>
          <w:color w:val="000000"/>
          <w:sz w:val="20"/>
          <w:szCs w:val="20"/>
        </w:rPr>
        <w:t xml:space="preserve"> for the mean and median difference between subgroups are reported in column 5 and column 6. We find that the pre-listing stock returns for firms with prior insider sales are essentially the same as those without insider sales, both showing strong pre-listing performance. For listing day returns, firms with insider sales experience a negative -0.49%, compared with a positive 0.60% for those without insider sales on average. However, both cases and the difference between the two subgroups are insignificant at traditional levels. By contrast, firms in which insiders sell their holdings before listing suffer more negative post-listing abnormal returns than those without prior insider sales, and the mean differences are statistically significant. The evidence</w:t>
      </w:r>
      <w:r w:rsidRPr="00FF6AA6">
        <w:rPr>
          <w:color w:val="000000"/>
          <w:kern w:val="0"/>
          <w:sz w:val="20"/>
          <w:szCs w:val="20"/>
        </w:rPr>
        <w:t xml:space="preserve"> clearly demonstrates a negative relationship between prior insider sales and post-listing stock returns and lends support to the conjecture that insiders time their trades to take advantage of extraordinary pre-listing performance and </w:t>
      </w:r>
      <w:r w:rsidRPr="00FF6AA6">
        <w:rPr>
          <w:color w:val="000000"/>
          <w:sz w:val="20"/>
          <w:szCs w:val="20"/>
        </w:rPr>
        <w:t>avoid a potential loss that would be suffered if they postpone their sales until the post-listing period.</w:t>
      </w:r>
    </w:p>
    <w:p w:rsidR="001A5DF6" w:rsidRPr="00FF6AA6" w:rsidRDefault="001A5DF6" w:rsidP="006111F9">
      <w:pPr>
        <w:spacing w:line="360" w:lineRule="auto"/>
        <w:jc w:val="both"/>
        <w:rPr>
          <w:color w:val="000000"/>
          <w:kern w:val="0"/>
          <w:sz w:val="16"/>
          <w:szCs w:val="16"/>
        </w:rPr>
      </w:pPr>
      <w:r w:rsidRPr="00FF6AA6">
        <w:rPr>
          <w:color w:val="000000"/>
          <w:sz w:val="20"/>
          <w:szCs w:val="20"/>
        </w:rPr>
        <w:t xml:space="preserve">  Table 2 lists the comparisons of various firm characteristics. We find that the market value and volume turnover before listing are significantly larger for the subgroup with insider sales, indicating that insider sales appear to be concentrated on the stocks of larger companies and that these sales seem to trigger a wave of transactions by other market participants. These results are consistent with the findings of Finnerty (1976) and support the leading indicator hypothesis of Givoly and Palmon (1985). We also observe that insider ownership percentages are significantly lower for firms with prior insider sales, reflecting the phenomenon that insiders tend to decrease their stock holdings in anticipation of poor future prospects. The results in Table 1 and Table 2 indicate that exceptional pre-listing stock returns and poor post-listing performance are evident in Taiwan stock market, and the differences between the subgroup with insider sales and that without insider sales are pervasive across post-listing performance and firm characteristics.</w:t>
      </w:r>
    </w:p>
    <w:p w:rsidR="001A5DF6" w:rsidRPr="00FF6AA6" w:rsidRDefault="001A5DF6" w:rsidP="006111F9">
      <w:pPr>
        <w:spacing w:line="360" w:lineRule="auto"/>
        <w:jc w:val="both"/>
        <w:rPr>
          <w:color w:val="000000"/>
          <w:kern w:val="0"/>
          <w:sz w:val="16"/>
          <w:szCs w:val="16"/>
        </w:rPr>
      </w:pPr>
      <w:r w:rsidRPr="00FF6AA6">
        <w:rPr>
          <w:color w:val="000000"/>
          <w:sz w:val="20"/>
          <w:szCs w:val="20"/>
        </w:rPr>
        <w:t xml:space="preserve">  The correlation matrix for the variables is reported in Table 3. The Pearson (Spearman) correlation coefficients are reported at the lower-triangle (upper-triangle). As expected, </w:t>
      </w:r>
      <w:r w:rsidRPr="00FF6AA6">
        <w:rPr>
          <w:i/>
          <w:color w:val="000000"/>
          <w:sz w:val="20"/>
          <w:szCs w:val="20"/>
        </w:rPr>
        <w:t xml:space="preserve">InsiderSelling </w:t>
      </w:r>
      <w:r w:rsidRPr="00FF6AA6">
        <w:rPr>
          <w:color w:val="000000"/>
          <w:sz w:val="20"/>
          <w:szCs w:val="20"/>
        </w:rPr>
        <w:t xml:space="preserve">variable shows significantly negative relation to </w:t>
      </w:r>
      <w:r w:rsidRPr="00FF6AA6">
        <w:rPr>
          <w:i/>
          <w:color w:val="000000"/>
          <w:sz w:val="20"/>
          <w:szCs w:val="20"/>
        </w:rPr>
        <w:t>PostlistingCAR</w:t>
      </w:r>
      <w:r w:rsidRPr="00FF6AA6">
        <w:rPr>
          <w:color w:val="000000"/>
          <w:sz w:val="20"/>
          <w:szCs w:val="20"/>
        </w:rPr>
        <w:t xml:space="preserve"> in both measures, implying that insider sales preceding listing convey information about poor future prospects. Additionally, Table 3 apparently shows a negative correlation between </w:t>
      </w:r>
      <w:r w:rsidRPr="00FF6AA6">
        <w:rPr>
          <w:i/>
          <w:color w:val="000000"/>
          <w:sz w:val="20"/>
          <w:szCs w:val="20"/>
        </w:rPr>
        <w:t>PrelistingCAR</w:t>
      </w:r>
      <w:r w:rsidRPr="00FF6AA6">
        <w:rPr>
          <w:color w:val="000000"/>
          <w:sz w:val="20"/>
          <w:szCs w:val="20"/>
        </w:rPr>
        <w:t xml:space="preserve"> and </w:t>
      </w:r>
      <w:r w:rsidRPr="00FF6AA6">
        <w:rPr>
          <w:i/>
          <w:color w:val="000000"/>
          <w:sz w:val="20"/>
          <w:szCs w:val="20"/>
        </w:rPr>
        <w:t>PostlistingCAR</w:t>
      </w:r>
      <w:r w:rsidRPr="00FF6AA6">
        <w:rPr>
          <w:color w:val="000000"/>
          <w:sz w:val="20"/>
          <w:szCs w:val="20"/>
        </w:rPr>
        <w:t xml:space="preserve">. This result suggests that firms with strong pre-listing performance tend to significantly underperform in the post-listing period, and thus supports the opportunism hypothesis for these stocks. Moreover, the correlation between </w:t>
      </w:r>
      <w:r w:rsidRPr="00FF6AA6">
        <w:rPr>
          <w:i/>
          <w:color w:val="000000"/>
          <w:sz w:val="20"/>
          <w:szCs w:val="20"/>
        </w:rPr>
        <w:t xml:space="preserve">Size </w:t>
      </w:r>
      <w:r w:rsidRPr="00FF6AA6">
        <w:rPr>
          <w:color w:val="000000"/>
          <w:sz w:val="20"/>
          <w:szCs w:val="20"/>
        </w:rPr>
        <w:t xml:space="preserve">and </w:t>
      </w:r>
      <w:r w:rsidRPr="00FF6AA6">
        <w:rPr>
          <w:i/>
          <w:color w:val="000000"/>
          <w:sz w:val="20"/>
          <w:szCs w:val="20"/>
        </w:rPr>
        <w:t>InsiderSelling</w:t>
      </w:r>
      <w:r w:rsidRPr="00FF6AA6">
        <w:rPr>
          <w:color w:val="000000"/>
          <w:sz w:val="20"/>
          <w:szCs w:val="20"/>
        </w:rPr>
        <w:t xml:space="preserve"> is statistically significant with the positive sign, and is in line with previous findings that insider sales tend to be concentrated on large company stocks (Rozeff and Zaman, 1988). However, </w:t>
      </w:r>
      <w:r w:rsidRPr="00FF6AA6">
        <w:rPr>
          <w:i/>
          <w:color w:val="000000"/>
          <w:sz w:val="20"/>
          <w:szCs w:val="20"/>
        </w:rPr>
        <w:t>Size</w:t>
      </w:r>
      <w:r w:rsidRPr="00FF6AA6">
        <w:rPr>
          <w:color w:val="000000"/>
          <w:sz w:val="20"/>
          <w:szCs w:val="20"/>
        </w:rPr>
        <w:t xml:space="preserve"> is negatively related to </w:t>
      </w:r>
      <w:r w:rsidRPr="00FF6AA6">
        <w:rPr>
          <w:i/>
          <w:color w:val="000000"/>
          <w:sz w:val="20"/>
          <w:szCs w:val="20"/>
        </w:rPr>
        <w:t>Ownership</w:t>
      </w:r>
      <w:r w:rsidRPr="00FF6AA6">
        <w:rPr>
          <w:color w:val="000000"/>
          <w:sz w:val="20"/>
          <w:szCs w:val="20"/>
        </w:rPr>
        <w:t>. This negative relationship between firm size and insider ownership is consistent with Demsetz and Lehn (1985), who attribute the negative association to wealth constraints and risk aversion of insiders.</w:t>
      </w:r>
      <w:r w:rsidRPr="00FF6AA6">
        <w:rPr>
          <w:color w:val="000000"/>
          <w:kern w:val="0"/>
          <w:sz w:val="16"/>
          <w:szCs w:val="16"/>
        </w:rPr>
        <w:t xml:space="preserve"> </w:t>
      </w:r>
    </w:p>
    <w:p w:rsidR="001A5DF6" w:rsidRPr="00FF6AA6" w:rsidRDefault="001A5DF6" w:rsidP="00A508F4">
      <w:pPr>
        <w:spacing w:line="360" w:lineRule="auto"/>
        <w:jc w:val="both"/>
        <w:outlineLvl w:val="0"/>
        <w:rPr>
          <w:b/>
          <w:color w:val="000000"/>
          <w:sz w:val="20"/>
          <w:szCs w:val="20"/>
        </w:rPr>
      </w:pPr>
      <w:r w:rsidRPr="00FF6AA6">
        <w:rPr>
          <w:b/>
          <w:color w:val="000000"/>
          <w:sz w:val="20"/>
          <w:szCs w:val="20"/>
        </w:rPr>
        <w:t>3.2 Prior insider sales and listing day returns</w:t>
      </w:r>
    </w:p>
    <w:p w:rsidR="001A5DF6" w:rsidRPr="00FF6AA6" w:rsidRDefault="001A5DF6" w:rsidP="00A508F4">
      <w:pPr>
        <w:spacing w:line="360" w:lineRule="auto"/>
        <w:jc w:val="both"/>
        <w:rPr>
          <w:color w:val="000000"/>
          <w:sz w:val="20"/>
          <w:szCs w:val="20"/>
        </w:rPr>
      </w:pPr>
      <w:r w:rsidRPr="00FF6AA6">
        <w:rPr>
          <w:color w:val="000000"/>
          <w:sz w:val="20"/>
          <w:szCs w:val="20"/>
        </w:rPr>
        <w:t xml:space="preserve">  Based on the signaling model of insider trading in John and Mishra (1990), the implications for insider sales prior to the listing are derived from the strategies of the insiders and the pricing function in the efficient market. By this reasoning, listing firms accompanied by more insider sales before listing should elicit more negative stock price responses than those accompanied by fewer or no prior insider sales. </w:t>
      </w:r>
    </w:p>
    <w:p w:rsidR="001A5DF6" w:rsidRPr="00FF6AA6" w:rsidRDefault="001A5DF6" w:rsidP="003D6633">
      <w:pPr>
        <w:spacing w:line="360" w:lineRule="auto"/>
        <w:ind w:firstLineChars="100" w:firstLine="31680"/>
        <w:jc w:val="both"/>
        <w:rPr>
          <w:color w:val="000000"/>
          <w:sz w:val="20"/>
          <w:szCs w:val="20"/>
        </w:rPr>
      </w:pPr>
      <w:r w:rsidRPr="00FF6AA6">
        <w:rPr>
          <w:color w:val="000000"/>
          <w:sz w:val="20"/>
          <w:szCs w:val="20"/>
        </w:rPr>
        <w:t>To test for the directional relationship, the sample firms are divided into three subgroups according to the number of insider sales reported before listing. As shown in Panel A of Table 4, positive listing period returns are observed for subgroup 1 and subgroup 2 (firms without and with fewer prior insider sales), while the three-day CAR (t-1 to t+1) is negative for subgroup 3 (firms with more insider sales). However, none of these mean CARs is statistically significant, neither is the difference across subgroups. The results in both Panel A and Panel B of Table 4 provide further evidence that, with regard to the signaling effect on the listing event, firms with different insider selling patterns appear to elicit similar market responses.</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 xml:space="preserve">To further verify the informational role of insider sales before listing, a regression approach is used to test whether the activity of pre-listing insider selling provides a useful context for evaluating exchange listing decisions. Table 5 reports the results of estimation for Equation (1). The coefficient estimate on </w:t>
      </w:r>
      <w:r w:rsidRPr="00FF6AA6">
        <w:rPr>
          <w:i/>
          <w:color w:val="000000"/>
          <w:sz w:val="20"/>
          <w:szCs w:val="20"/>
        </w:rPr>
        <w:t xml:space="preserve">InsiderSelling </w:t>
      </w:r>
      <w:r w:rsidRPr="00FF6AA6">
        <w:rPr>
          <w:color w:val="000000"/>
          <w:sz w:val="20"/>
          <w:szCs w:val="20"/>
        </w:rPr>
        <w:t>is negative but insignificant (</w:t>
      </w:r>
      <w:r w:rsidRPr="00FF6AA6">
        <w:rPr>
          <w:i/>
          <w:color w:val="000000"/>
          <w:sz w:val="20"/>
          <w:szCs w:val="20"/>
        </w:rPr>
        <w:t>t</w:t>
      </w:r>
      <w:r w:rsidRPr="00FF6AA6">
        <w:rPr>
          <w:color w:val="000000"/>
          <w:sz w:val="20"/>
          <w:szCs w:val="20"/>
        </w:rPr>
        <w:t xml:space="preserve">=-0.378), indicating that there is little relation between prior insider sales and listing day effect. Interestingly, the coefficient estimated on </w:t>
      </w:r>
      <w:r w:rsidRPr="00FF6AA6">
        <w:rPr>
          <w:i/>
          <w:color w:val="000000"/>
          <w:sz w:val="20"/>
          <w:szCs w:val="20"/>
        </w:rPr>
        <w:t xml:space="preserve">Size </w:t>
      </w:r>
      <w:r w:rsidRPr="00FF6AA6">
        <w:rPr>
          <w:color w:val="000000"/>
          <w:sz w:val="20"/>
          <w:szCs w:val="20"/>
        </w:rPr>
        <w:t>is negative (-0.208) and significant at the 0.01 level (</w:t>
      </w:r>
      <w:r w:rsidRPr="00FF6AA6">
        <w:rPr>
          <w:i/>
          <w:color w:val="000000"/>
          <w:sz w:val="20"/>
          <w:szCs w:val="20"/>
        </w:rPr>
        <w:t>t</w:t>
      </w:r>
      <w:r w:rsidRPr="00FF6AA6">
        <w:rPr>
          <w:color w:val="000000"/>
          <w:sz w:val="20"/>
          <w:szCs w:val="20"/>
        </w:rPr>
        <w:t>=-2.714), which suggests that firm size, instead of insider selling, affects listing day CARs, and has greater effect for smaller sized firms.</w:t>
      </w:r>
      <w:r w:rsidRPr="00FF6AA6">
        <w:rPr>
          <w:rStyle w:val="FootnoteReference"/>
          <w:color w:val="000000"/>
          <w:sz w:val="20"/>
          <w:szCs w:val="20"/>
        </w:rPr>
        <w:footnoteReference w:id="9"/>
      </w:r>
      <w:r w:rsidRPr="00FF6AA6">
        <w:rPr>
          <w:color w:val="000000"/>
          <w:sz w:val="20"/>
          <w:szCs w:val="20"/>
        </w:rPr>
        <w:t xml:space="preserve">   </w:t>
      </w:r>
    </w:p>
    <w:p w:rsidR="001A5DF6" w:rsidRPr="00FF6AA6" w:rsidRDefault="001A5DF6" w:rsidP="00A508F4">
      <w:pPr>
        <w:spacing w:line="360" w:lineRule="auto"/>
        <w:jc w:val="both"/>
        <w:outlineLvl w:val="0"/>
        <w:rPr>
          <w:b/>
          <w:color w:val="000000"/>
          <w:sz w:val="20"/>
          <w:szCs w:val="20"/>
        </w:rPr>
      </w:pPr>
      <w:r w:rsidRPr="00FF6AA6">
        <w:rPr>
          <w:b/>
          <w:color w:val="000000"/>
          <w:sz w:val="20"/>
          <w:szCs w:val="20"/>
        </w:rPr>
        <w:t>3.3 Prior insider sales and post-listing stock returns</w:t>
      </w:r>
    </w:p>
    <w:p w:rsidR="001A5DF6" w:rsidRPr="00FF6AA6" w:rsidRDefault="001A5DF6" w:rsidP="00A508F4">
      <w:pPr>
        <w:spacing w:line="360" w:lineRule="auto"/>
        <w:jc w:val="both"/>
        <w:rPr>
          <w:color w:val="000000"/>
          <w:kern w:val="0"/>
          <w:sz w:val="20"/>
          <w:szCs w:val="20"/>
        </w:rPr>
      </w:pPr>
      <w:r w:rsidRPr="00FF6AA6">
        <w:rPr>
          <w:color w:val="000000"/>
          <w:sz w:val="20"/>
          <w:szCs w:val="20"/>
        </w:rPr>
        <w:t xml:space="preserve">  Given the insignificant relationship between prior insider sales and listing period returns presented in the previous section, we then examine the association of post-listing stock returns with prior insider selling based on the information asymmetry context. I</w:t>
      </w:r>
      <w:r w:rsidRPr="00FF6AA6">
        <w:rPr>
          <w:color w:val="000000"/>
          <w:kern w:val="0"/>
          <w:sz w:val="20"/>
          <w:szCs w:val="20"/>
        </w:rPr>
        <w:t xml:space="preserve">f insiders do exploit the extraordinary pre-listing stock returns for personal gains, then their sales before listing should be related to the post-listing performance. </w:t>
      </w:r>
    </w:p>
    <w:p w:rsidR="001A5DF6" w:rsidRPr="00FF6AA6" w:rsidRDefault="001A5DF6" w:rsidP="00A508F4">
      <w:pPr>
        <w:spacing w:line="360" w:lineRule="auto"/>
        <w:jc w:val="both"/>
        <w:rPr>
          <w:color w:val="000000"/>
          <w:sz w:val="20"/>
          <w:szCs w:val="20"/>
        </w:rPr>
      </w:pPr>
      <w:r w:rsidRPr="00FF6AA6">
        <w:rPr>
          <w:color w:val="000000"/>
          <w:kern w:val="0"/>
          <w:sz w:val="20"/>
          <w:szCs w:val="20"/>
        </w:rPr>
        <w:t xml:space="preserve">  As shown in Table 1, post-listing stock returns are more negative for firms with insider sales before listing than those without. Correlation analysis in Table 3 also depicts significant connection between these two variables. </w:t>
      </w:r>
      <w:r w:rsidRPr="00FF6AA6">
        <w:rPr>
          <w:color w:val="000000"/>
          <w:sz w:val="20"/>
          <w:szCs w:val="20"/>
        </w:rPr>
        <w:t>To further explore the predictive capacity of prior insider sales for post-listing stock returns, we perform additional tests with results provided in Table 6. Consistent with earlier prediction, the sample is again partitioned into 3 subgroups and the post-listing stock returns decrease monotonically with increasing insider sales. The test statistics in Panel B also reveal that post-listing returns are significantly different across subgroups (</w:t>
      </w:r>
      <w:r w:rsidRPr="00FF6AA6">
        <w:rPr>
          <w:i/>
          <w:color w:val="000000"/>
          <w:sz w:val="20"/>
          <w:szCs w:val="20"/>
        </w:rPr>
        <w:t>F</w:t>
      </w:r>
      <w:r w:rsidRPr="00FF6AA6">
        <w:rPr>
          <w:color w:val="000000"/>
          <w:sz w:val="20"/>
          <w:szCs w:val="20"/>
        </w:rPr>
        <w:t xml:space="preserve">=3.21). </w:t>
      </w:r>
    </w:p>
    <w:p w:rsidR="001A5DF6" w:rsidRPr="00FF6AA6" w:rsidRDefault="001A5DF6" w:rsidP="00680453">
      <w:pPr>
        <w:spacing w:line="360" w:lineRule="auto"/>
        <w:ind w:firstLineChars="100" w:firstLine="31680"/>
        <w:jc w:val="both"/>
        <w:rPr>
          <w:color w:val="000000"/>
          <w:kern w:val="0"/>
          <w:sz w:val="20"/>
          <w:szCs w:val="20"/>
        </w:rPr>
      </w:pPr>
      <w:r w:rsidRPr="00FF6AA6">
        <w:rPr>
          <w:color w:val="000000"/>
          <w:sz w:val="20"/>
          <w:szCs w:val="20"/>
        </w:rPr>
        <w:t xml:space="preserve">Table 7 reports </w:t>
      </w:r>
      <w:r w:rsidRPr="00FF6AA6">
        <w:rPr>
          <w:color w:val="000000"/>
          <w:kern w:val="0"/>
          <w:sz w:val="20"/>
          <w:szCs w:val="20"/>
        </w:rPr>
        <w:t xml:space="preserve">regression results of Equations (2) and (3). The estimated coefficient of </w:t>
      </w:r>
      <w:r w:rsidRPr="00FF6AA6">
        <w:rPr>
          <w:i/>
          <w:color w:val="000000"/>
          <w:sz w:val="20"/>
          <w:szCs w:val="20"/>
        </w:rPr>
        <w:t>InsiderSelling</w:t>
      </w:r>
      <w:r w:rsidRPr="00FF6AA6">
        <w:rPr>
          <w:color w:val="000000"/>
          <w:kern w:val="0"/>
          <w:sz w:val="20"/>
          <w:szCs w:val="20"/>
        </w:rPr>
        <w:t xml:space="preserve"> variable in Equation (2) is -0.139 (</w:t>
      </w:r>
      <w:r w:rsidRPr="00FF6AA6">
        <w:rPr>
          <w:i/>
          <w:color w:val="000000"/>
          <w:kern w:val="0"/>
          <w:sz w:val="20"/>
          <w:szCs w:val="20"/>
        </w:rPr>
        <w:t>t</w:t>
      </w:r>
      <w:r w:rsidRPr="00FF6AA6">
        <w:rPr>
          <w:color w:val="000000"/>
          <w:kern w:val="0"/>
          <w:sz w:val="20"/>
          <w:szCs w:val="20"/>
        </w:rPr>
        <w:t xml:space="preserve">=-2.262), significant at the 0.05 level, indicating that post-listing stock performance is negatively related to insider sales before listing. This negative relation prevails even after controlling for other factors in Equation (3). The magnitude and significance level are virtually identical, and the coefficient estimate on </w:t>
      </w:r>
      <w:r w:rsidRPr="00FF6AA6">
        <w:rPr>
          <w:i/>
          <w:color w:val="000000"/>
          <w:sz w:val="20"/>
          <w:szCs w:val="20"/>
        </w:rPr>
        <w:t>InsiderSelling</w:t>
      </w:r>
      <w:r w:rsidRPr="00FF6AA6">
        <w:rPr>
          <w:color w:val="000000"/>
          <w:sz w:val="20"/>
          <w:szCs w:val="20"/>
        </w:rPr>
        <w:t xml:space="preserve"> still maintains its negative sign</w:t>
      </w:r>
      <w:r w:rsidRPr="00FF6AA6">
        <w:rPr>
          <w:color w:val="000000"/>
          <w:kern w:val="0"/>
          <w:sz w:val="20"/>
          <w:szCs w:val="20"/>
        </w:rPr>
        <w:t xml:space="preserve">. This evidence suggests that the negative effect of prior insider sales on the post-listing stock returns is greater for firms that have more insider sale transactions reported in the pre-listing period. </w:t>
      </w:r>
    </w:p>
    <w:p w:rsidR="001A5DF6" w:rsidRPr="00FF6AA6" w:rsidRDefault="001A5DF6" w:rsidP="00680453">
      <w:pPr>
        <w:spacing w:line="360" w:lineRule="auto"/>
        <w:ind w:firstLineChars="100" w:firstLine="31680"/>
        <w:jc w:val="both"/>
        <w:rPr>
          <w:color w:val="000000"/>
          <w:sz w:val="20"/>
          <w:szCs w:val="20"/>
        </w:rPr>
      </w:pPr>
      <w:r w:rsidRPr="00FF6AA6">
        <w:rPr>
          <w:color w:val="000000"/>
          <w:kern w:val="0"/>
          <w:sz w:val="20"/>
          <w:szCs w:val="20"/>
        </w:rPr>
        <w:t>Notab</w:t>
      </w:r>
      <w:r w:rsidRPr="00FF6AA6">
        <w:rPr>
          <w:color w:val="000000"/>
          <w:sz w:val="20"/>
          <w:szCs w:val="20"/>
        </w:rPr>
        <w:t xml:space="preserve">ly, empirical results in Table 7 also exhibit negative and significant coefficients on </w:t>
      </w:r>
      <w:r w:rsidRPr="00FF6AA6">
        <w:rPr>
          <w:i/>
          <w:color w:val="000000"/>
          <w:sz w:val="20"/>
          <w:szCs w:val="20"/>
        </w:rPr>
        <w:t>PrelistingCAR</w:t>
      </w:r>
      <w:r w:rsidRPr="00FF6AA6">
        <w:rPr>
          <w:color w:val="000000"/>
          <w:sz w:val="20"/>
          <w:szCs w:val="20"/>
        </w:rPr>
        <w:t xml:space="preserve"> in both models. This negative relation suggests that firms with more favorable pre-listing performance tend to experience poorer post-listing performance, and buttresses further the opportunism hypothesis of Dharan and Ikenberry (1995), in which managers appear to change the trading market to an exchange at times of high performance.</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 xml:space="preserve">In conclusion, these results help corroborate our hypothesis that </w:t>
      </w:r>
      <w:r w:rsidRPr="00FF6AA6">
        <w:rPr>
          <w:color w:val="000000"/>
          <w:kern w:val="0"/>
          <w:sz w:val="20"/>
          <w:szCs w:val="20"/>
        </w:rPr>
        <w:t>insider sales will signal subsequent post-listing stock returns. The findings on the predictive content of insider transactions for subsequent stock returns are primarily consistent with related literature (Seyhun, 1988; Seyhun and Bradley, 1997; Karpoff and Lee, 1991). Consequently</w:t>
      </w:r>
      <w:r w:rsidRPr="00FF6AA6">
        <w:rPr>
          <w:color w:val="000000"/>
          <w:sz w:val="20"/>
          <w:szCs w:val="20"/>
        </w:rPr>
        <w:t xml:space="preserve">, investors of soon-to-be-listed companies can expect a more negative post-listing stock performance as the number of pre-listing insider sales increases. </w:t>
      </w:r>
    </w:p>
    <w:p w:rsidR="001A5DF6" w:rsidRPr="00FF6AA6" w:rsidRDefault="001A5DF6" w:rsidP="001479D4">
      <w:pPr>
        <w:spacing w:beforeLines="50" w:afterLines="50" w:line="360" w:lineRule="auto"/>
        <w:jc w:val="both"/>
        <w:outlineLvl w:val="0"/>
        <w:rPr>
          <w:b/>
          <w:color w:val="000000"/>
          <w:sz w:val="20"/>
          <w:szCs w:val="20"/>
        </w:rPr>
      </w:pPr>
      <w:r w:rsidRPr="00FF6AA6">
        <w:rPr>
          <w:b/>
          <w:color w:val="000000"/>
          <w:sz w:val="20"/>
          <w:szCs w:val="20"/>
        </w:rPr>
        <w:t>3.4 Test for non-information based insider sales before listing</w:t>
      </w:r>
    </w:p>
    <w:p w:rsidR="001A5DF6" w:rsidRPr="00FF6AA6" w:rsidRDefault="001A5DF6" w:rsidP="00A508F4">
      <w:pPr>
        <w:spacing w:line="360" w:lineRule="auto"/>
        <w:jc w:val="both"/>
        <w:rPr>
          <w:rFonts w:ascii="AdvTT5843c571" w:hAnsi="AdvTT5843c571" w:cs="AdvTT5843c571"/>
          <w:color w:val="000000"/>
          <w:kern w:val="0"/>
          <w:sz w:val="20"/>
          <w:szCs w:val="20"/>
        </w:rPr>
      </w:pPr>
      <w:r w:rsidRPr="00FF6AA6">
        <w:rPr>
          <w:color w:val="000000"/>
          <w:sz w:val="20"/>
          <w:szCs w:val="20"/>
        </w:rPr>
        <w:t xml:space="preserve">  As shown in Table 3 and Table 7, post-listing performance has a statistically significant relationship with the number of prior insider sales. However, regardless of information-based motivation, the observed negative relationship can also be explained by portfolio adjustments or liquidity reasons when insiders consider the stock price exceptionally high. </w:t>
      </w:r>
      <w:r w:rsidRPr="00FF6AA6">
        <w:rPr>
          <w:rFonts w:ascii="AdvTT5843c571" w:hAnsi="AdvTT5843c571" w:cs="AdvTT5843c571"/>
          <w:color w:val="000000"/>
          <w:kern w:val="0"/>
          <w:sz w:val="20"/>
          <w:szCs w:val="20"/>
        </w:rPr>
        <w:t>To explore this possibility, we estimate the following regression using the negative binomial model to address the relationship between prior insider selling and pre-listing CARs s</w:t>
      </w:r>
      <w:r w:rsidRPr="00FF6AA6">
        <w:rPr>
          <w:color w:val="000000"/>
          <w:sz w:val="20"/>
          <w:szCs w:val="20"/>
        </w:rPr>
        <w:t>ince our dependent variable is the number of insider sales and our data do not meet the requirement of Poisson distribution.</w:t>
      </w:r>
      <w:r w:rsidRPr="00FF6AA6">
        <w:rPr>
          <w:rFonts w:ascii="AdvTT5843c571" w:hAnsi="AdvTT5843c571" w:cs="AdvTT5843c571"/>
          <w:color w:val="000000"/>
          <w:kern w:val="0"/>
          <w:sz w:val="20"/>
          <w:szCs w:val="20"/>
        </w:rPr>
        <w:t xml:space="preserve"> </w:t>
      </w:r>
    </w:p>
    <w:p w:rsidR="001A5DF6" w:rsidRPr="00FF6AA6" w:rsidRDefault="001A5DF6" w:rsidP="00680453">
      <w:pPr>
        <w:spacing w:beforeLines="50" w:line="360" w:lineRule="auto"/>
        <w:ind w:firstLineChars="200" w:firstLine="31680"/>
        <w:jc w:val="right"/>
        <w:rPr>
          <w:rFonts w:ascii="AdvTT5843c571" w:hAnsi="AdvTT5843c571" w:cs="AdvTT5843c571"/>
          <w:color w:val="000000"/>
          <w:kern w:val="0"/>
          <w:sz w:val="20"/>
          <w:szCs w:val="20"/>
        </w:rPr>
      </w:pPr>
      <w:r w:rsidRPr="00FF6AA6">
        <w:rPr>
          <w:color w:val="000000"/>
          <w:position w:val="-32"/>
          <w:sz w:val="20"/>
          <w:szCs w:val="20"/>
        </w:rPr>
        <w:object w:dxaOrig="6660" w:dyaOrig="760">
          <v:shape id="_x0000_i1028" type="#_x0000_t75" style="width:309.75pt;height:34.5pt" o:ole="">
            <v:imagedata r:id="rId14" o:title=""/>
          </v:shape>
          <o:OLEObject Type="Embed" ProgID="Equation.DSMT4" ShapeID="_x0000_i1028" DrawAspect="Content" ObjectID="_1292138236" r:id="rId15"/>
        </w:object>
      </w:r>
      <w:r w:rsidRPr="00FF6AA6">
        <w:rPr>
          <w:color w:val="000000"/>
          <w:sz w:val="20"/>
          <w:szCs w:val="20"/>
        </w:rPr>
        <w:t xml:space="preserve">        (4)</w:t>
      </w:r>
    </w:p>
    <w:p w:rsidR="001A5DF6" w:rsidRPr="00FF6AA6" w:rsidRDefault="001A5DF6" w:rsidP="00A508F4">
      <w:pPr>
        <w:spacing w:line="360" w:lineRule="auto"/>
        <w:jc w:val="both"/>
        <w:rPr>
          <w:color w:val="000000"/>
          <w:sz w:val="20"/>
          <w:szCs w:val="20"/>
        </w:rPr>
      </w:pPr>
      <w:r w:rsidRPr="00FF6AA6">
        <w:rPr>
          <w:color w:val="000000"/>
          <w:sz w:val="20"/>
          <w:szCs w:val="20"/>
        </w:rPr>
        <w:t xml:space="preserve">where the variables are measured in the same way as in Equation (3). As firm size does affect insider trading activity (Ke et al., 2003; Lakonishok and Lee, 2001), the variable </w:t>
      </w:r>
      <w:r w:rsidRPr="00FF6AA6">
        <w:rPr>
          <w:i/>
          <w:color w:val="000000"/>
          <w:sz w:val="20"/>
          <w:szCs w:val="20"/>
        </w:rPr>
        <w:t>Size</w:t>
      </w:r>
      <w:r w:rsidRPr="00FF6AA6">
        <w:rPr>
          <w:color w:val="000000"/>
          <w:sz w:val="20"/>
          <w:szCs w:val="20"/>
        </w:rPr>
        <w:t xml:space="preserve"> is included to count for the size difference among firms. In addition, we control the insider ownership (</w:t>
      </w:r>
      <w:r w:rsidRPr="00FF6AA6">
        <w:rPr>
          <w:i/>
          <w:color w:val="000000"/>
          <w:sz w:val="20"/>
          <w:szCs w:val="20"/>
        </w:rPr>
        <w:t>Ownership</w:t>
      </w:r>
      <w:r w:rsidRPr="00FF6AA6">
        <w:rPr>
          <w:color w:val="000000"/>
          <w:sz w:val="20"/>
          <w:szCs w:val="20"/>
        </w:rPr>
        <w:t xml:space="preserve">) since it may affect the degree of information access, and greater access to inside information may lead to more active trading (Demsetz, 1986). Likewise, the industry effect is neutralized by the dummy variable </w:t>
      </w:r>
      <w:r w:rsidRPr="00FF6AA6">
        <w:rPr>
          <w:i/>
          <w:color w:val="000000"/>
          <w:sz w:val="20"/>
          <w:szCs w:val="20"/>
        </w:rPr>
        <w:t>Dindustry</w:t>
      </w:r>
      <w:r w:rsidRPr="00FF6AA6">
        <w:rPr>
          <w:color w:val="000000"/>
          <w:sz w:val="20"/>
          <w:szCs w:val="20"/>
        </w:rPr>
        <w:t xml:space="preserve">. </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If insiders exploit the private information about the listing decisions to trade their shares, then relatively more insider sales would be made for firms with more negative post-listing stock returns. As such, a highly negative relation is expected between post-listing stock returns and prior insider sales. However, if insiders have just timed their sales for portfolio adjustments or liquidity reasons under unusually good stock prices regardless of information-based consideration, insider selling should be also related to pre-listing stock performance (</w:t>
      </w:r>
      <w:r w:rsidRPr="00FF6AA6">
        <w:rPr>
          <w:i/>
          <w:color w:val="000000"/>
          <w:sz w:val="20"/>
          <w:szCs w:val="20"/>
        </w:rPr>
        <w:t>PrelistingCAR</w:t>
      </w:r>
      <w:r w:rsidRPr="00FF6AA6">
        <w:rPr>
          <w:color w:val="000000"/>
          <w:sz w:val="20"/>
          <w:szCs w:val="20"/>
        </w:rPr>
        <w:t>).</w:t>
      </w:r>
    </w:p>
    <w:p w:rsidR="001A5DF6" w:rsidRPr="00FF6AA6" w:rsidRDefault="001A5DF6" w:rsidP="00680453">
      <w:pPr>
        <w:spacing w:line="360" w:lineRule="auto"/>
        <w:ind w:firstLineChars="100" w:firstLine="31680"/>
        <w:jc w:val="both"/>
        <w:rPr>
          <w:color w:val="000000"/>
          <w:kern w:val="0"/>
          <w:sz w:val="20"/>
          <w:szCs w:val="20"/>
        </w:rPr>
      </w:pPr>
      <w:r w:rsidRPr="00FF6AA6">
        <w:rPr>
          <w:color w:val="000000"/>
          <w:sz w:val="20"/>
          <w:szCs w:val="20"/>
        </w:rPr>
        <w:t xml:space="preserve">Table 8 presents the estimation results of Equation (4) using a simultaneous regression with respect to Equation (3). The coefficient on </w:t>
      </w:r>
      <w:r w:rsidRPr="00FF6AA6">
        <w:rPr>
          <w:i/>
          <w:color w:val="000000"/>
          <w:sz w:val="20"/>
          <w:szCs w:val="20"/>
        </w:rPr>
        <w:t>PostlistingCAR</w:t>
      </w:r>
      <w:r w:rsidRPr="00FF6AA6">
        <w:rPr>
          <w:color w:val="000000"/>
          <w:sz w:val="20"/>
          <w:szCs w:val="20"/>
        </w:rPr>
        <w:t xml:space="preserve"> is negative and significant (</w:t>
      </w:r>
      <w:r w:rsidRPr="00FF6AA6">
        <w:rPr>
          <w:i/>
          <w:color w:val="000000"/>
          <w:sz w:val="20"/>
          <w:szCs w:val="20"/>
        </w:rPr>
        <w:t>t</w:t>
      </w:r>
      <w:r w:rsidRPr="00FF6AA6">
        <w:rPr>
          <w:color w:val="000000"/>
          <w:sz w:val="20"/>
          <w:szCs w:val="20"/>
        </w:rPr>
        <w:t xml:space="preserve">=-1.937), while the coefficient on </w:t>
      </w:r>
      <w:r w:rsidRPr="00FF6AA6">
        <w:rPr>
          <w:i/>
          <w:color w:val="000000"/>
          <w:sz w:val="20"/>
          <w:szCs w:val="20"/>
        </w:rPr>
        <w:t>PrelistingCAR</w:t>
      </w:r>
      <w:r w:rsidRPr="00FF6AA6">
        <w:rPr>
          <w:color w:val="000000"/>
          <w:sz w:val="20"/>
          <w:szCs w:val="20"/>
        </w:rPr>
        <w:t xml:space="preserve"> is insignificant (</w:t>
      </w:r>
      <w:r w:rsidRPr="00FF6AA6">
        <w:rPr>
          <w:i/>
          <w:color w:val="000000"/>
          <w:sz w:val="20"/>
          <w:szCs w:val="20"/>
        </w:rPr>
        <w:t>t</w:t>
      </w:r>
      <w:r w:rsidRPr="00FF6AA6">
        <w:rPr>
          <w:color w:val="000000"/>
          <w:sz w:val="20"/>
          <w:szCs w:val="20"/>
        </w:rPr>
        <w:t>=-0.096). Consistent with our conjecture, this finding suggests that insider sales before listing are related to the subsequent poor stock returns, and</w:t>
      </w:r>
      <w:r w:rsidRPr="00FF6AA6">
        <w:rPr>
          <w:color w:val="000000"/>
          <w:kern w:val="0"/>
          <w:sz w:val="20"/>
          <w:szCs w:val="20"/>
        </w:rPr>
        <w:t xml:space="preserve"> that, on average, there are more insider sales for firms with more negative post-listing stock returns.</w:t>
      </w:r>
      <w:r w:rsidRPr="00FF6AA6">
        <w:rPr>
          <w:color w:val="000000"/>
          <w:sz w:val="20"/>
          <w:szCs w:val="20"/>
        </w:rPr>
        <w:t xml:space="preserve"> Furthermore, this result supports the claim that insider sales before listing are motivated by the inside information of post-listing underperformance. We also find that </w:t>
      </w:r>
      <w:r w:rsidRPr="00FF6AA6">
        <w:rPr>
          <w:i/>
          <w:color w:val="000000"/>
          <w:sz w:val="20"/>
          <w:szCs w:val="20"/>
        </w:rPr>
        <w:t>Size</w:t>
      </w:r>
      <w:r w:rsidRPr="00FF6AA6">
        <w:rPr>
          <w:color w:val="000000"/>
          <w:sz w:val="20"/>
          <w:szCs w:val="20"/>
        </w:rPr>
        <w:t xml:space="preserve"> is positively and significantly associated with </w:t>
      </w:r>
      <w:r w:rsidRPr="00FF6AA6">
        <w:rPr>
          <w:i/>
          <w:color w:val="000000"/>
          <w:sz w:val="20"/>
          <w:szCs w:val="20"/>
        </w:rPr>
        <w:t>InsiderSelling</w:t>
      </w:r>
      <w:r w:rsidRPr="00FF6AA6">
        <w:rPr>
          <w:color w:val="000000"/>
          <w:sz w:val="20"/>
          <w:szCs w:val="20"/>
        </w:rPr>
        <w:t xml:space="preserve">, confirming previous evidence that large firms tend to have more insider sales than small firms do. Overall, the findings in Table 8 </w:t>
      </w:r>
      <w:r w:rsidRPr="00FF6AA6">
        <w:rPr>
          <w:color w:val="000000"/>
          <w:kern w:val="0"/>
          <w:sz w:val="20"/>
          <w:szCs w:val="20"/>
        </w:rPr>
        <w:t xml:space="preserve">support the view that insiders have access to private information that is related to managerial timing of listing decisions, and trade their sales before listing accordingly. </w:t>
      </w:r>
    </w:p>
    <w:p w:rsidR="001A5DF6" w:rsidRPr="00FF6AA6" w:rsidRDefault="001A5DF6" w:rsidP="00A508F4">
      <w:pPr>
        <w:spacing w:line="360" w:lineRule="auto"/>
        <w:jc w:val="both"/>
        <w:outlineLvl w:val="0"/>
        <w:rPr>
          <w:b/>
          <w:color w:val="000000"/>
          <w:sz w:val="20"/>
          <w:szCs w:val="20"/>
        </w:rPr>
      </w:pPr>
      <w:r w:rsidRPr="00FF6AA6">
        <w:rPr>
          <w:b/>
          <w:color w:val="000000"/>
          <w:sz w:val="20"/>
          <w:szCs w:val="20"/>
        </w:rPr>
        <w:t>3.5 Further tests</w:t>
      </w:r>
    </w:p>
    <w:p w:rsidR="001A5DF6" w:rsidRPr="00FF6AA6" w:rsidRDefault="001A5DF6" w:rsidP="00A508F4">
      <w:pPr>
        <w:spacing w:line="360" w:lineRule="auto"/>
        <w:jc w:val="both"/>
        <w:rPr>
          <w:color w:val="000000"/>
          <w:sz w:val="20"/>
          <w:szCs w:val="20"/>
        </w:rPr>
      </w:pPr>
      <w:r w:rsidRPr="00FF6AA6">
        <w:rPr>
          <w:color w:val="000000"/>
          <w:sz w:val="20"/>
          <w:szCs w:val="20"/>
        </w:rPr>
        <w:t xml:space="preserve">  Several tests are performed to check for the robustness of the results. First, there are pairs of independent variables that are significantly correlated with each other (see Table 3). As this may cause collinearity problems, variance inflation factors (VIFs) are analyzed according to the diagnostic test of Kennedy (1986). As shown in Table 5 and Table 7, VIFs for Equations (1) through (3) are all below 3, indicating that collinearity does not pose an issue in this study. Also note that the directional relationship between dependent variable and various independent variables does not reverse when other independent variables are included. Additionally, based on the Glejser’s test (1969), heteroskedastic error terms are examined by regressing them on independent variables. This analysis also indicates no problems. The </w:t>
      </w:r>
      <w:r w:rsidRPr="00FF6AA6">
        <w:rPr>
          <w:i/>
          <w:color w:val="000000"/>
          <w:kern w:val="0"/>
          <w:sz w:val="20"/>
          <w:szCs w:val="20"/>
        </w:rPr>
        <w:t>R</w:t>
      </w:r>
      <w:r w:rsidRPr="00FF6AA6">
        <w:rPr>
          <w:color w:val="000000"/>
          <w:kern w:val="0"/>
          <w:sz w:val="20"/>
          <w:szCs w:val="20"/>
          <w:vertAlign w:val="superscript"/>
        </w:rPr>
        <w:t>2</w:t>
      </w:r>
      <w:r w:rsidRPr="00FF6AA6">
        <w:rPr>
          <w:color w:val="000000"/>
          <w:sz w:val="20"/>
          <w:szCs w:val="20"/>
        </w:rPr>
        <w:t>s are quite close to zero in all cases. The tests are unable to reject the hypothesis that the errors are homoskedastic. As for Equation (4), we re-estimate the parameters by computing robust standard errors and find the results similar to those reported in Table 8.</w:t>
      </w:r>
    </w:p>
    <w:p w:rsidR="001A5DF6" w:rsidRPr="00FF6AA6" w:rsidRDefault="001A5DF6" w:rsidP="003D6633">
      <w:pPr>
        <w:spacing w:line="360" w:lineRule="auto"/>
        <w:ind w:firstLineChars="100" w:firstLine="31680"/>
        <w:jc w:val="both"/>
        <w:rPr>
          <w:color w:val="000000"/>
          <w:sz w:val="20"/>
          <w:szCs w:val="20"/>
        </w:rPr>
      </w:pPr>
      <w:r w:rsidRPr="00FF6AA6">
        <w:rPr>
          <w:color w:val="000000"/>
          <w:sz w:val="20"/>
          <w:szCs w:val="20"/>
        </w:rPr>
        <w:t xml:space="preserve">Second, to check if the results are influenced by the outliers, we re-estimate Equations (1) through (4) after deleting observations with three or higher standard deviations from each sample mean for all variables. The regression results are virtually the same as those reported above. </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 xml:space="preserve">Third, we conduct the same tests using the number of shares traded (a volume-based measure of </w:t>
      </w:r>
      <w:r w:rsidRPr="00FF6AA6">
        <w:rPr>
          <w:i/>
          <w:color w:val="000000"/>
          <w:sz w:val="20"/>
          <w:szCs w:val="20"/>
        </w:rPr>
        <w:t>InsiderSelling</w:t>
      </w:r>
      <w:r w:rsidRPr="00FF6AA6">
        <w:rPr>
          <w:color w:val="000000"/>
          <w:sz w:val="20"/>
          <w:szCs w:val="20"/>
        </w:rPr>
        <w:t xml:space="preserve"> variable) instead of the number of insider sales. For scaling effect, we take the natural logarithm of the number of shares for insider sales. While the </w:t>
      </w:r>
      <w:r w:rsidRPr="00FF6AA6">
        <w:rPr>
          <w:color w:val="000000"/>
          <w:kern w:val="0"/>
          <w:sz w:val="20"/>
          <w:szCs w:val="20"/>
        </w:rPr>
        <w:t>magnitude and significance level are</w:t>
      </w:r>
      <w:r w:rsidRPr="00FF6AA6">
        <w:rPr>
          <w:color w:val="000000"/>
          <w:sz w:val="20"/>
          <w:szCs w:val="20"/>
        </w:rPr>
        <w:t xml:space="preserve"> lower using this volume-based measure in the tests, we find that these two approaches provide similar results.</w:t>
      </w:r>
      <w:r w:rsidRPr="00FF6AA6">
        <w:rPr>
          <w:rStyle w:val="FootnoteReference"/>
          <w:color w:val="000000"/>
          <w:sz w:val="20"/>
          <w:szCs w:val="20"/>
        </w:rPr>
        <w:footnoteReference w:id="10"/>
      </w:r>
      <w:r w:rsidRPr="00FF6AA6">
        <w:rPr>
          <w:color w:val="000000"/>
          <w:sz w:val="20"/>
          <w:szCs w:val="20"/>
        </w:rPr>
        <w:t xml:space="preserve"> With regard to the information effects of prior insider sales on listing period returns and on post-listing performance, we find no meaningful difference comparing with the results in Table 4 to Table 8. </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 xml:space="preserve">Finally, to examine whether the results are sensitive to the choice of performance measure, abnormal returns are re-estimated using the market model and the buy-and-hold method. The parameters of the market model for the pre-listing event period are estimated based on the daily returns of 150 trading days (t= -401 to t= -252) using the OTC index as the proxy for the market. For the post-listing event period, the estimation interval is from t= +252 to t= +401 and the TSEC index is the proxy for the market. Likewise, we calculate the buy-and-hold abnormal returns relative to the OTC index for the pre-listing event period and the TSEC index for the post-listing event period. The results obtained qualitatively resemble those generated using the market-adjusted returns model. In addition, as shown in Table 1, Table 2, Table 4 and Table 6, we also use the non-parametric statistics to retest the results, and find no inconsistencies with the parametric tests depicted above. </w:t>
      </w:r>
    </w:p>
    <w:p w:rsidR="001A5DF6" w:rsidRPr="00FF6AA6" w:rsidRDefault="001A5DF6" w:rsidP="00A508F4">
      <w:pPr>
        <w:spacing w:line="360" w:lineRule="auto"/>
        <w:jc w:val="both"/>
        <w:outlineLvl w:val="0"/>
        <w:rPr>
          <w:b/>
          <w:color w:val="000000"/>
          <w:sz w:val="20"/>
          <w:szCs w:val="20"/>
        </w:rPr>
      </w:pPr>
      <w:r w:rsidRPr="00FF6AA6">
        <w:rPr>
          <w:b/>
          <w:color w:val="000000"/>
          <w:kern w:val="0"/>
          <w:sz w:val="20"/>
          <w:szCs w:val="20"/>
        </w:rPr>
        <w:t xml:space="preserve">4. </w:t>
      </w:r>
      <w:r w:rsidRPr="00FF6AA6">
        <w:rPr>
          <w:b/>
          <w:color w:val="000000"/>
          <w:sz w:val="20"/>
          <w:szCs w:val="20"/>
        </w:rPr>
        <w:t>Summary and conclusions</w:t>
      </w:r>
    </w:p>
    <w:p w:rsidR="001A5DF6" w:rsidRPr="00FF6AA6" w:rsidRDefault="001A5DF6" w:rsidP="00680453">
      <w:pPr>
        <w:spacing w:line="360" w:lineRule="auto"/>
        <w:ind w:firstLineChars="100" w:firstLine="31680"/>
        <w:jc w:val="both"/>
        <w:rPr>
          <w:color w:val="000000"/>
          <w:sz w:val="20"/>
          <w:szCs w:val="20"/>
        </w:rPr>
      </w:pPr>
      <w:r w:rsidRPr="00FF6AA6">
        <w:rPr>
          <w:color w:val="000000"/>
          <w:sz w:val="20"/>
          <w:szCs w:val="20"/>
        </w:rPr>
        <w:t xml:space="preserve">This paper extends the studies of exchange listing and insider trading by examining the informational role of prior insider sales in stock returns around exchange listing in Taiwan market. Although previous research has documented a great deal about market reactions to exchange listings, few inquiries have been made about related insider activity and the effects of prior insider trading on listing day returns and post-listing performance. </w:t>
      </w:r>
    </w:p>
    <w:p w:rsidR="001A5DF6" w:rsidRPr="00FF6AA6" w:rsidRDefault="001A5DF6" w:rsidP="00680453">
      <w:pPr>
        <w:spacing w:line="360" w:lineRule="auto"/>
        <w:ind w:firstLineChars="100" w:firstLine="31680"/>
        <w:jc w:val="both"/>
        <w:rPr>
          <w:color w:val="000000"/>
          <w:kern w:val="0"/>
          <w:sz w:val="20"/>
          <w:szCs w:val="20"/>
        </w:rPr>
      </w:pPr>
      <w:r w:rsidRPr="00FF6AA6">
        <w:rPr>
          <w:color w:val="000000"/>
          <w:sz w:val="20"/>
          <w:szCs w:val="20"/>
        </w:rPr>
        <w:t xml:space="preserve">Our empirical results indicate that stock exchange listings on the TSEC typically experience excellent pre-listing performance and poor post-listing returns. Statistical tests on subgroups formed according to the number of insider sales reported before listing show that firms with more pre-listing insider sales significantly underperform in the post-listing period when compared to those with fewer or no prior insider sales. Correlation and regression analyses not only offer further evidence that the pattern of insider selling before listing affects the post-listing performance, but also show that poor post-listing performance becomes more severe when pre-listing insider sales increase. Additionally, firms with better pre-listing performance appear to suffer greater negative post-listing impact. However, we find that prior insider sales do not have a significant valuation effect on listing day returns, and that the price reversal phenomenon found in exchange listing literature is not related to insider selling activity before listing. </w:t>
      </w:r>
      <w:r w:rsidRPr="00FF6AA6">
        <w:rPr>
          <w:color w:val="000000"/>
          <w:kern w:val="0"/>
          <w:sz w:val="20"/>
          <w:szCs w:val="20"/>
        </w:rPr>
        <w:t xml:space="preserve">Together, these empirical results support the informational role of prior insider sales in anticipating a firm’s post-listing </w:t>
      </w:r>
      <w:r w:rsidRPr="00FF6AA6">
        <w:rPr>
          <w:color w:val="000000"/>
          <w:sz w:val="20"/>
          <w:szCs w:val="20"/>
        </w:rPr>
        <w:t>underperformance.</w:t>
      </w:r>
      <w:r w:rsidRPr="00FF6AA6">
        <w:rPr>
          <w:color w:val="000000"/>
          <w:kern w:val="0"/>
          <w:sz w:val="20"/>
          <w:szCs w:val="20"/>
        </w:rPr>
        <w:t xml:space="preserve"> Also, t</w:t>
      </w:r>
      <w:r w:rsidRPr="00FF6AA6">
        <w:rPr>
          <w:color w:val="000000"/>
          <w:sz w:val="20"/>
          <w:szCs w:val="20"/>
        </w:rPr>
        <w:t>hese findings imply that the efficiency with which insider trading around exchange listing deserves examination.</w:t>
      </w:r>
    </w:p>
    <w:p w:rsidR="001A5DF6" w:rsidRPr="00FF6AA6" w:rsidRDefault="001A5DF6" w:rsidP="00680453">
      <w:pPr>
        <w:spacing w:line="360" w:lineRule="auto"/>
        <w:ind w:firstLineChars="100" w:firstLine="31680"/>
        <w:jc w:val="both"/>
        <w:rPr>
          <w:b/>
          <w:color w:val="000000"/>
          <w:sz w:val="20"/>
          <w:szCs w:val="20"/>
        </w:rPr>
      </w:pPr>
      <w:r w:rsidRPr="00FF6AA6">
        <w:rPr>
          <w:color w:val="000000"/>
          <w:sz w:val="20"/>
          <w:szCs w:val="20"/>
        </w:rPr>
        <w:t xml:space="preserve">For practical implications, our findings can guide investors of soon-to-be-listed companies in evaluating the significance of an increase in pre-listing insider sale transactions. Investors of firms with more prior insider sales can anticipate a more negative post-listing performance and develop effective trading strategies by utilizing the information content of the selling activities of insiders. Besides, insider trading provides a useful leading indicator of future economic prospects, which means that analysts can gain the ability to time markets by knowing the actions of insider sales. Moreover, these results should encourage officials and regulators to consider a more substantial and timely disclosure policy relating to the identification of insider actions. </w:t>
      </w:r>
    </w:p>
    <w:p w:rsidR="001A5DF6" w:rsidRPr="00FF6AA6" w:rsidRDefault="001A5DF6" w:rsidP="00106AE7">
      <w:pPr>
        <w:outlineLvl w:val="0"/>
        <w:rPr>
          <w:b/>
          <w:color w:val="000000"/>
          <w:sz w:val="20"/>
          <w:szCs w:val="20"/>
        </w:rPr>
      </w:pPr>
      <w:r w:rsidRPr="00FF6AA6">
        <w:rPr>
          <w:b/>
          <w:color w:val="000000"/>
          <w:sz w:val="20"/>
          <w:szCs w:val="20"/>
        </w:rPr>
        <w:br w:type="page"/>
        <w:t>References</w:t>
      </w:r>
    </w:p>
    <w:p w:rsidR="001A5DF6" w:rsidRPr="00FF6AA6" w:rsidRDefault="001A5DF6" w:rsidP="00680453">
      <w:pPr>
        <w:ind w:left="31680" w:hangingChars="180" w:firstLine="31680"/>
        <w:jc w:val="both"/>
        <w:rPr>
          <w:color w:val="000000"/>
          <w:sz w:val="20"/>
          <w:szCs w:val="20"/>
        </w:rPr>
      </w:pPr>
      <w:r w:rsidRPr="00FF6AA6">
        <w:rPr>
          <w:color w:val="000000"/>
          <w:sz w:val="20"/>
          <w:szCs w:val="20"/>
        </w:rPr>
        <w:t>Born, J., 1988. Insider ownership and signals: Evidence from dividend initiation announcement effects. Financial Management 17, 38-45.</w:t>
      </w:r>
    </w:p>
    <w:p w:rsidR="001A5DF6" w:rsidRPr="00FF6AA6" w:rsidRDefault="001A5DF6" w:rsidP="00680453">
      <w:pPr>
        <w:ind w:left="31680" w:hangingChars="180" w:firstLine="31680"/>
        <w:jc w:val="both"/>
        <w:rPr>
          <w:color w:val="000000"/>
          <w:sz w:val="20"/>
          <w:szCs w:val="20"/>
        </w:rPr>
      </w:pPr>
      <w:r w:rsidRPr="00FF6AA6">
        <w:rPr>
          <w:color w:val="000000"/>
          <w:sz w:val="20"/>
          <w:szCs w:val="20"/>
        </w:rPr>
        <w:t xml:space="preserve">Cheng, Y., 2005. Post-listing underperformance: Is it really bad to move listing locations. Journal of Corporate Finance </w:t>
      </w:r>
      <w:r w:rsidRPr="00FF6AA6">
        <w:rPr>
          <w:i/>
          <w:color w:val="000000"/>
          <w:sz w:val="20"/>
          <w:szCs w:val="20"/>
        </w:rPr>
        <w:t>12, 97-120.</w:t>
      </w:r>
    </w:p>
    <w:p w:rsidR="001A5DF6" w:rsidRPr="00FF6AA6" w:rsidRDefault="001A5DF6" w:rsidP="00680453">
      <w:pPr>
        <w:ind w:left="31680" w:hangingChars="180" w:firstLine="31680"/>
        <w:jc w:val="both"/>
        <w:rPr>
          <w:rFonts w:eastAsia="標楷體"/>
          <w:color w:val="000000"/>
          <w:sz w:val="20"/>
          <w:szCs w:val="20"/>
        </w:rPr>
      </w:pPr>
      <w:r w:rsidRPr="00FF6AA6">
        <w:rPr>
          <w:rFonts w:eastAsia="標楷體"/>
          <w:color w:val="000000"/>
          <w:sz w:val="20"/>
          <w:szCs w:val="20"/>
        </w:rPr>
        <w:t>Demsetz, H., 1986. Corporate control, insider trading, and rates of return. American Economic Review 76, 313-316.</w:t>
      </w:r>
    </w:p>
    <w:p w:rsidR="001A5DF6" w:rsidRPr="00FF6AA6" w:rsidRDefault="001A5DF6" w:rsidP="00680453">
      <w:pPr>
        <w:ind w:left="31680" w:hangingChars="180" w:firstLine="31680"/>
        <w:jc w:val="both"/>
        <w:rPr>
          <w:color w:val="000000"/>
          <w:sz w:val="20"/>
          <w:szCs w:val="20"/>
        </w:rPr>
      </w:pPr>
      <w:r w:rsidRPr="00FF6AA6">
        <w:rPr>
          <w:rFonts w:eastAsia="標楷體"/>
          <w:color w:val="000000"/>
          <w:sz w:val="20"/>
          <w:szCs w:val="20"/>
        </w:rPr>
        <w:t>Demsetz, H., Lehn, K., 1985. The structure of corporate ownership: causes and consequences. Journal of Political Economy 93, 1155-1177.</w:t>
      </w:r>
    </w:p>
    <w:p w:rsidR="001A5DF6" w:rsidRPr="00FF6AA6" w:rsidRDefault="001A5DF6" w:rsidP="00680453">
      <w:pPr>
        <w:ind w:left="31680" w:hangingChars="180" w:firstLine="31680"/>
        <w:jc w:val="both"/>
        <w:rPr>
          <w:rFonts w:eastAsia="標楷體"/>
          <w:color w:val="000000"/>
          <w:sz w:val="20"/>
          <w:szCs w:val="20"/>
        </w:rPr>
      </w:pPr>
      <w:r w:rsidRPr="00FF6AA6">
        <w:rPr>
          <w:rFonts w:eastAsia="標楷體"/>
          <w:color w:val="000000"/>
          <w:sz w:val="20"/>
          <w:szCs w:val="20"/>
        </w:rPr>
        <w:t>Dharan, B.G., Ikenberry, D.L., 1995. The long-run negative drift of post-listing stock returns. Journal of Finance 50, 1547-1574.</w:t>
      </w:r>
    </w:p>
    <w:p w:rsidR="001A5DF6" w:rsidRPr="00FF6AA6" w:rsidRDefault="001A5DF6" w:rsidP="00680453">
      <w:pPr>
        <w:ind w:left="31680" w:hangingChars="180" w:firstLine="31680"/>
        <w:jc w:val="both"/>
        <w:rPr>
          <w:color w:val="000000"/>
          <w:sz w:val="20"/>
          <w:szCs w:val="20"/>
        </w:rPr>
      </w:pPr>
      <w:r w:rsidRPr="00FF6AA6">
        <w:rPr>
          <w:color w:val="000000"/>
          <w:sz w:val="20"/>
          <w:szCs w:val="20"/>
        </w:rPr>
        <w:t>Edelman, R.B., Baker, H.K., 1990. Liquidity and stock exchange listing. Financial Review 25, 231-249.</w:t>
      </w:r>
    </w:p>
    <w:p w:rsidR="001A5DF6" w:rsidRPr="00FF6AA6" w:rsidRDefault="001A5DF6" w:rsidP="00680453">
      <w:pPr>
        <w:ind w:left="31680" w:hangingChars="180" w:firstLine="31680"/>
        <w:jc w:val="both"/>
        <w:rPr>
          <w:color w:val="000000"/>
          <w:sz w:val="20"/>
          <w:szCs w:val="20"/>
        </w:rPr>
      </w:pPr>
      <w:r w:rsidRPr="00FF6AA6">
        <w:rPr>
          <w:color w:val="000000"/>
          <w:sz w:val="20"/>
          <w:szCs w:val="20"/>
        </w:rPr>
        <w:t>Edelman, R.B., Baker, H.K., 1994. The postlisting returns anomaly revisited. Quarterly Journal of Business and Economics 33, 54-68.</w:t>
      </w:r>
    </w:p>
    <w:p w:rsidR="001A5DF6" w:rsidRPr="00FF6AA6" w:rsidRDefault="001A5DF6" w:rsidP="00680453">
      <w:pPr>
        <w:ind w:left="31680" w:hangingChars="180" w:firstLine="31680"/>
        <w:jc w:val="both"/>
        <w:rPr>
          <w:color w:val="000000"/>
          <w:sz w:val="20"/>
          <w:szCs w:val="20"/>
        </w:rPr>
      </w:pPr>
      <w:r w:rsidRPr="00FF6AA6">
        <w:rPr>
          <w:color w:val="000000"/>
          <w:sz w:val="20"/>
          <w:szCs w:val="20"/>
        </w:rPr>
        <w:t>Elliott, J., Morse, D., Richardson, G., 1984. The association between insider trading and information announcements. Rand Journal of Economics 15, 521-536.</w:t>
      </w:r>
    </w:p>
    <w:p w:rsidR="001A5DF6" w:rsidRPr="00FF6AA6" w:rsidRDefault="001A5DF6" w:rsidP="00680453">
      <w:pPr>
        <w:ind w:left="31680" w:hangingChars="180" w:firstLine="31680"/>
        <w:jc w:val="both"/>
        <w:rPr>
          <w:color w:val="000000"/>
          <w:sz w:val="20"/>
          <w:szCs w:val="20"/>
        </w:rPr>
      </w:pPr>
      <w:r w:rsidRPr="00FF6AA6">
        <w:rPr>
          <w:rFonts w:eastAsia="標楷體"/>
          <w:color w:val="000000"/>
          <w:sz w:val="20"/>
          <w:szCs w:val="20"/>
        </w:rPr>
        <w:t xml:space="preserve">Finnerty, J.E., 1976. Insiders and market efficiency. Journal of Finance 31, 1141-1148. </w:t>
      </w:r>
    </w:p>
    <w:p w:rsidR="001A5DF6" w:rsidRPr="00FF6AA6" w:rsidRDefault="001A5DF6" w:rsidP="00680453">
      <w:pPr>
        <w:ind w:left="31680" w:hangingChars="180" w:firstLine="31680"/>
        <w:jc w:val="both"/>
        <w:rPr>
          <w:color w:val="000000"/>
          <w:sz w:val="20"/>
          <w:szCs w:val="20"/>
        </w:rPr>
      </w:pPr>
      <w:r w:rsidRPr="00FF6AA6">
        <w:rPr>
          <w:color w:val="000000"/>
          <w:sz w:val="20"/>
          <w:szCs w:val="20"/>
        </w:rPr>
        <w:t>Givoly, D., Palmon, D., 1985. Insider trading and the exploitation of insider information: Some empirical evidence. Journal of Business 58, 69-87.</w:t>
      </w:r>
    </w:p>
    <w:p w:rsidR="001A5DF6" w:rsidRPr="00FF6AA6" w:rsidRDefault="001A5DF6" w:rsidP="00680453">
      <w:pPr>
        <w:ind w:left="31680" w:hangingChars="180" w:firstLine="31680"/>
        <w:jc w:val="both"/>
        <w:rPr>
          <w:color w:val="000000"/>
          <w:sz w:val="20"/>
          <w:szCs w:val="20"/>
        </w:rPr>
      </w:pPr>
      <w:r w:rsidRPr="00FF6AA6">
        <w:rPr>
          <w:color w:val="000000"/>
          <w:sz w:val="20"/>
          <w:szCs w:val="20"/>
        </w:rPr>
        <w:t>Glejser, H., 1969, A new test for homoskedasticity. Journal of the American Statistical Association, 1969, 316-323.</w:t>
      </w:r>
    </w:p>
    <w:p w:rsidR="001A5DF6" w:rsidRPr="00FF6AA6" w:rsidRDefault="001A5DF6" w:rsidP="00680453">
      <w:pPr>
        <w:ind w:left="31680" w:hangingChars="180" w:firstLine="31680"/>
        <w:jc w:val="both"/>
        <w:rPr>
          <w:color w:val="000000"/>
          <w:sz w:val="20"/>
          <w:szCs w:val="20"/>
        </w:rPr>
      </w:pPr>
      <w:r w:rsidRPr="00FF6AA6">
        <w:rPr>
          <w:rFonts w:eastAsia="標楷體"/>
          <w:color w:val="000000"/>
          <w:sz w:val="20"/>
          <w:szCs w:val="20"/>
        </w:rPr>
        <w:t>Gombola, E.J., Lee, H.W., Liu, F.Y., 1999. Further evidence on insider selling prior to seasoned equity offering announcements: The role of growth opportunities. Journal of Business Finance and Accounting 26, 621-649.</w:t>
      </w:r>
    </w:p>
    <w:p w:rsidR="001A5DF6" w:rsidRPr="00FF6AA6" w:rsidRDefault="001A5DF6" w:rsidP="00680453">
      <w:pPr>
        <w:ind w:left="31680" w:hangingChars="180" w:firstLine="31680"/>
        <w:jc w:val="both"/>
        <w:rPr>
          <w:color w:val="000000"/>
          <w:sz w:val="20"/>
          <w:szCs w:val="20"/>
        </w:rPr>
      </w:pPr>
      <w:r w:rsidRPr="00FF6AA6">
        <w:rPr>
          <w:rFonts w:eastAsia="標楷體"/>
          <w:color w:val="000000"/>
          <w:sz w:val="20"/>
          <w:szCs w:val="20"/>
        </w:rPr>
        <w:t>Grammatikos, T., Papaioannou, G.J., 1986. The information value of listing on the New York Stock Exchange. Financial Review 21, 485-499.</w:t>
      </w:r>
    </w:p>
    <w:p w:rsidR="001A5DF6" w:rsidRPr="00FF6AA6" w:rsidRDefault="001A5DF6" w:rsidP="00680453">
      <w:pPr>
        <w:ind w:left="31680" w:hangingChars="180" w:firstLine="31680"/>
        <w:jc w:val="both"/>
        <w:rPr>
          <w:rFonts w:eastAsia="標楷體"/>
          <w:color w:val="000000"/>
          <w:sz w:val="20"/>
          <w:szCs w:val="20"/>
        </w:rPr>
      </w:pPr>
      <w:r w:rsidRPr="00FF6AA6">
        <w:rPr>
          <w:rFonts w:eastAsia="標楷體"/>
          <w:color w:val="000000"/>
          <w:sz w:val="20"/>
          <w:szCs w:val="20"/>
          <w:lang w:val="es-ES"/>
        </w:rPr>
        <w:t xml:space="preserve">Han, K.C., Suk, D.Y., 1998a. </w:t>
      </w:r>
      <w:r w:rsidRPr="00FF6AA6">
        <w:rPr>
          <w:rFonts w:eastAsia="標楷體"/>
          <w:color w:val="000000"/>
          <w:sz w:val="20"/>
          <w:szCs w:val="20"/>
        </w:rPr>
        <w:t>Insider ownership and signals: Evidence form stock split announcement effects. Financial Review 33, 1-18.</w:t>
      </w:r>
    </w:p>
    <w:p w:rsidR="001A5DF6" w:rsidRPr="00FF6AA6" w:rsidRDefault="001A5DF6" w:rsidP="00680453">
      <w:pPr>
        <w:ind w:left="31680" w:hangingChars="180" w:firstLine="31680"/>
        <w:jc w:val="both"/>
        <w:rPr>
          <w:rFonts w:eastAsia="標楷體"/>
          <w:color w:val="000000"/>
          <w:sz w:val="20"/>
          <w:szCs w:val="20"/>
        </w:rPr>
      </w:pPr>
      <w:r w:rsidRPr="00FF6AA6">
        <w:rPr>
          <w:rFonts w:eastAsia="標楷體"/>
          <w:color w:val="000000"/>
          <w:sz w:val="20"/>
          <w:szCs w:val="20"/>
        </w:rPr>
        <w:t>Han, K.C., Suk, D.Y., 1998b. The effect of ownership structure on firm performance: Additional evidence. Review of Financial Economics 7, 143-155.</w:t>
      </w:r>
    </w:p>
    <w:p w:rsidR="001A5DF6" w:rsidRPr="00FF6AA6" w:rsidRDefault="001A5DF6" w:rsidP="00680453">
      <w:pPr>
        <w:ind w:left="31680" w:hangingChars="180" w:firstLine="31680"/>
        <w:jc w:val="both"/>
        <w:rPr>
          <w:color w:val="000000"/>
          <w:sz w:val="20"/>
          <w:szCs w:val="20"/>
        </w:rPr>
      </w:pPr>
      <w:r w:rsidRPr="00FF6AA6">
        <w:rPr>
          <w:rFonts w:eastAsia="標楷體"/>
          <w:color w:val="000000"/>
          <w:sz w:val="20"/>
          <w:szCs w:val="20"/>
        </w:rPr>
        <w:t>Hirschey, M., Zaima, J., 1989. Insider trading, ownership structure, and the market assessment of corporate sell-offs. Journal of Finance 44, 971-990.</w:t>
      </w:r>
    </w:p>
    <w:p w:rsidR="001A5DF6" w:rsidRPr="00FF6AA6" w:rsidRDefault="001A5DF6" w:rsidP="00680453">
      <w:pPr>
        <w:ind w:left="31680" w:hangingChars="180" w:firstLine="31680"/>
        <w:jc w:val="both"/>
        <w:rPr>
          <w:rFonts w:eastAsia="標楷體"/>
          <w:color w:val="000000"/>
          <w:sz w:val="20"/>
          <w:szCs w:val="20"/>
        </w:rPr>
      </w:pPr>
      <w:r w:rsidRPr="00FF6AA6">
        <w:rPr>
          <w:rFonts w:eastAsia="標楷體"/>
          <w:color w:val="000000"/>
          <w:sz w:val="20"/>
          <w:szCs w:val="20"/>
        </w:rPr>
        <w:t>Hull, R.M., Mazachek, J., 2001. Junior-for-senior announcements: A study of the role of inside ownership. Review of Financial Economics 10, 213-223.</w:t>
      </w:r>
    </w:p>
    <w:p w:rsidR="001A5DF6" w:rsidRPr="00FF6AA6" w:rsidRDefault="001A5DF6" w:rsidP="00680453">
      <w:pPr>
        <w:ind w:left="31680" w:hangingChars="180" w:firstLine="31680"/>
        <w:jc w:val="both"/>
        <w:rPr>
          <w:rFonts w:eastAsia="標楷體"/>
          <w:color w:val="000000"/>
          <w:sz w:val="20"/>
          <w:szCs w:val="20"/>
        </w:rPr>
      </w:pPr>
      <w:r w:rsidRPr="00FF6AA6">
        <w:rPr>
          <w:rFonts w:eastAsia="標楷體"/>
          <w:color w:val="000000"/>
          <w:sz w:val="20"/>
          <w:szCs w:val="20"/>
        </w:rPr>
        <w:t>Jaffe, J.F., 1974. Special information and insider trading. Journal of Business 47, 410-428.</w:t>
      </w:r>
    </w:p>
    <w:p w:rsidR="001A5DF6" w:rsidRPr="00FF6AA6" w:rsidRDefault="001A5DF6" w:rsidP="00680453">
      <w:pPr>
        <w:ind w:left="31680" w:hangingChars="180" w:firstLine="31680"/>
        <w:jc w:val="both"/>
        <w:rPr>
          <w:color w:val="000000"/>
          <w:sz w:val="20"/>
          <w:szCs w:val="20"/>
        </w:rPr>
      </w:pPr>
      <w:r w:rsidRPr="00FF6AA6">
        <w:rPr>
          <w:color w:val="000000"/>
          <w:sz w:val="20"/>
          <w:szCs w:val="20"/>
        </w:rPr>
        <w:t>John, K., Mishra, B., 1990. Information content of insider trading around corporate announcements: The case of capital expenditures. Journal of Finance 45, 835-855.</w:t>
      </w:r>
    </w:p>
    <w:p w:rsidR="001A5DF6" w:rsidRPr="00FF6AA6" w:rsidRDefault="001A5DF6" w:rsidP="00680453">
      <w:pPr>
        <w:ind w:left="31680" w:hangingChars="180" w:firstLine="31680"/>
        <w:jc w:val="both"/>
        <w:rPr>
          <w:color w:val="000000"/>
          <w:sz w:val="20"/>
          <w:szCs w:val="20"/>
        </w:rPr>
      </w:pPr>
      <w:r w:rsidRPr="00FF6AA6">
        <w:rPr>
          <w:color w:val="000000"/>
          <w:sz w:val="20"/>
          <w:szCs w:val="20"/>
        </w:rPr>
        <w:t>John, K., Lang, L., 1991. Insider trading around dividend announcements: Theory and evidence. Journal of Finance 46, 1361-1398.</w:t>
      </w:r>
    </w:p>
    <w:p w:rsidR="001A5DF6" w:rsidRPr="00FF6AA6" w:rsidRDefault="001A5DF6" w:rsidP="00680453">
      <w:pPr>
        <w:ind w:left="31680" w:hangingChars="180" w:firstLine="31680"/>
        <w:jc w:val="both"/>
        <w:rPr>
          <w:rFonts w:eastAsia="標楷體"/>
          <w:color w:val="000000"/>
          <w:sz w:val="20"/>
          <w:szCs w:val="20"/>
        </w:rPr>
      </w:pPr>
      <w:r w:rsidRPr="00FF6AA6">
        <w:rPr>
          <w:rFonts w:eastAsia="標楷體"/>
          <w:color w:val="000000"/>
          <w:sz w:val="20"/>
          <w:szCs w:val="20"/>
        </w:rPr>
        <w:t>Kahle, K.M., 2000. Insider trading and the long-run performance of new security issues. Journal of Corporate Finance 6, 25-53.</w:t>
      </w:r>
    </w:p>
    <w:p w:rsidR="001A5DF6" w:rsidRPr="00FF6AA6" w:rsidRDefault="001A5DF6" w:rsidP="00680453">
      <w:pPr>
        <w:ind w:left="31680" w:hangingChars="180" w:firstLine="31680"/>
        <w:jc w:val="both"/>
        <w:rPr>
          <w:color w:val="000000"/>
          <w:sz w:val="20"/>
          <w:szCs w:val="20"/>
        </w:rPr>
      </w:pPr>
      <w:r w:rsidRPr="00FF6AA6">
        <w:rPr>
          <w:color w:val="000000"/>
          <w:sz w:val="20"/>
          <w:szCs w:val="20"/>
          <w:lang w:val="de-DE"/>
        </w:rPr>
        <w:t xml:space="preserve">Karpoff, J.M., Lee, D., 1991. </w:t>
      </w:r>
      <w:r w:rsidRPr="00FF6AA6">
        <w:rPr>
          <w:color w:val="000000"/>
          <w:sz w:val="20"/>
          <w:szCs w:val="20"/>
        </w:rPr>
        <w:t>Insider trading before new issue announcements. Financial Management 20, 18-26.</w:t>
      </w:r>
    </w:p>
    <w:p w:rsidR="001A5DF6" w:rsidRPr="00FF6AA6" w:rsidRDefault="001A5DF6" w:rsidP="00680453">
      <w:pPr>
        <w:ind w:left="31680" w:hangingChars="180" w:firstLine="31680"/>
        <w:jc w:val="both"/>
        <w:rPr>
          <w:color w:val="000000"/>
          <w:sz w:val="20"/>
          <w:szCs w:val="20"/>
        </w:rPr>
      </w:pPr>
      <w:r w:rsidRPr="00FF6AA6">
        <w:rPr>
          <w:color w:val="000000"/>
          <w:sz w:val="20"/>
          <w:szCs w:val="20"/>
        </w:rPr>
        <w:t xml:space="preserve">Ke, B., Huddart, S., Petroni, K., 2003. What insiders know about future earnings and how they use it: Evidence from insider trades. Journal of Accounting and Economics 35, 315-346.  </w:t>
      </w:r>
    </w:p>
    <w:p w:rsidR="001A5DF6" w:rsidRPr="00FF6AA6" w:rsidRDefault="001A5DF6" w:rsidP="00680453">
      <w:pPr>
        <w:ind w:left="31680" w:hangingChars="180" w:firstLine="31680"/>
        <w:jc w:val="both"/>
        <w:rPr>
          <w:color w:val="000000"/>
          <w:sz w:val="20"/>
          <w:szCs w:val="20"/>
        </w:rPr>
      </w:pPr>
      <w:r w:rsidRPr="00FF6AA6">
        <w:rPr>
          <w:color w:val="000000"/>
          <w:sz w:val="20"/>
          <w:szCs w:val="20"/>
        </w:rPr>
        <w:t>Kennedy, P., 1986. A guide to econometrics, Cambridge, MA: MIT press.</w:t>
      </w:r>
    </w:p>
    <w:p w:rsidR="001A5DF6" w:rsidRPr="00FF6AA6" w:rsidRDefault="001A5DF6" w:rsidP="00106AE7">
      <w:pPr>
        <w:autoSpaceDE w:val="0"/>
        <w:autoSpaceDN w:val="0"/>
        <w:adjustRightInd w:val="0"/>
        <w:ind w:left="432" w:hanging="432"/>
        <w:rPr>
          <w:color w:val="000000"/>
          <w:sz w:val="20"/>
          <w:szCs w:val="20"/>
        </w:rPr>
      </w:pPr>
      <w:r w:rsidRPr="00FF6AA6">
        <w:rPr>
          <w:rFonts w:ascii="TTE1732260t00" w:hAnsi="TTE1732260t00" w:cs="TTE1732260t00"/>
          <w:color w:val="000000"/>
          <w:kern w:val="0"/>
          <w:sz w:val="20"/>
          <w:szCs w:val="20"/>
        </w:rPr>
        <w:t>Kyle, A.,1985. Continuous auctions and insider trading. Econometrica 53, 1315-1335.</w:t>
      </w:r>
    </w:p>
    <w:p w:rsidR="001A5DF6" w:rsidRPr="00FF6AA6" w:rsidRDefault="001A5DF6" w:rsidP="00680453">
      <w:pPr>
        <w:ind w:left="31680" w:hangingChars="180" w:firstLine="31680"/>
        <w:jc w:val="both"/>
        <w:rPr>
          <w:color w:val="000000"/>
          <w:sz w:val="20"/>
          <w:szCs w:val="20"/>
        </w:rPr>
      </w:pPr>
      <w:r w:rsidRPr="00FF6AA6">
        <w:rPr>
          <w:color w:val="000000"/>
          <w:sz w:val="20"/>
          <w:szCs w:val="20"/>
        </w:rPr>
        <w:t>Lakonishok, J., Lee, I., 2001. Are insider trades informative? Review of Financial Studies 14, 79-111.</w:t>
      </w:r>
    </w:p>
    <w:p w:rsidR="001A5DF6" w:rsidRPr="00FF6AA6" w:rsidRDefault="001A5DF6" w:rsidP="00680453">
      <w:pPr>
        <w:ind w:left="31680" w:hangingChars="180" w:firstLine="31680"/>
        <w:jc w:val="both"/>
        <w:rPr>
          <w:color w:val="000000"/>
          <w:sz w:val="20"/>
          <w:szCs w:val="20"/>
        </w:rPr>
      </w:pPr>
      <w:r w:rsidRPr="00FF6AA6">
        <w:rPr>
          <w:color w:val="000000"/>
          <w:sz w:val="20"/>
          <w:szCs w:val="20"/>
        </w:rPr>
        <w:t>Lamba, W.K., Khan, W.A., 1999. Exchange listings and delistings: The role of insider information and insider trading. Journal of Financial Research 22, 131-146.</w:t>
      </w:r>
    </w:p>
    <w:p w:rsidR="001A5DF6" w:rsidRPr="00FF6AA6" w:rsidRDefault="001A5DF6" w:rsidP="00680453">
      <w:pPr>
        <w:ind w:left="31680" w:hangingChars="180" w:firstLine="31680"/>
        <w:jc w:val="both"/>
        <w:rPr>
          <w:color w:val="000000"/>
          <w:sz w:val="20"/>
          <w:szCs w:val="20"/>
        </w:rPr>
      </w:pPr>
      <w:r w:rsidRPr="00FF6AA6">
        <w:rPr>
          <w:color w:val="000000"/>
          <w:sz w:val="20"/>
          <w:szCs w:val="20"/>
        </w:rPr>
        <w:t>Lee, D.S., Mikkelson, W.H., Partch, M.M., 1992. Managers’ trading around stock repurchases. Journal of Finance 47, 1947-1961.</w:t>
      </w:r>
    </w:p>
    <w:p w:rsidR="001A5DF6" w:rsidRPr="00FF6AA6" w:rsidRDefault="001A5DF6" w:rsidP="00680453">
      <w:pPr>
        <w:ind w:left="31680" w:hangingChars="180" w:firstLine="31680"/>
        <w:jc w:val="both"/>
        <w:rPr>
          <w:color w:val="000000"/>
          <w:sz w:val="20"/>
          <w:szCs w:val="20"/>
        </w:rPr>
      </w:pPr>
      <w:r w:rsidRPr="00FF6AA6">
        <w:rPr>
          <w:color w:val="000000"/>
          <w:sz w:val="20"/>
          <w:szCs w:val="20"/>
        </w:rPr>
        <w:t>Lin, J., Howe, J., 1990. Insider trading in the OTC market. Journal of Finance 45, 1273-1284.</w:t>
      </w:r>
    </w:p>
    <w:p w:rsidR="001A5DF6" w:rsidRPr="00FF6AA6" w:rsidRDefault="001A5DF6" w:rsidP="00680453">
      <w:pPr>
        <w:ind w:left="31680" w:hangingChars="180" w:firstLine="31680"/>
        <w:jc w:val="both"/>
        <w:rPr>
          <w:rFonts w:eastAsia="標楷體"/>
          <w:color w:val="000000"/>
          <w:sz w:val="20"/>
          <w:szCs w:val="20"/>
        </w:rPr>
      </w:pPr>
      <w:r w:rsidRPr="00FF6AA6">
        <w:rPr>
          <w:color w:val="000000"/>
          <w:sz w:val="20"/>
          <w:szCs w:val="20"/>
        </w:rPr>
        <w:t>Lo, K., Wang, K., Liao, T., 2006. Insider transfer trading of banking companies around exchange listing. Journal of Financial Intermediation 15, 215-234.</w:t>
      </w:r>
    </w:p>
    <w:p w:rsidR="001A5DF6" w:rsidRPr="00FF6AA6" w:rsidRDefault="001A5DF6" w:rsidP="00680453">
      <w:pPr>
        <w:ind w:left="31680" w:hangingChars="180" w:firstLine="31680"/>
        <w:jc w:val="both"/>
        <w:rPr>
          <w:rFonts w:eastAsia="標楷體"/>
          <w:color w:val="000000"/>
          <w:sz w:val="20"/>
          <w:szCs w:val="20"/>
        </w:rPr>
      </w:pPr>
      <w:r w:rsidRPr="00FF6AA6">
        <w:rPr>
          <w:rFonts w:eastAsia="標楷體"/>
          <w:color w:val="000000"/>
          <w:sz w:val="20"/>
          <w:szCs w:val="20"/>
        </w:rPr>
        <w:t>McConnell, J.J., Sanger, G.C., 1987. The puzzle in post-listing common stock returns. Journal of Finance 42</w:t>
      </w:r>
      <w:r w:rsidRPr="00FF6AA6">
        <w:rPr>
          <w:rFonts w:eastAsia="標楷體"/>
          <w:i/>
          <w:color w:val="000000"/>
          <w:sz w:val="20"/>
          <w:szCs w:val="20"/>
        </w:rPr>
        <w:t>,</w:t>
      </w:r>
      <w:r w:rsidRPr="00FF6AA6">
        <w:rPr>
          <w:rFonts w:eastAsia="標楷體"/>
          <w:color w:val="000000"/>
          <w:sz w:val="20"/>
          <w:szCs w:val="20"/>
        </w:rPr>
        <w:t xml:space="preserve"> 119-140.</w:t>
      </w:r>
    </w:p>
    <w:p w:rsidR="001A5DF6" w:rsidRPr="00FF6AA6" w:rsidRDefault="001A5DF6" w:rsidP="00680453">
      <w:pPr>
        <w:ind w:left="31680" w:hangingChars="180" w:firstLine="31680"/>
        <w:jc w:val="both"/>
        <w:rPr>
          <w:color w:val="000000"/>
          <w:sz w:val="20"/>
          <w:szCs w:val="20"/>
        </w:rPr>
      </w:pPr>
      <w:r w:rsidRPr="00FF6AA6">
        <w:rPr>
          <w:color w:val="000000"/>
          <w:sz w:val="20"/>
          <w:szCs w:val="20"/>
        </w:rPr>
        <w:t>Penman, S.H., 1982. Insider trading and the dissemination of firms’ forecast information. Journal of Business 55, 479-503.</w:t>
      </w:r>
    </w:p>
    <w:p w:rsidR="001A5DF6" w:rsidRPr="00FF6AA6" w:rsidRDefault="001A5DF6" w:rsidP="00680453">
      <w:pPr>
        <w:ind w:left="31680" w:hangingChars="180" w:firstLine="31680"/>
        <w:jc w:val="both"/>
        <w:rPr>
          <w:color w:val="000000"/>
          <w:sz w:val="20"/>
          <w:szCs w:val="20"/>
        </w:rPr>
      </w:pPr>
      <w:r w:rsidRPr="00FF6AA6">
        <w:rPr>
          <w:color w:val="000000"/>
          <w:sz w:val="20"/>
          <w:szCs w:val="20"/>
        </w:rPr>
        <w:t xml:space="preserve">Rozeff, M.S., Zaman, M.A., 1988. Market efficiency and insider trading: New evidence. Journal of Business 61, 25-44. </w:t>
      </w:r>
    </w:p>
    <w:p w:rsidR="001A5DF6" w:rsidRPr="00FF6AA6" w:rsidRDefault="001A5DF6" w:rsidP="00680453">
      <w:pPr>
        <w:ind w:left="31680" w:hangingChars="180" w:firstLine="31680"/>
        <w:jc w:val="both"/>
        <w:rPr>
          <w:color w:val="000000"/>
          <w:sz w:val="20"/>
          <w:szCs w:val="20"/>
        </w:rPr>
      </w:pPr>
      <w:r w:rsidRPr="00FF6AA6">
        <w:rPr>
          <w:color w:val="000000"/>
          <w:sz w:val="20"/>
          <w:szCs w:val="20"/>
        </w:rPr>
        <w:t>Schultz, P., 2003. Pseudo market timing and the long-run underperformance of IPOs. Journal of Finance, 58, 483-517.</w:t>
      </w:r>
    </w:p>
    <w:p w:rsidR="001A5DF6" w:rsidRPr="00FF6AA6" w:rsidRDefault="001A5DF6" w:rsidP="00680453">
      <w:pPr>
        <w:ind w:left="31680" w:hangingChars="180" w:firstLine="31680"/>
        <w:jc w:val="both"/>
        <w:rPr>
          <w:color w:val="000000"/>
          <w:sz w:val="20"/>
          <w:szCs w:val="20"/>
        </w:rPr>
      </w:pPr>
      <w:r w:rsidRPr="00FF6AA6">
        <w:rPr>
          <w:color w:val="000000"/>
          <w:sz w:val="20"/>
          <w:szCs w:val="20"/>
        </w:rPr>
        <w:t>Seyhun, H.N., 1988. The information content of aggregate insider trading. Journal of Business 61, 1-24</w:t>
      </w:r>
    </w:p>
    <w:p w:rsidR="001A5DF6" w:rsidRPr="00FF6AA6" w:rsidRDefault="001A5DF6" w:rsidP="00680453">
      <w:pPr>
        <w:ind w:left="31680" w:hangingChars="180" w:firstLine="31680"/>
        <w:jc w:val="both"/>
        <w:rPr>
          <w:color w:val="000000"/>
          <w:sz w:val="20"/>
          <w:szCs w:val="20"/>
        </w:rPr>
      </w:pPr>
      <w:r w:rsidRPr="00FF6AA6">
        <w:rPr>
          <w:color w:val="000000"/>
          <w:sz w:val="20"/>
          <w:szCs w:val="20"/>
        </w:rPr>
        <w:t>Seyhun, H.N., 1990. Do bidder managers knowingly pay too much for target firms? Journal of Business 63, 439-464.</w:t>
      </w:r>
    </w:p>
    <w:p w:rsidR="001A5DF6" w:rsidRPr="00FF6AA6" w:rsidRDefault="001A5DF6" w:rsidP="00680453">
      <w:pPr>
        <w:ind w:left="31680" w:hangingChars="180" w:firstLine="31680"/>
        <w:jc w:val="both"/>
        <w:rPr>
          <w:color w:val="000000"/>
          <w:sz w:val="20"/>
          <w:szCs w:val="20"/>
        </w:rPr>
      </w:pPr>
      <w:r w:rsidRPr="00FF6AA6">
        <w:rPr>
          <w:color w:val="000000"/>
          <w:sz w:val="20"/>
          <w:szCs w:val="20"/>
        </w:rPr>
        <w:t>Seyhun, H.N., 1992. Why dose aggregate insider trading predict future stock returns? Quarterly Journal of Economics 107, 1303-1331.</w:t>
      </w:r>
    </w:p>
    <w:p w:rsidR="001A5DF6" w:rsidRPr="00FF6AA6" w:rsidRDefault="001A5DF6" w:rsidP="00680453">
      <w:pPr>
        <w:ind w:left="31680" w:hangingChars="180" w:firstLine="31680"/>
        <w:jc w:val="both"/>
        <w:rPr>
          <w:color w:val="000000"/>
          <w:sz w:val="20"/>
          <w:szCs w:val="20"/>
        </w:rPr>
      </w:pPr>
      <w:r w:rsidRPr="00FF6AA6">
        <w:rPr>
          <w:color w:val="000000"/>
          <w:sz w:val="20"/>
          <w:szCs w:val="20"/>
        </w:rPr>
        <w:t xml:space="preserve">Seyhun, H.N., Bradley, M., 1997. Corporate bankruptcy and insider trading. Journal of Business 70, 189-216. </w:t>
      </w:r>
    </w:p>
    <w:p w:rsidR="001A5DF6" w:rsidRPr="00FF6AA6" w:rsidRDefault="001A5DF6" w:rsidP="00680453">
      <w:pPr>
        <w:ind w:left="31680" w:hangingChars="180" w:firstLine="31680"/>
        <w:jc w:val="both"/>
        <w:rPr>
          <w:color w:val="000000"/>
          <w:sz w:val="20"/>
          <w:szCs w:val="20"/>
        </w:rPr>
      </w:pPr>
      <w:r w:rsidRPr="00FF6AA6">
        <w:rPr>
          <w:rFonts w:eastAsia="標楷體"/>
          <w:color w:val="000000"/>
          <w:sz w:val="20"/>
          <w:szCs w:val="20"/>
        </w:rPr>
        <w:t>Vermaelen, T., 1981. Common stock repurchases and market signaling: An empirical study. Journal of Financial Economics 9, 139-183.</w:t>
      </w:r>
    </w:p>
    <w:p w:rsidR="001A5DF6" w:rsidRPr="00FF6AA6" w:rsidRDefault="001A5DF6" w:rsidP="00680453">
      <w:pPr>
        <w:ind w:left="31680" w:hangingChars="180" w:firstLine="31680"/>
        <w:jc w:val="both"/>
        <w:rPr>
          <w:rFonts w:eastAsia="標楷體"/>
          <w:color w:val="000000"/>
          <w:sz w:val="20"/>
          <w:szCs w:val="20"/>
        </w:rPr>
      </w:pPr>
      <w:r w:rsidRPr="00FF6AA6">
        <w:rPr>
          <w:rFonts w:eastAsia="標楷體"/>
          <w:color w:val="000000"/>
          <w:sz w:val="20"/>
          <w:szCs w:val="20"/>
        </w:rPr>
        <w:t>Webb, G.P., 1999. Evidence of managerial timing: The case of exchange listings. Journal of Financial Research 22, 247-263.</w:t>
      </w:r>
    </w:p>
    <w:p w:rsidR="001A5DF6" w:rsidRPr="00FF6AA6" w:rsidRDefault="001A5DF6" w:rsidP="00680453">
      <w:pPr>
        <w:ind w:left="31680" w:hangingChars="180" w:firstLine="31680"/>
        <w:jc w:val="both"/>
        <w:rPr>
          <w:color w:val="000000"/>
          <w:sz w:val="20"/>
          <w:szCs w:val="20"/>
        </w:rPr>
      </w:pPr>
      <w:r w:rsidRPr="00FF6AA6">
        <w:rPr>
          <w:color w:val="000000"/>
          <w:sz w:val="20"/>
          <w:szCs w:val="20"/>
        </w:rPr>
        <w:t>Ying, L.K.W., Lewellen, W.G., Schlarbaum, G.G., Lease, R.C., 1977. Stock exchange listings and securities returns. Journal of Financial and Quantitative Analysis 12, 415-432.</w:t>
      </w:r>
    </w:p>
    <w:p w:rsidR="001A5DF6" w:rsidRPr="00FF6AA6" w:rsidRDefault="001A5DF6" w:rsidP="0060246D">
      <w:pPr>
        <w:autoSpaceDE w:val="0"/>
        <w:autoSpaceDN w:val="0"/>
        <w:adjustRightInd w:val="0"/>
        <w:spacing w:line="360" w:lineRule="auto"/>
        <w:outlineLvl w:val="0"/>
        <w:rPr>
          <w:b/>
          <w:color w:val="000000"/>
          <w:kern w:val="0"/>
          <w:sz w:val="20"/>
          <w:szCs w:val="20"/>
        </w:rPr>
      </w:pPr>
      <w:r w:rsidRPr="00FF6AA6">
        <w:rPr>
          <w:color w:val="000000"/>
          <w:sz w:val="20"/>
          <w:szCs w:val="20"/>
        </w:rPr>
        <w:br w:type="page"/>
      </w:r>
      <w:r w:rsidRPr="00FF6AA6">
        <w:rPr>
          <w:b/>
          <w:color w:val="000000"/>
          <w:kern w:val="0"/>
          <w:sz w:val="20"/>
          <w:szCs w:val="20"/>
        </w:rPr>
        <w:t>Table 1  CARs of sample firms around exchange listing during 1992-2002</w:t>
      </w:r>
    </w:p>
    <w:p w:rsidR="001A5DF6" w:rsidRPr="00FF6AA6" w:rsidRDefault="001A5DF6" w:rsidP="00FD6576">
      <w:pPr>
        <w:autoSpaceDE w:val="0"/>
        <w:autoSpaceDN w:val="0"/>
        <w:adjustRightInd w:val="0"/>
        <w:jc w:val="both"/>
        <w:outlineLvl w:val="0"/>
        <w:rPr>
          <w:color w:val="000000"/>
          <w:kern w:val="0"/>
          <w:sz w:val="20"/>
          <w:szCs w:val="20"/>
        </w:rPr>
      </w:pPr>
      <w:r w:rsidRPr="00FF6AA6">
        <w:rPr>
          <w:color w:val="000000"/>
          <w:kern w:val="0"/>
          <w:sz w:val="20"/>
          <w:szCs w:val="20"/>
        </w:rPr>
        <w:t xml:space="preserve">This table presents CARs of sample firms before and after exchange listing from 1992 through 2002. The firms with prior insider sales are those in which there is at least one insider sale trade reported on the TEJ database within the one-year period before the listing day. The test statistics in column 5 and column 6 are heteroscedastic </w:t>
      </w:r>
      <w:r w:rsidRPr="00FF6AA6">
        <w:rPr>
          <w:i/>
          <w:color w:val="000000"/>
          <w:kern w:val="0"/>
          <w:sz w:val="20"/>
          <w:szCs w:val="20"/>
        </w:rPr>
        <w:t>t</w:t>
      </w:r>
      <w:r w:rsidRPr="00FF6AA6">
        <w:rPr>
          <w:color w:val="000000"/>
          <w:kern w:val="0"/>
          <w:sz w:val="20"/>
          <w:szCs w:val="20"/>
        </w:rPr>
        <w:t xml:space="preserve">-tests of equal means and </w:t>
      </w:r>
      <w:r w:rsidRPr="00FF6AA6">
        <w:rPr>
          <w:color w:val="000000"/>
          <w:sz w:val="20"/>
          <w:szCs w:val="20"/>
        </w:rPr>
        <w:t>non-parametric</w:t>
      </w:r>
      <w:r w:rsidRPr="00FF6AA6">
        <w:rPr>
          <w:color w:val="000000"/>
          <w:kern w:val="0"/>
          <w:sz w:val="20"/>
          <w:szCs w:val="20"/>
        </w:rPr>
        <w:t xml:space="preserve"> Mann-Whitney </w:t>
      </w:r>
      <w:r w:rsidRPr="00FF6AA6">
        <w:rPr>
          <w:i/>
          <w:color w:val="000000"/>
          <w:kern w:val="0"/>
          <w:sz w:val="20"/>
          <w:szCs w:val="20"/>
        </w:rPr>
        <w:t>p</w:t>
      </w:r>
      <w:r w:rsidRPr="00FF6AA6">
        <w:rPr>
          <w:color w:val="000000"/>
          <w:kern w:val="0"/>
          <w:sz w:val="20"/>
          <w:szCs w:val="20"/>
        </w:rPr>
        <w:t>-values of equal medians comparing firms with prior insider sales (column 3) with firms without prior insider sales (column 4). Figures in parentheses are median values. *, ** and *** indicate statistical significant at the 0.1, 0.05 and 0.01 levels, respectively.</w:t>
      </w:r>
    </w:p>
    <w:tbl>
      <w:tblPr>
        <w:tblW w:w="8820" w:type="dxa"/>
        <w:tblInd w:w="108" w:type="dxa"/>
        <w:tblBorders>
          <w:top w:val="single" w:sz="4" w:space="0" w:color="auto"/>
          <w:bottom w:val="single" w:sz="4" w:space="0" w:color="auto"/>
        </w:tblBorders>
        <w:tblLayout w:type="fixed"/>
        <w:tblLook w:val="01E0"/>
      </w:tblPr>
      <w:tblGrid>
        <w:gridCol w:w="3240"/>
        <w:gridCol w:w="1080"/>
        <w:gridCol w:w="1260"/>
        <w:gridCol w:w="1260"/>
        <w:gridCol w:w="900"/>
        <w:gridCol w:w="1080"/>
      </w:tblGrid>
      <w:tr w:rsidR="001A5DF6" w:rsidRPr="00FF6AA6">
        <w:tc>
          <w:tcPr>
            <w:tcW w:w="3240" w:type="dxa"/>
            <w:tcBorders>
              <w:top w:val="single" w:sz="4" w:space="0" w:color="auto"/>
              <w:bottom w:val="single" w:sz="4" w:space="0" w:color="auto"/>
            </w:tcBorders>
          </w:tcPr>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 xml:space="preserve">  </w:t>
            </w:r>
          </w:p>
        </w:tc>
        <w:tc>
          <w:tcPr>
            <w:tcW w:w="1080" w:type="dxa"/>
            <w:tcBorders>
              <w:top w:val="single" w:sz="4" w:space="0" w:color="auto"/>
              <w:bottom w:val="single" w:sz="4" w:space="0" w:color="auto"/>
            </w:tcBorders>
            <w:vAlign w:val="bottom"/>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All firms</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N=191</w:t>
            </w:r>
          </w:p>
        </w:tc>
        <w:tc>
          <w:tcPr>
            <w:tcW w:w="1260" w:type="dxa"/>
            <w:tcBorders>
              <w:top w:val="single" w:sz="4" w:space="0" w:color="auto"/>
              <w:bottom w:val="single" w:sz="4" w:space="0" w:color="auto"/>
            </w:tcBorders>
            <w:vAlign w:val="bottom"/>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Firms with prior insider sales</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N=119</w:t>
            </w:r>
          </w:p>
        </w:tc>
        <w:tc>
          <w:tcPr>
            <w:tcW w:w="1260" w:type="dxa"/>
            <w:tcBorders>
              <w:top w:val="single" w:sz="4" w:space="0" w:color="auto"/>
              <w:bottom w:val="single" w:sz="4" w:space="0" w:color="auto"/>
            </w:tcBorders>
            <w:vAlign w:val="bottom"/>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Firms without prior insider sales</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N=72</w:t>
            </w:r>
          </w:p>
        </w:tc>
        <w:tc>
          <w:tcPr>
            <w:tcW w:w="900" w:type="dxa"/>
            <w:tcBorders>
              <w:top w:val="single" w:sz="4" w:space="0" w:color="auto"/>
              <w:bottom w:val="single" w:sz="4" w:space="0" w:color="auto"/>
            </w:tcBorders>
            <w:vAlign w:val="bottom"/>
          </w:tcPr>
          <w:p w:rsidR="001A5DF6" w:rsidRPr="00FF6AA6" w:rsidRDefault="001A5DF6" w:rsidP="003D62C1">
            <w:pPr>
              <w:autoSpaceDE w:val="0"/>
              <w:autoSpaceDN w:val="0"/>
              <w:adjustRightInd w:val="0"/>
              <w:jc w:val="center"/>
              <w:rPr>
                <w:color w:val="000000"/>
                <w:kern w:val="0"/>
                <w:sz w:val="16"/>
                <w:szCs w:val="16"/>
              </w:rPr>
            </w:pPr>
            <w:r w:rsidRPr="00FF6AA6">
              <w:rPr>
                <w:i/>
                <w:color w:val="000000"/>
                <w:kern w:val="0"/>
                <w:sz w:val="16"/>
                <w:szCs w:val="16"/>
              </w:rPr>
              <w:t>t</w:t>
            </w:r>
            <w:r w:rsidRPr="00FF6AA6">
              <w:rPr>
                <w:color w:val="000000"/>
                <w:kern w:val="0"/>
                <w:sz w:val="16"/>
                <w:szCs w:val="16"/>
              </w:rPr>
              <w:t>-statistics for the difference</w:t>
            </w:r>
          </w:p>
        </w:tc>
        <w:tc>
          <w:tcPr>
            <w:tcW w:w="1080" w:type="dxa"/>
            <w:tcBorders>
              <w:top w:val="single" w:sz="4" w:space="0" w:color="auto"/>
              <w:bottom w:val="single" w:sz="4" w:space="0" w:color="auto"/>
            </w:tcBorders>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 xml:space="preserve">Mann-Whitney </w:t>
            </w:r>
            <w:r w:rsidRPr="00FF6AA6">
              <w:rPr>
                <w:i/>
                <w:color w:val="000000"/>
                <w:kern w:val="0"/>
                <w:sz w:val="16"/>
                <w:szCs w:val="16"/>
              </w:rPr>
              <w:t>p</w:t>
            </w:r>
            <w:r w:rsidRPr="00FF6AA6">
              <w:rPr>
                <w:color w:val="000000"/>
                <w:kern w:val="0"/>
                <w:sz w:val="16"/>
                <w:szCs w:val="16"/>
              </w:rPr>
              <w:t>-vaules for the difference</w:t>
            </w:r>
          </w:p>
        </w:tc>
      </w:tr>
      <w:tr w:rsidR="001A5DF6" w:rsidRPr="00FF6AA6">
        <w:tc>
          <w:tcPr>
            <w:tcW w:w="3240" w:type="dxa"/>
            <w:tcBorders>
              <w:top w:val="single" w:sz="4" w:space="0" w:color="auto"/>
              <w:bottom w:val="single" w:sz="4" w:space="0" w:color="auto"/>
            </w:tcBorders>
          </w:tcPr>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CARs over the 250 days before listing (%)</w:t>
            </w:r>
          </w:p>
          <w:p w:rsidR="001A5DF6" w:rsidRPr="00FF6AA6" w:rsidRDefault="001A5DF6" w:rsidP="001A5DF6">
            <w:pPr>
              <w:autoSpaceDE w:val="0"/>
              <w:autoSpaceDN w:val="0"/>
              <w:adjustRightInd w:val="0"/>
              <w:ind w:rightChars="-45" w:right="31680"/>
              <w:rPr>
                <w:color w:val="000000"/>
                <w:kern w:val="0"/>
                <w:sz w:val="16"/>
                <w:szCs w:val="16"/>
              </w:rPr>
            </w:pPr>
            <w:r w:rsidRPr="00FF6AA6">
              <w:rPr>
                <w:color w:val="000000"/>
                <w:kern w:val="0"/>
                <w:sz w:val="16"/>
                <w:szCs w:val="16"/>
              </w:rPr>
              <w:t>CARs over the 100 days before application (%)</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 xml:space="preserve">CARs from application to listing days (%) </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CARs over the listing period (%)</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CARs over the 50 days after listing (%)</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CARs over the 150 days after listing (%)</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CARs over the 250 days after listing (%)</w:t>
            </w:r>
          </w:p>
        </w:tc>
        <w:tc>
          <w:tcPr>
            <w:tcW w:w="1080" w:type="dxa"/>
            <w:tcBorders>
              <w:top w:val="single" w:sz="4" w:space="0" w:color="auto"/>
              <w:bottom w:val="single" w:sz="4" w:space="0" w:color="auto"/>
            </w:tcBorders>
          </w:tcPr>
          <w:p w:rsidR="001A5DF6" w:rsidRPr="00FF6AA6" w:rsidRDefault="001A5DF6" w:rsidP="001A5DF6">
            <w:pPr>
              <w:autoSpaceDE w:val="0"/>
              <w:autoSpaceDN w:val="0"/>
              <w:adjustRightInd w:val="0"/>
              <w:ind w:rightChars="-45" w:right="31680"/>
              <w:jc w:val="center"/>
              <w:rPr>
                <w:color w:val="000000"/>
                <w:kern w:val="0"/>
                <w:sz w:val="16"/>
                <w:szCs w:val="16"/>
              </w:rPr>
            </w:pPr>
            <w:r w:rsidRPr="00FF6AA6">
              <w:rPr>
                <w:color w:val="000000"/>
                <w:kern w:val="0"/>
                <w:sz w:val="16"/>
                <w:szCs w:val="16"/>
              </w:rPr>
              <w:t>11.46 (10.68)</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5.00 (5.36)</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6.77 (4.40)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-0.07 (-0.08)</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-5.65 (-6.65)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-3.66 (-5.21)</w:t>
            </w:r>
          </w:p>
          <w:p w:rsidR="001A5DF6" w:rsidRPr="00FF6AA6" w:rsidRDefault="001A5DF6" w:rsidP="001A5DF6">
            <w:pPr>
              <w:autoSpaceDE w:val="0"/>
              <w:autoSpaceDN w:val="0"/>
              <w:adjustRightInd w:val="0"/>
              <w:ind w:rightChars="-45" w:right="31680"/>
              <w:jc w:val="center"/>
              <w:rPr>
                <w:color w:val="000000"/>
                <w:kern w:val="0"/>
                <w:sz w:val="16"/>
                <w:szCs w:val="16"/>
              </w:rPr>
            </w:pPr>
            <w:r w:rsidRPr="00FF6AA6">
              <w:rPr>
                <w:color w:val="000000"/>
                <w:kern w:val="0"/>
                <w:sz w:val="16"/>
                <w:szCs w:val="16"/>
              </w:rPr>
              <w:t>-14.13(-12.36)</w:t>
            </w:r>
          </w:p>
        </w:tc>
        <w:tc>
          <w:tcPr>
            <w:tcW w:w="1260"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11.67 (11.82)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5.11 (4.52)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6.23 (5.41)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-0.49 (-0.83)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-7.03 (-6.20)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-5.97 (-6.30)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-17.57 (-13.90)</w:t>
            </w:r>
          </w:p>
        </w:tc>
        <w:tc>
          <w:tcPr>
            <w:tcW w:w="1260"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11.11 (10.96)</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4.81 (4.48)</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7.66 (6.63)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0.60 (0.13)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-3.37 (-6.77)</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0.15 (-4.21)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-8.46 (-8.56)</w:t>
            </w:r>
          </w:p>
        </w:tc>
        <w:tc>
          <w:tcPr>
            <w:tcW w:w="900"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0.08</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0.07</w:t>
            </w:r>
          </w:p>
          <w:p w:rsidR="001A5DF6" w:rsidRPr="00FF6AA6" w:rsidRDefault="001A5DF6" w:rsidP="001A5DF6">
            <w:pPr>
              <w:autoSpaceDE w:val="0"/>
              <w:autoSpaceDN w:val="0"/>
              <w:adjustRightInd w:val="0"/>
              <w:ind w:firstLineChars="50" w:firstLine="31680"/>
              <w:rPr>
                <w:color w:val="000000"/>
                <w:kern w:val="0"/>
                <w:sz w:val="16"/>
                <w:szCs w:val="16"/>
              </w:rPr>
            </w:pPr>
            <w:r w:rsidRPr="00FF6AA6">
              <w:rPr>
                <w:color w:val="000000"/>
                <w:kern w:val="0"/>
                <w:sz w:val="16"/>
                <w:szCs w:val="16"/>
              </w:rPr>
              <w:t>- 0.37</w:t>
            </w:r>
          </w:p>
          <w:p w:rsidR="001A5DF6" w:rsidRPr="00FF6AA6" w:rsidRDefault="001A5DF6" w:rsidP="001A5DF6">
            <w:pPr>
              <w:autoSpaceDE w:val="0"/>
              <w:autoSpaceDN w:val="0"/>
              <w:adjustRightInd w:val="0"/>
              <w:ind w:firstLineChars="50" w:firstLine="31680"/>
              <w:rPr>
                <w:color w:val="000000"/>
                <w:kern w:val="0"/>
                <w:sz w:val="16"/>
                <w:szCs w:val="16"/>
              </w:rPr>
            </w:pPr>
            <w:r w:rsidRPr="00FF6AA6">
              <w:rPr>
                <w:color w:val="000000"/>
                <w:kern w:val="0"/>
                <w:sz w:val="16"/>
                <w:szCs w:val="16"/>
              </w:rPr>
              <w:t>- 1.45</w:t>
            </w:r>
          </w:p>
          <w:p w:rsidR="001A5DF6" w:rsidRPr="00FF6AA6" w:rsidRDefault="001A5DF6" w:rsidP="001A5DF6">
            <w:pPr>
              <w:autoSpaceDE w:val="0"/>
              <w:autoSpaceDN w:val="0"/>
              <w:adjustRightInd w:val="0"/>
              <w:ind w:firstLineChars="50" w:firstLine="31680"/>
              <w:rPr>
                <w:color w:val="000000"/>
                <w:kern w:val="0"/>
                <w:sz w:val="16"/>
                <w:szCs w:val="16"/>
              </w:rPr>
            </w:pPr>
            <w:r w:rsidRPr="00FF6AA6">
              <w:rPr>
                <w:color w:val="000000"/>
                <w:kern w:val="0"/>
                <w:sz w:val="16"/>
                <w:szCs w:val="16"/>
              </w:rPr>
              <w:t>-1.98**</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- 1.71*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- 2.56**</w:t>
            </w:r>
          </w:p>
        </w:tc>
        <w:tc>
          <w:tcPr>
            <w:tcW w:w="1080"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0.99</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0.90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0.76</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0.14</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0.47</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xml:space="preserve"> 0.10*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xml:space="preserve"> 0.07*</w:t>
            </w:r>
          </w:p>
        </w:tc>
      </w:tr>
    </w:tbl>
    <w:p w:rsidR="001A5DF6" w:rsidRPr="00FF6AA6" w:rsidRDefault="001A5DF6" w:rsidP="0060246D">
      <w:pPr>
        <w:autoSpaceDE w:val="0"/>
        <w:autoSpaceDN w:val="0"/>
        <w:adjustRightInd w:val="0"/>
        <w:jc w:val="both"/>
        <w:rPr>
          <w:b/>
          <w:color w:val="000000"/>
          <w:kern w:val="0"/>
          <w:sz w:val="20"/>
          <w:szCs w:val="20"/>
        </w:rPr>
      </w:pPr>
      <w:r w:rsidRPr="00FF6AA6">
        <w:rPr>
          <w:color w:val="000000"/>
          <w:kern w:val="0"/>
          <w:sz w:val="20"/>
          <w:szCs w:val="20"/>
        </w:rPr>
        <w:br w:type="page"/>
      </w:r>
      <w:r w:rsidRPr="00FF6AA6">
        <w:rPr>
          <w:b/>
          <w:color w:val="000000"/>
          <w:kern w:val="0"/>
          <w:sz w:val="20"/>
          <w:szCs w:val="20"/>
        </w:rPr>
        <w:t xml:space="preserve">Table 2  Comparisons of various firm characteristics </w:t>
      </w:r>
    </w:p>
    <w:p w:rsidR="001A5DF6" w:rsidRPr="00FF6AA6" w:rsidRDefault="001A5DF6" w:rsidP="0060246D">
      <w:pPr>
        <w:autoSpaceDE w:val="0"/>
        <w:autoSpaceDN w:val="0"/>
        <w:adjustRightInd w:val="0"/>
        <w:jc w:val="both"/>
        <w:rPr>
          <w:color w:val="000000"/>
          <w:kern w:val="0"/>
          <w:sz w:val="20"/>
          <w:szCs w:val="20"/>
        </w:rPr>
      </w:pPr>
      <w:r w:rsidRPr="00FF6AA6">
        <w:rPr>
          <w:color w:val="000000"/>
          <w:kern w:val="0"/>
          <w:sz w:val="20"/>
          <w:szCs w:val="20"/>
        </w:rPr>
        <w:t xml:space="preserve">This table provides comparisons of various firm characteristics between firms with prior insider sales and firms without prior insider sales. The firms with prior insider sales are those in which there is at least one insider sale trade reported on the TEJ database within the one-year period before the listing day. The test statistics in column 5 and column 6 are heteroscedastic </w:t>
      </w:r>
      <w:r w:rsidRPr="00FF6AA6">
        <w:rPr>
          <w:i/>
          <w:color w:val="000000"/>
          <w:kern w:val="0"/>
          <w:sz w:val="20"/>
          <w:szCs w:val="20"/>
        </w:rPr>
        <w:t>t</w:t>
      </w:r>
      <w:r w:rsidRPr="00FF6AA6">
        <w:rPr>
          <w:color w:val="000000"/>
          <w:kern w:val="0"/>
          <w:sz w:val="20"/>
          <w:szCs w:val="20"/>
        </w:rPr>
        <w:t xml:space="preserve">-tests of equal means and </w:t>
      </w:r>
      <w:r w:rsidRPr="00FF6AA6">
        <w:rPr>
          <w:color w:val="000000"/>
          <w:sz w:val="20"/>
          <w:szCs w:val="20"/>
        </w:rPr>
        <w:t>non-parametric</w:t>
      </w:r>
      <w:r w:rsidRPr="00FF6AA6">
        <w:rPr>
          <w:color w:val="000000"/>
          <w:kern w:val="0"/>
          <w:sz w:val="20"/>
          <w:szCs w:val="20"/>
        </w:rPr>
        <w:t xml:space="preserve"> Mann-Whitney </w:t>
      </w:r>
      <w:r w:rsidRPr="00FF6AA6">
        <w:rPr>
          <w:i/>
          <w:color w:val="000000"/>
          <w:kern w:val="0"/>
          <w:sz w:val="20"/>
          <w:szCs w:val="20"/>
        </w:rPr>
        <w:t>p</w:t>
      </w:r>
      <w:r w:rsidRPr="00FF6AA6">
        <w:rPr>
          <w:color w:val="000000"/>
          <w:kern w:val="0"/>
          <w:sz w:val="20"/>
          <w:szCs w:val="20"/>
        </w:rPr>
        <w:t>-values of equal medians comparing firms with prior insider sales (column 3) with firms without prior insider sales (column 4). Figures in parentheses are median values. *, ** and *** indicate statistical significant at the 0.1, 0.05 and 0.01 levels, respectively.</w:t>
      </w:r>
    </w:p>
    <w:tbl>
      <w:tblPr>
        <w:tblW w:w="8928" w:type="dxa"/>
        <w:tblBorders>
          <w:top w:val="single" w:sz="4" w:space="0" w:color="auto"/>
          <w:bottom w:val="single" w:sz="4" w:space="0" w:color="auto"/>
        </w:tblBorders>
        <w:tblLook w:val="01E0"/>
      </w:tblPr>
      <w:tblGrid>
        <w:gridCol w:w="2929"/>
        <w:gridCol w:w="1243"/>
        <w:gridCol w:w="1244"/>
        <w:gridCol w:w="1244"/>
        <w:gridCol w:w="1074"/>
        <w:gridCol w:w="1194"/>
      </w:tblGrid>
      <w:tr w:rsidR="001A5DF6" w:rsidRPr="00FF6AA6">
        <w:tc>
          <w:tcPr>
            <w:tcW w:w="2956" w:type="dxa"/>
            <w:tcBorders>
              <w:top w:val="single" w:sz="4" w:space="0" w:color="auto"/>
              <w:bottom w:val="single" w:sz="4" w:space="0" w:color="auto"/>
            </w:tcBorders>
          </w:tcPr>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 xml:space="preserve"> </w:t>
            </w:r>
          </w:p>
        </w:tc>
        <w:tc>
          <w:tcPr>
            <w:tcW w:w="1251" w:type="dxa"/>
            <w:tcBorders>
              <w:top w:val="single" w:sz="4" w:space="0" w:color="auto"/>
              <w:bottom w:val="single" w:sz="4" w:space="0" w:color="auto"/>
            </w:tcBorders>
            <w:vAlign w:val="bottom"/>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All firms</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N=191</w:t>
            </w:r>
          </w:p>
        </w:tc>
        <w:tc>
          <w:tcPr>
            <w:tcW w:w="1252" w:type="dxa"/>
            <w:tcBorders>
              <w:top w:val="single" w:sz="4" w:space="0" w:color="auto"/>
              <w:bottom w:val="single" w:sz="4" w:space="0" w:color="auto"/>
            </w:tcBorders>
            <w:vAlign w:val="bottom"/>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Firms with prior insider sales</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N=119</w:t>
            </w:r>
          </w:p>
        </w:tc>
        <w:tc>
          <w:tcPr>
            <w:tcW w:w="1252" w:type="dxa"/>
            <w:tcBorders>
              <w:top w:val="single" w:sz="4" w:space="0" w:color="auto"/>
              <w:bottom w:val="single" w:sz="4" w:space="0" w:color="auto"/>
            </w:tcBorders>
            <w:vAlign w:val="bottom"/>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Firm without prior insider sales</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N=72</w:t>
            </w:r>
          </w:p>
        </w:tc>
        <w:tc>
          <w:tcPr>
            <w:tcW w:w="1077" w:type="dxa"/>
            <w:tcBorders>
              <w:top w:val="single" w:sz="4" w:space="0" w:color="auto"/>
              <w:bottom w:val="single" w:sz="4" w:space="0" w:color="auto"/>
            </w:tcBorders>
            <w:vAlign w:val="bottom"/>
          </w:tcPr>
          <w:p w:rsidR="001A5DF6" w:rsidRPr="00FF6AA6" w:rsidRDefault="001A5DF6" w:rsidP="003D62C1">
            <w:pPr>
              <w:autoSpaceDE w:val="0"/>
              <w:autoSpaceDN w:val="0"/>
              <w:adjustRightInd w:val="0"/>
              <w:jc w:val="center"/>
              <w:rPr>
                <w:color w:val="000000"/>
                <w:kern w:val="0"/>
                <w:sz w:val="16"/>
                <w:szCs w:val="16"/>
              </w:rPr>
            </w:pPr>
            <w:r w:rsidRPr="00FF6AA6">
              <w:rPr>
                <w:i/>
                <w:color w:val="000000"/>
                <w:kern w:val="0"/>
                <w:sz w:val="16"/>
                <w:szCs w:val="16"/>
              </w:rPr>
              <w:t>t</w:t>
            </w:r>
            <w:r w:rsidRPr="00FF6AA6">
              <w:rPr>
                <w:color w:val="000000"/>
                <w:kern w:val="0"/>
                <w:sz w:val="16"/>
                <w:szCs w:val="16"/>
              </w:rPr>
              <w:t>-satistics for the difference</w:t>
            </w:r>
          </w:p>
        </w:tc>
        <w:tc>
          <w:tcPr>
            <w:tcW w:w="1140"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xml:space="preserve">Mann-Whitney </w:t>
            </w:r>
            <w:r w:rsidRPr="00FF6AA6">
              <w:rPr>
                <w:i/>
                <w:color w:val="000000"/>
                <w:kern w:val="0"/>
                <w:sz w:val="16"/>
                <w:szCs w:val="16"/>
              </w:rPr>
              <w:t>p</w:t>
            </w:r>
            <w:r w:rsidRPr="00FF6AA6">
              <w:rPr>
                <w:color w:val="000000"/>
                <w:kern w:val="0"/>
                <w:sz w:val="16"/>
                <w:szCs w:val="16"/>
              </w:rPr>
              <w:t>-values for the difference</w:t>
            </w:r>
          </w:p>
        </w:tc>
      </w:tr>
      <w:tr w:rsidR="001A5DF6" w:rsidRPr="00FF6AA6">
        <w:tc>
          <w:tcPr>
            <w:tcW w:w="2956" w:type="dxa"/>
            <w:tcBorders>
              <w:top w:val="single" w:sz="4" w:space="0" w:color="auto"/>
              <w:bottom w:val="single" w:sz="4" w:space="0" w:color="auto"/>
            </w:tcBorders>
          </w:tcPr>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Firm age on listing day (years)</w:t>
            </w:r>
          </w:p>
          <w:p w:rsidR="001A5DF6" w:rsidRPr="00FF6AA6" w:rsidRDefault="001A5DF6" w:rsidP="001A5DF6">
            <w:pPr>
              <w:autoSpaceDE w:val="0"/>
              <w:autoSpaceDN w:val="0"/>
              <w:adjustRightInd w:val="0"/>
              <w:ind w:rightChars="-45" w:right="31680"/>
              <w:rPr>
                <w:color w:val="000000"/>
                <w:kern w:val="0"/>
                <w:sz w:val="16"/>
                <w:szCs w:val="16"/>
              </w:rPr>
            </w:pPr>
            <w:r w:rsidRPr="00FF6AA6">
              <w:rPr>
                <w:color w:val="000000"/>
                <w:kern w:val="0"/>
                <w:sz w:val="16"/>
                <w:szCs w:val="16"/>
              </w:rPr>
              <w:t>Market Value before listing (NT $billions)</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Market Value after listing (NT $billions)</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Insider ownership before listing (%)</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Insider ownership after listing (%)</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 xml:space="preserve">Volume turnover before listing </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Volume turnover after listing</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Beta before listing</w:t>
            </w:r>
          </w:p>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Beta after listing</w:t>
            </w:r>
          </w:p>
        </w:tc>
        <w:tc>
          <w:tcPr>
            <w:tcW w:w="1251"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17.61 (16.33)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7,270 (3,495)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6,862 (3,049)</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35.45 (34.57)</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32.15 (31.12)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1.49 (1.31)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1.73 (1.29)</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0.89 (0.91)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0.81 (0.84)</w:t>
            </w:r>
          </w:p>
        </w:tc>
        <w:tc>
          <w:tcPr>
            <w:tcW w:w="1252"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17.03 (14.25)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8,181 (3,697)</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7,425 (3,411)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34.34 (32.70)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30.34 (29.98)</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1.69 (1.45)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1.85 (1.49)</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0.91 (0.96)</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0.83 (0.87)</w:t>
            </w:r>
          </w:p>
        </w:tc>
        <w:tc>
          <w:tcPr>
            <w:tcW w:w="1252"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18.58 (18.25)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5,764 (2,324)</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5,932 (2,135)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37.30 (36.34)</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35.13 (36.80)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1.17 (1.03)</w:t>
            </w:r>
          </w:p>
          <w:p w:rsidR="001A5DF6" w:rsidRPr="00FF6AA6" w:rsidRDefault="001A5DF6" w:rsidP="003D62C1">
            <w:pPr>
              <w:tabs>
                <w:tab w:val="center" w:pos="522"/>
              </w:tabs>
              <w:autoSpaceDE w:val="0"/>
              <w:autoSpaceDN w:val="0"/>
              <w:adjustRightInd w:val="0"/>
              <w:rPr>
                <w:color w:val="000000"/>
                <w:kern w:val="0"/>
                <w:sz w:val="16"/>
                <w:szCs w:val="16"/>
              </w:rPr>
            </w:pPr>
            <w:r w:rsidRPr="00FF6AA6">
              <w:rPr>
                <w:color w:val="000000"/>
                <w:kern w:val="0"/>
                <w:sz w:val="16"/>
                <w:szCs w:val="16"/>
              </w:rPr>
              <w:tab/>
              <w:t>1.52 (0.91)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0.85 (0.83)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0.78 (0.84)</w:t>
            </w:r>
          </w:p>
        </w:tc>
        <w:tc>
          <w:tcPr>
            <w:tcW w:w="1077" w:type="dxa"/>
            <w:tcBorders>
              <w:top w:val="single" w:sz="4" w:space="0" w:color="auto"/>
              <w:bottom w:val="single" w:sz="4" w:space="0" w:color="auto"/>
            </w:tcBorders>
          </w:tcPr>
          <w:p w:rsidR="001A5DF6" w:rsidRPr="00FF6AA6" w:rsidRDefault="001A5DF6" w:rsidP="001A5DF6">
            <w:pPr>
              <w:autoSpaceDE w:val="0"/>
              <w:autoSpaceDN w:val="0"/>
              <w:adjustRightInd w:val="0"/>
              <w:ind w:firstLineChars="150" w:firstLine="31680"/>
              <w:rPr>
                <w:color w:val="000000"/>
                <w:kern w:val="0"/>
                <w:sz w:val="16"/>
                <w:szCs w:val="16"/>
              </w:rPr>
            </w:pPr>
            <w:r w:rsidRPr="00FF6AA6">
              <w:rPr>
                <w:color w:val="000000"/>
                <w:kern w:val="0"/>
                <w:sz w:val="16"/>
                <w:szCs w:val="16"/>
              </w:rPr>
              <w:t>-1.26</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xml:space="preserve"> 1.83*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1.28</w:t>
            </w:r>
          </w:p>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 xml:space="preserve"> -1.67*</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xml:space="preserve"> -2.25**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xml:space="preserve">   3.24***</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1.35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0.86</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1.15</w:t>
            </w:r>
          </w:p>
        </w:tc>
        <w:tc>
          <w:tcPr>
            <w:tcW w:w="1140" w:type="dxa"/>
            <w:tcBorders>
              <w:top w:val="single" w:sz="4" w:space="0" w:color="auto"/>
              <w:bottom w:val="single" w:sz="4" w:space="0" w:color="auto"/>
            </w:tcBorders>
          </w:tcPr>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0.05*</w:t>
            </w:r>
          </w:p>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0.00**</w:t>
            </w:r>
          </w:p>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0.02*</w:t>
            </w:r>
          </w:p>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0.11</w:t>
            </w:r>
          </w:p>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0.06*</w:t>
            </w:r>
          </w:p>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0.10*</w:t>
            </w:r>
          </w:p>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0.13</w:t>
            </w:r>
          </w:p>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0.91</w:t>
            </w:r>
          </w:p>
          <w:p w:rsidR="001A5DF6" w:rsidRPr="00FF6AA6" w:rsidRDefault="001A5DF6" w:rsidP="001A5DF6">
            <w:pPr>
              <w:autoSpaceDE w:val="0"/>
              <w:autoSpaceDN w:val="0"/>
              <w:adjustRightInd w:val="0"/>
              <w:ind w:firstLineChars="100" w:firstLine="31680"/>
              <w:rPr>
                <w:color w:val="000000"/>
                <w:kern w:val="0"/>
                <w:sz w:val="16"/>
                <w:szCs w:val="16"/>
              </w:rPr>
            </w:pPr>
            <w:r w:rsidRPr="00FF6AA6">
              <w:rPr>
                <w:color w:val="000000"/>
                <w:kern w:val="0"/>
                <w:sz w:val="16"/>
                <w:szCs w:val="16"/>
              </w:rPr>
              <w:t>0.98</w:t>
            </w:r>
          </w:p>
        </w:tc>
      </w:tr>
    </w:tbl>
    <w:p w:rsidR="001A5DF6" w:rsidRPr="00FF6AA6" w:rsidRDefault="001A5DF6" w:rsidP="0060246D">
      <w:pPr>
        <w:autoSpaceDE w:val="0"/>
        <w:autoSpaceDN w:val="0"/>
        <w:adjustRightInd w:val="0"/>
        <w:spacing w:line="360" w:lineRule="auto"/>
        <w:outlineLvl w:val="0"/>
        <w:rPr>
          <w:b/>
          <w:color w:val="000000"/>
          <w:kern w:val="0"/>
          <w:sz w:val="20"/>
          <w:szCs w:val="20"/>
        </w:rPr>
      </w:pPr>
      <w:r w:rsidRPr="00FF6AA6">
        <w:rPr>
          <w:color w:val="000000"/>
          <w:kern w:val="0"/>
          <w:sz w:val="16"/>
          <w:szCs w:val="16"/>
        </w:rPr>
        <w:br w:type="page"/>
      </w:r>
      <w:r w:rsidRPr="00FF6AA6">
        <w:rPr>
          <w:b/>
          <w:color w:val="000000"/>
          <w:kern w:val="0"/>
          <w:sz w:val="20"/>
          <w:szCs w:val="20"/>
        </w:rPr>
        <w:t>Table 3  Correlation coefficients between selected variables</w:t>
      </w:r>
    </w:p>
    <w:p w:rsidR="001A5DF6" w:rsidRPr="00FF6AA6" w:rsidRDefault="001A5DF6" w:rsidP="0060246D">
      <w:pPr>
        <w:autoSpaceDE w:val="0"/>
        <w:autoSpaceDN w:val="0"/>
        <w:adjustRightInd w:val="0"/>
        <w:jc w:val="both"/>
        <w:rPr>
          <w:b/>
          <w:color w:val="000000"/>
          <w:kern w:val="0"/>
          <w:sz w:val="20"/>
          <w:szCs w:val="20"/>
        </w:rPr>
      </w:pPr>
      <w:r w:rsidRPr="00FF6AA6">
        <w:rPr>
          <w:color w:val="000000"/>
          <w:sz w:val="20"/>
          <w:szCs w:val="20"/>
        </w:rPr>
        <w:t xml:space="preserve">The Pearson (Spearman) correlation coefficients are reported at the lower-triangle (upper-triangle). </w:t>
      </w:r>
      <w:r w:rsidRPr="00FF6AA6">
        <w:rPr>
          <w:i/>
          <w:color w:val="000000"/>
          <w:sz w:val="20"/>
          <w:szCs w:val="20"/>
        </w:rPr>
        <w:t>InsiderSelling</w:t>
      </w:r>
      <w:r w:rsidRPr="00FF6AA6">
        <w:rPr>
          <w:color w:val="000000"/>
          <w:sz w:val="20"/>
          <w:szCs w:val="20"/>
        </w:rPr>
        <w:t xml:space="preserve"> is the number of insider sales reported during the one year period before the listing day; </w:t>
      </w:r>
      <w:r w:rsidRPr="00FF6AA6">
        <w:rPr>
          <w:i/>
          <w:color w:val="000000"/>
          <w:sz w:val="20"/>
          <w:szCs w:val="20"/>
        </w:rPr>
        <w:t>ListingdayCAR</w:t>
      </w:r>
      <w:r w:rsidRPr="00FF6AA6">
        <w:rPr>
          <w:color w:val="000000"/>
          <w:sz w:val="20"/>
          <w:szCs w:val="20"/>
        </w:rPr>
        <w:t xml:space="preserve"> is the abnormal returns for the listing window (t-1 to t+1); </w:t>
      </w:r>
      <w:r w:rsidRPr="00FF6AA6">
        <w:rPr>
          <w:i/>
          <w:color w:val="000000"/>
          <w:sz w:val="20"/>
          <w:szCs w:val="20"/>
        </w:rPr>
        <w:t>PrelistingCAR</w:t>
      </w:r>
      <w:r w:rsidRPr="00FF6AA6">
        <w:rPr>
          <w:color w:val="000000"/>
          <w:sz w:val="20"/>
          <w:szCs w:val="20"/>
        </w:rPr>
        <w:t xml:space="preserve"> is the pre-listing period abnormal returns over 250 days before listing (t-251 to t-2);</w:t>
      </w:r>
      <w:r w:rsidRPr="00FF6AA6">
        <w:rPr>
          <w:i/>
          <w:color w:val="000000"/>
          <w:sz w:val="20"/>
          <w:szCs w:val="20"/>
        </w:rPr>
        <w:t xml:space="preserve"> PostlistingCAR</w:t>
      </w:r>
      <w:r w:rsidRPr="00FF6AA6">
        <w:rPr>
          <w:color w:val="000000"/>
          <w:sz w:val="20"/>
          <w:szCs w:val="20"/>
        </w:rPr>
        <w:t xml:space="preserve"> is the post-listing period abnormal returns over 250 days after listing (t+2 to t+251); </w:t>
      </w:r>
      <w:r w:rsidRPr="00FF6AA6">
        <w:rPr>
          <w:i/>
          <w:color w:val="000000"/>
          <w:sz w:val="20"/>
          <w:szCs w:val="20"/>
        </w:rPr>
        <w:t>Size</w:t>
      </w:r>
      <w:r w:rsidRPr="00FF6AA6">
        <w:rPr>
          <w:color w:val="000000"/>
          <w:sz w:val="20"/>
          <w:szCs w:val="20"/>
        </w:rPr>
        <w:t xml:space="preserve"> is the log of market value of equity in the year prior to the listing; </w:t>
      </w:r>
      <w:r w:rsidRPr="00FF6AA6">
        <w:rPr>
          <w:i/>
          <w:color w:val="000000"/>
          <w:sz w:val="20"/>
          <w:szCs w:val="20"/>
        </w:rPr>
        <w:t>Ownership</w:t>
      </w:r>
      <w:r w:rsidRPr="00FF6AA6">
        <w:rPr>
          <w:color w:val="000000"/>
          <w:sz w:val="20"/>
          <w:szCs w:val="20"/>
        </w:rPr>
        <w:t xml:space="preserve"> is the percentage of holdings held by insiders in the year prior to the listing; </w:t>
      </w:r>
      <w:r w:rsidRPr="00FF6AA6">
        <w:rPr>
          <w:i/>
          <w:color w:val="000000"/>
          <w:sz w:val="20"/>
          <w:szCs w:val="20"/>
        </w:rPr>
        <w:t>Beta</w:t>
      </w:r>
      <w:r w:rsidRPr="00FF6AA6">
        <w:rPr>
          <w:color w:val="000000"/>
          <w:sz w:val="20"/>
          <w:szCs w:val="20"/>
        </w:rPr>
        <w:t xml:space="preserve"> is the systematic risk of the firm estimated by the market model over 250 days before listing ; and </w:t>
      </w:r>
      <w:r w:rsidRPr="00FF6AA6">
        <w:rPr>
          <w:i/>
          <w:color w:val="000000"/>
          <w:sz w:val="20"/>
          <w:szCs w:val="20"/>
        </w:rPr>
        <w:t>Dindustry</w:t>
      </w:r>
      <w:r w:rsidRPr="00FF6AA6">
        <w:rPr>
          <w:color w:val="000000"/>
          <w:sz w:val="20"/>
          <w:szCs w:val="20"/>
        </w:rPr>
        <w:t xml:space="preserve"> is a dummy equal to one for firms classified in the electronic industry. The sample size is 191. </w:t>
      </w:r>
      <w:r w:rsidRPr="00FF6AA6">
        <w:rPr>
          <w:color w:val="000000"/>
          <w:kern w:val="0"/>
          <w:sz w:val="20"/>
          <w:szCs w:val="20"/>
        </w:rPr>
        <w:t>*, ** and *** indicate statistical significant at the 0.1, 0.05 and 0.01 levels, respectively.</w:t>
      </w:r>
    </w:p>
    <w:tbl>
      <w:tblPr>
        <w:tblW w:w="8928" w:type="dxa"/>
        <w:tblBorders>
          <w:top w:val="single" w:sz="4" w:space="0" w:color="auto"/>
          <w:bottom w:val="single" w:sz="4" w:space="0" w:color="auto"/>
        </w:tblBorders>
        <w:tblLayout w:type="fixed"/>
        <w:tblLook w:val="01E0"/>
      </w:tblPr>
      <w:tblGrid>
        <w:gridCol w:w="1368"/>
        <w:gridCol w:w="900"/>
        <w:gridCol w:w="1080"/>
        <w:gridCol w:w="900"/>
        <w:gridCol w:w="1080"/>
        <w:gridCol w:w="900"/>
        <w:gridCol w:w="900"/>
        <w:gridCol w:w="900"/>
        <w:gridCol w:w="900"/>
      </w:tblGrid>
      <w:tr w:rsidR="001A5DF6" w:rsidRPr="00FF6AA6">
        <w:tc>
          <w:tcPr>
            <w:tcW w:w="1368" w:type="dxa"/>
            <w:tcBorders>
              <w:top w:val="single" w:sz="4" w:space="0" w:color="auto"/>
              <w:bottom w:val="single" w:sz="4" w:space="0" w:color="auto"/>
            </w:tcBorders>
          </w:tcPr>
          <w:p w:rsidR="001A5DF6" w:rsidRPr="00FF6AA6" w:rsidRDefault="001A5DF6" w:rsidP="003D62C1">
            <w:pPr>
              <w:jc w:val="center"/>
              <w:rPr>
                <w:color w:val="000000"/>
                <w:sz w:val="14"/>
                <w:szCs w:val="14"/>
              </w:rPr>
            </w:pPr>
          </w:p>
        </w:tc>
        <w:tc>
          <w:tcPr>
            <w:tcW w:w="900" w:type="dxa"/>
            <w:tcBorders>
              <w:top w:val="single" w:sz="4" w:space="0" w:color="auto"/>
              <w:bottom w:val="single" w:sz="4" w:space="0" w:color="auto"/>
            </w:tcBorders>
          </w:tcPr>
          <w:p w:rsidR="001A5DF6" w:rsidRPr="00FF6AA6" w:rsidRDefault="001A5DF6" w:rsidP="001A5DF6">
            <w:pPr>
              <w:ind w:leftChars="-45" w:left="31680"/>
              <w:jc w:val="center"/>
              <w:rPr>
                <w:i/>
                <w:color w:val="000000"/>
                <w:sz w:val="16"/>
                <w:szCs w:val="16"/>
              </w:rPr>
            </w:pPr>
            <w:r w:rsidRPr="00FF6AA6">
              <w:rPr>
                <w:i/>
                <w:color w:val="000000"/>
                <w:sz w:val="16"/>
                <w:szCs w:val="16"/>
              </w:rPr>
              <w:t>Insider-</w:t>
            </w:r>
          </w:p>
          <w:p w:rsidR="001A5DF6" w:rsidRPr="00FF6AA6" w:rsidRDefault="001A5DF6" w:rsidP="001A5DF6">
            <w:pPr>
              <w:ind w:leftChars="-45" w:left="31680"/>
              <w:jc w:val="center"/>
              <w:rPr>
                <w:color w:val="000000"/>
                <w:sz w:val="16"/>
                <w:szCs w:val="16"/>
              </w:rPr>
            </w:pPr>
            <w:r w:rsidRPr="00FF6AA6">
              <w:rPr>
                <w:i/>
                <w:color w:val="000000"/>
                <w:sz w:val="16"/>
                <w:szCs w:val="16"/>
              </w:rPr>
              <w:t>Selling</w:t>
            </w:r>
          </w:p>
        </w:tc>
        <w:tc>
          <w:tcPr>
            <w:tcW w:w="1080" w:type="dxa"/>
            <w:tcBorders>
              <w:top w:val="single" w:sz="4" w:space="0" w:color="auto"/>
              <w:bottom w:val="single" w:sz="4" w:space="0" w:color="auto"/>
            </w:tcBorders>
          </w:tcPr>
          <w:p w:rsidR="001A5DF6" w:rsidRPr="00FF6AA6" w:rsidRDefault="001A5DF6" w:rsidP="001A5DF6">
            <w:pPr>
              <w:ind w:leftChars="-53" w:left="31680" w:firstLineChars="50" w:firstLine="31680"/>
              <w:jc w:val="center"/>
              <w:rPr>
                <w:i/>
                <w:color w:val="000000"/>
                <w:sz w:val="16"/>
                <w:szCs w:val="16"/>
              </w:rPr>
            </w:pPr>
            <w:r w:rsidRPr="00FF6AA6">
              <w:rPr>
                <w:i/>
                <w:color w:val="000000"/>
                <w:sz w:val="16"/>
                <w:szCs w:val="16"/>
              </w:rPr>
              <w:t>Listingday-</w:t>
            </w:r>
          </w:p>
          <w:p w:rsidR="001A5DF6" w:rsidRPr="00FF6AA6" w:rsidRDefault="001A5DF6" w:rsidP="001A5DF6">
            <w:pPr>
              <w:ind w:leftChars="-53" w:left="31680" w:firstLineChars="50" w:firstLine="31680"/>
              <w:jc w:val="center"/>
              <w:rPr>
                <w:color w:val="000000"/>
                <w:sz w:val="16"/>
                <w:szCs w:val="16"/>
              </w:rPr>
            </w:pPr>
            <w:r w:rsidRPr="00FF6AA6">
              <w:rPr>
                <w:i/>
                <w:color w:val="000000"/>
                <w:sz w:val="16"/>
                <w:szCs w:val="16"/>
              </w:rPr>
              <w:t>CAR</w:t>
            </w:r>
          </w:p>
        </w:tc>
        <w:tc>
          <w:tcPr>
            <w:tcW w:w="900" w:type="dxa"/>
            <w:tcBorders>
              <w:top w:val="single" w:sz="4" w:space="0" w:color="auto"/>
              <w:bottom w:val="single" w:sz="4" w:space="0" w:color="auto"/>
            </w:tcBorders>
          </w:tcPr>
          <w:p w:rsidR="001A5DF6" w:rsidRPr="00FF6AA6" w:rsidRDefault="001A5DF6" w:rsidP="001A5DF6">
            <w:pPr>
              <w:ind w:leftChars="-28" w:left="31680"/>
              <w:jc w:val="center"/>
              <w:rPr>
                <w:i/>
                <w:color w:val="000000"/>
                <w:sz w:val="16"/>
                <w:szCs w:val="16"/>
              </w:rPr>
            </w:pPr>
            <w:r w:rsidRPr="00FF6AA6">
              <w:rPr>
                <w:i/>
                <w:color w:val="000000"/>
                <w:sz w:val="16"/>
                <w:szCs w:val="16"/>
              </w:rPr>
              <w:t>Prelisting-</w:t>
            </w:r>
          </w:p>
          <w:p w:rsidR="001A5DF6" w:rsidRPr="00FF6AA6" w:rsidRDefault="001A5DF6" w:rsidP="001A5DF6">
            <w:pPr>
              <w:ind w:leftChars="-28" w:left="31680"/>
              <w:jc w:val="center"/>
              <w:rPr>
                <w:color w:val="000000"/>
                <w:sz w:val="16"/>
                <w:szCs w:val="16"/>
              </w:rPr>
            </w:pPr>
            <w:r w:rsidRPr="00FF6AA6">
              <w:rPr>
                <w:i/>
                <w:color w:val="000000"/>
                <w:sz w:val="16"/>
                <w:szCs w:val="16"/>
              </w:rPr>
              <w:t>CAR</w:t>
            </w:r>
          </w:p>
        </w:tc>
        <w:tc>
          <w:tcPr>
            <w:tcW w:w="1080" w:type="dxa"/>
            <w:tcBorders>
              <w:top w:val="single" w:sz="4" w:space="0" w:color="auto"/>
              <w:bottom w:val="single" w:sz="4" w:space="0" w:color="auto"/>
            </w:tcBorders>
          </w:tcPr>
          <w:p w:rsidR="001A5DF6" w:rsidRPr="00FF6AA6" w:rsidRDefault="001A5DF6" w:rsidP="001A5DF6">
            <w:pPr>
              <w:ind w:leftChars="-31" w:left="31680" w:hangingChars="23" w:firstLine="31680"/>
              <w:jc w:val="center"/>
              <w:rPr>
                <w:i/>
                <w:color w:val="000000"/>
                <w:sz w:val="16"/>
                <w:szCs w:val="16"/>
              </w:rPr>
            </w:pPr>
            <w:r w:rsidRPr="00FF6AA6">
              <w:rPr>
                <w:i/>
                <w:color w:val="000000"/>
                <w:sz w:val="16"/>
                <w:szCs w:val="16"/>
              </w:rPr>
              <w:t>Postlisting-</w:t>
            </w:r>
          </w:p>
          <w:p w:rsidR="001A5DF6" w:rsidRPr="00FF6AA6" w:rsidRDefault="001A5DF6" w:rsidP="001A5DF6">
            <w:pPr>
              <w:ind w:leftChars="-31" w:left="31680" w:hangingChars="23" w:firstLine="31680"/>
              <w:jc w:val="center"/>
              <w:rPr>
                <w:color w:val="000000"/>
                <w:sz w:val="16"/>
                <w:szCs w:val="16"/>
              </w:rPr>
            </w:pPr>
            <w:r w:rsidRPr="00FF6AA6">
              <w:rPr>
                <w:i/>
                <w:color w:val="000000"/>
                <w:sz w:val="16"/>
                <w:szCs w:val="16"/>
              </w:rPr>
              <w:t>CAR</w:t>
            </w:r>
          </w:p>
        </w:tc>
        <w:tc>
          <w:tcPr>
            <w:tcW w:w="900" w:type="dxa"/>
            <w:tcBorders>
              <w:top w:val="single" w:sz="4" w:space="0" w:color="auto"/>
              <w:bottom w:val="single" w:sz="4" w:space="0" w:color="auto"/>
            </w:tcBorders>
          </w:tcPr>
          <w:p w:rsidR="001A5DF6" w:rsidRPr="00FF6AA6" w:rsidRDefault="001A5DF6" w:rsidP="001A5DF6">
            <w:pPr>
              <w:ind w:leftChars="-22" w:left="31680"/>
              <w:jc w:val="center"/>
              <w:rPr>
                <w:color w:val="000000"/>
                <w:sz w:val="16"/>
                <w:szCs w:val="16"/>
              </w:rPr>
            </w:pPr>
            <w:r w:rsidRPr="00FF6AA6">
              <w:rPr>
                <w:i/>
                <w:color w:val="000000"/>
                <w:sz w:val="16"/>
                <w:szCs w:val="16"/>
              </w:rPr>
              <w:t>Size</w:t>
            </w:r>
          </w:p>
        </w:tc>
        <w:tc>
          <w:tcPr>
            <w:tcW w:w="900" w:type="dxa"/>
            <w:tcBorders>
              <w:top w:val="single" w:sz="4" w:space="0" w:color="auto"/>
              <w:bottom w:val="single" w:sz="4" w:space="0" w:color="auto"/>
            </w:tcBorders>
          </w:tcPr>
          <w:p w:rsidR="001A5DF6" w:rsidRPr="00FF6AA6" w:rsidRDefault="001A5DF6" w:rsidP="001A5DF6">
            <w:pPr>
              <w:ind w:leftChars="-22" w:left="31680"/>
              <w:jc w:val="center"/>
              <w:rPr>
                <w:color w:val="000000"/>
                <w:sz w:val="16"/>
                <w:szCs w:val="16"/>
              </w:rPr>
            </w:pPr>
            <w:r w:rsidRPr="00FF6AA6">
              <w:rPr>
                <w:i/>
                <w:color w:val="000000"/>
                <w:sz w:val="16"/>
                <w:szCs w:val="16"/>
              </w:rPr>
              <w:t>Ownership</w:t>
            </w:r>
          </w:p>
        </w:tc>
        <w:tc>
          <w:tcPr>
            <w:tcW w:w="900" w:type="dxa"/>
            <w:tcBorders>
              <w:top w:val="single" w:sz="4" w:space="0" w:color="auto"/>
              <w:bottom w:val="single" w:sz="4" w:space="0" w:color="auto"/>
            </w:tcBorders>
          </w:tcPr>
          <w:p w:rsidR="001A5DF6" w:rsidRPr="00FF6AA6" w:rsidRDefault="001A5DF6" w:rsidP="001A5DF6">
            <w:pPr>
              <w:ind w:leftChars="-22" w:left="31680"/>
              <w:jc w:val="center"/>
              <w:rPr>
                <w:i/>
                <w:color w:val="000000"/>
                <w:sz w:val="16"/>
                <w:szCs w:val="16"/>
              </w:rPr>
            </w:pPr>
            <w:r w:rsidRPr="00FF6AA6">
              <w:rPr>
                <w:i/>
                <w:color w:val="000000"/>
                <w:sz w:val="16"/>
                <w:szCs w:val="16"/>
              </w:rPr>
              <w:t>Beta</w:t>
            </w:r>
          </w:p>
        </w:tc>
        <w:tc>
          <w:tcPr>
            <w:tcW w:w="900" w:type="dxa"/>
            <w:tcBorders>
              <w:top w:val="single" w:sz="4" w:space="0" w:color="auto"/>
              <w:bottom w:val="single" w:sz="4" w:space="0" w:color="auto"/>
            </w:tcBorders>
          </w:tcPr>
          <w:p w:rsidR="001A5DF6" w:rsidRPr="00FF6AA6" w:rsidRDefault="001A5DF6" w:rsidP="003D62C1">
            <w:pPr>
              <w:jc w:val="center"/>
              <w:rPr>
                <w:color w:val="000000"/>
                <w:sz w:val="16"/>
                <w:szCs w:val="16"/>
              </w:rPr>
            </w:pPr>
            <w:r w:rsidRPr="00FF6AA6">
              <w:rPr>
                <w:i/>
                <w:color w:val="000000"/>
                <w:sz w:val="16"/>
                <w:szCs w:val="16"/>
              </w:rPr>
              <w:t>Dindustry</w:t>
            </w:r>
          </w:p>
        </w:tc>
      </w:tr>
      <w:tr w:rsidR="001A5DF6" w:rsidRPr="00FF6AA6">
        <w:tc>
          <w:tcPr>
            <w:tcW w:w="1368" w:type="dxa"/>
            <w:tcBorders>
              <w:top w:val="single" w:sz="4" w:space="0" w:color="auto"/>
              <w:bottom w:val="single" w:sz="4" w:space="0" w:color="auto"/>
            </w:tcBorders>
          </w:tcPr>
          <w:p w:rsidR="001A5DF6" w:rsidRPr="00FF6AA6" w:rsidRDefault="001A5DF6" w:rsidP="00390A44">
            <w:pPr>
              <w:rPr>
                <w:i/>
                <w:color w:val="000000"/>
                <w:sz w:val="16"/>
                <w:szCs w:val="16"/>
              </w:rPr>
            </w:pPr>
            <w:r w:rsidRPr="00FF6AA6">
              <w:rPr>
                <w:i/>
                <w:color w:val="000000"/>
                <w:sz w:val="16"/>
                <w:szCs w:val="16"/>
              </w:rPr>
              <w:t>InsiderSelling</w:t>
            </w:r>
          </w:p>
          <w:p w:rsidR="001A5DF6" w:rsidRPr="00FF6AA6" w:rsidRDefault="001A5DF6" w:rsidP="00390A44">
            <w:pPr>
              <w:rPr>
                <w:i/>
                <w:color w:val="000000"/>
                <w:sz w:val="16"/>
                <w:szCs w:val="16"/>
              </w:rPr>
            </w:pPr>
            <w:r w:rsidRPr="00FF6AA6">
              <w:rPr>
                <w:i/>
                <w:color w:val="000000"/>
                <w:sz w:val="16"/>
                <w:szCs w:val="16"/>
              </w:rPr>
              <w:t>ListingdayCAR</w:t>
            </w:r>
          </w:p>
          <w:p w:rsidR="001A5DF6" w:rsidRPr="00FF6AA6" w:rsidRDefault="001A5DF6" w:rsidP="00390A44">
            <w:pPr>
              <w:rPr>
                <w:i/>
                <w:color w:val="000000"/>
                <w:sz w:val="16"/>
                <w:szCs w:val="16"/>
              </w:rPr>
            </w:pPr>
            <w:r w:rsidRPr="00FF6AA6">
              <w:rPr>
                <w:i/>
                <w:color w:val="000000"/>
                <w:sz w:val="16"/>
                <w:szCs w:val="16"/>
              </w:rPr>
              <w:t>PrelistingCAR</w:t>
            </w:r>
          </w:p>
          <w:p w:rsidR="001A5DF6" w:rsidRPr="00FF6AA6" w:rsidRDefault="001A5DF6" w:rsidP="00390A44">
            <w:pPr>
              <w:rPr>
                <w:i/>
                <w:color w:val="000000"/>
                <w:sz w:val="16"/>
                <w:szCs w:val="16"/>
              </w:rPr>
            </w:pPr>
            <w:r w:rsidRPr="00FF6AA6">
              <w:rPr>
                <w:i/>
                <w:color w:val="000000"/>
                <w:sz w:val="16"/>
                <w:szCs w:val="16"/>
              </w:rPr>
              <w:t>PostlistingCAR</w:t>
            </w:r>
          </w:p>
          <w:p w:rsidR="001A5DF6" w:rsidRPr="00FF6AA6" w:rsidRDefault="001A5DF6" w:rsidP="00390A44">
            <w:pPr>
              <w:rPr>
                <w:i/>
                <w:color w:val="000000"/>
                <w:sz w:val="16"/>
                <w:szCs w:val="16"/>
              </w:rPr>
            </w:pPr>
            <w:r w:rsidRPr="00FF6AA6">
              <w:rPr>
                <w:i/>
                <w:color w:val="000000"/>
                <w:sz w:val="16"/>
                <w:szCs w:val="16"/>
              </w:rPr>
              <w:t>Size</w:t>
            </w:r>
          </w:p>
          <w:p w:rsidR="001A5DF6" w:rsidRPr="00FF6AA6" w:rsidRDefault="001A5DF6" w:rsidP="00390A44">
            <w:pPr>
              <w:rPr>
                <w:i/>
                <w:color w:val="000000"/>
                <w:sz w:val="16"/>
                <w:szCs w:val="16"/>
              </w:rPr>
            </w:pPr>
            <w:r w:rsidRPr="00FF6AA6">
              <w:rPr>
                <w:i/>
                <w:color w:val="000000"/>
                <w:sz w:val="16"/>
                <w:szCs w:val="16"/>
              </w:rPr>
              <w:t>Ownership</w:t>
            </w:r>
          </w:p>
          <w:p w:rsidR="001A5DF6" w:rsidRPr="00FF6AA6" w:rsidRDefault="001A5DF6" w:rsidP="00390A44">
            <w:pPr>
              <w:rPr>
                <w:i/>
                <w:color w:val="000000"/>
                <w:sz w:val="16"/>
                <w:szCs w:val="16"/>
              </w:rPr>
            </w:pPr>
            <w:r w:rsidRPr="00FF6AA6">
              <w:rPr>
                <w:i/>
                <w:color w:val="000000"/>
                <w:sz w:val="16"/>
                <w:szCs w:val="16"/>
              </w:rPr>
              <w:t>Beta</w:t>
            </w:r>
          </w:p>
          <w:p w:rsidR="001A5DF6" w:rsidRPr="00FF6AA6" w:rsidRDefault="001A5DF6" w:rsidP="00390A44">
            <w:pPr>
              <w:rPr>
                <w:color w:val="000000"/>
                <w:sz w:val="14"/>
                <w:szCs w:val="14"/>
              </w:rPr>
            </w:pPr>
            <w:r w:rsidRPr="00FF6AA6">
              <w:rPr>
                <w:i/>
                <w:color w:val="000000"/>
                <w:sz w:val="16"/>
                <w:szCs w:val="16"/>
              </w:rPr>
              <w:t>Dindustry</w:t>
            </w:r>
          </w:p>
        </w:tc>
        <w:tc>
          <w:tcPr>
            <w:tcW w:w="900" w:type="dxa"/>
            <w:tcBorders>
              <w:top w:val="single" w:sz="4" w:space="0" w:color="auto"/>
              <w:bottom w:val="single" w:sz="4" w:space="0" w:color="auto"/>
            </w:tcBorders>
          </w:tcPr>
          <w:p w:rsidR="001A5DF6" w:rsidRPr="00FF6AA6" w:rsidRDefault="001A5DF6" w:rsidP="003D62C1">
            <w:pPr>
              <w:jc w:val="both"/>
              <w:rPr>
                <w:color w:val="000000"/>
                <w:sz w:val="16"/>
                <w:szCs w:val="16"/>
              </w:rPr>
            </w:pPr>
          </w:p>
          <w:p w:rsidR="001A5DF6" w:rsidRPr="00FF6AA6" w:rsidRDefault="001A5DF6" w:rsidP="003D62C1">
            <w:pPr>
              <w:jc w:val="both"/>
              <w:rPr>
                <w:color w:val="000000"/>
                <w:sz w:val="16"/>
                <w:szCs w:val="16"/>
              </w:rPr>
            </w:pPr>
            <w:r w:rsidRPr="00FF6AA6">
              <w:rPr>
                <w:color w:val="000000"/>
                <w:sz w:val="16"/>
                <w:szCs w:val="16"/>
              </w:rPr>
              <w:t>- 0.093</w:t>
            </w:r>
          </w:p>
          <w:p w:rsidR="001A5DF6" w:rsidRPr="00FF6AA6" w:rsidRDefault="001A5DF6" w:rsidP="001A5DF6">
            <w:pPr>
              <w:ind w:firstLineChars="50" w:firstLine="31680"/>
              <w:jc w:val="both"/>
              <w:rPr>
                <w:color w:val="000000"/>
                <w:sz w:val="16"/>
                <w:szCs w:val="16"/>
              </w:rPr>
            </w:pPr>
            <w:r w:rsidRPr="00FF6AA6">
              <w:rPr>
                <w:color w:val="000000"/>
                <w:sz w:val="16"/>
                <w:szCs w:val="16"/>
              </w:rPr>
              <w:t>0.101</w:t>
            </w:r>
          </w:p>
          <w:p w:rsidR="001A5DF6" w:rsidRPr="00FF6AA6" w:rsidRDefault="001A5DF6" w:rsidP="003D62C1">
            <w:pPr>
              <w:jc w:val="both"/>
              <w:rPr>
                <w:color w:val="000000"/>
                <w:sz w:val="16"/>
                <w:szCs w:val="16"/>
              </w:rPr>
            </w:pPr>
            <w:r w:rsidRPr="00FF6AA6">
              <w:rPr>
                <w:color w:val="000000"/>
                <w:sz w:val="16"/>
                <w:szCs w:val="16"/>
              </w:rPr>
              <w:t>- 0.175**</w:t>
            </w:r>
          </w:p>
          <w:p w:rsidR="001A5DF6" w:rsidRPr="00FF6AA6" w:rsidRDefault="001A5DF6" w:rsidP="001A5DF6">
            <w:pPr>
              <w:ind w:firstLineChars="50" w:firstLine="31680"/>
              <w:jc w:val="both"/>
              <w:rPr>
                <w:color w:val="000000"/>
                <w:sz w:val="16"/>
                <w:szCs w:val="16"/>
              </w:rPr>
            </w:pPr>
            <w:r w:rsidRPr="00FF6AA6">
              <w:rPr>
                <w:color w:val="000000"/>
                <w:sz w:val="16"/>
                <w:szCs w:val="16"/>
              </w:rPr>
              <w:t>0.195***</w:t>
            </w:r>
          </w:p>
          <w:p w:rsidR="001A5DF6" w:rsidRPr="00FF6AA6" w:rsidRDefault="001A5DF6" w:rsidP="003D62C1">
            <w:pPr>
              <w:jc w:val="both"/>
              <w:rPr>
                <w:color w:val="000000"/>
                <w:sz w:val="16"/>
                <w:szCs w:val="16"/>
              </w:rPr>
            </w:pPr>
            <w:r w:rsidRPr="00FF6AA6">
              <w:rPr>
                <w:color w:val="000000"/>
                <w:sz w:val="16"/>
                <w:szCs w:val="16"/>
              </w:rPr>
              <w:t>- 0.043</w:t>
            </w:r>
          </w:p>
          <w:p w:rsidR="001A5DF6" w:rsidRPr="00FF6AA6" w:rsidRDefault="001A5DF6" w:rsidP="003D62C1">
            <w:pPr>
              <w:jc w:val="both"/>
              <w:rPr>
                <w:color w:val="000000"/>
                <w:sz w:val="16"/>
                <w:szCs w:val="16"/>
              </w:rPr>
            </w:pPr>
            <w:r w:rsidRPr="00FF6AA6">
              <w:rPr>
                <w:color w:val="000000"/>
                <w:sz w:val="16"/>
                <w:szCs w:val="16"/>
              </w:rPr>
              <w:t xml:space="preserve"> 0.004</w:t>
            </w:r>
          </w:p>
          <w:p w:rsidR="001A5DF6" w:rsidRPr="00FF6AA6" w:rsidRDefault="001A5DF6" w:rsidP="003D62C1">
            <w:pPr>
              <w:jc w:val="both"/>
              <w:rPr>
                <w:color w:val="000000"/>
                <w:sz w:val="16"/>
                <w:szCs w:val="16"/>
              </w:rPr>
            </w:pPr>
            <w:r w:rsidRPr="00FF6AA6">
              <w:rPr>
                <w:color w:val="000000"/>
                <w:sz w:val="16"/>
                <w:szCs w:val="16"/>
              </w:rPr>
              <w:t>- 0.053</w:t>
            </w:r>
          </w:p>
        </w:tc>
        <w:tc>
          <w:tcPr>
            <w:tcW w:w="1080" w:type="dxa"/>
            <w:tcBorders>
              <w:top w:val="single" w:sz="4" w:space="0" w:color="auto"/>
              <w:bottom w:val="single" w:sz="4" w:space="0" w:color="auto"/>
            </w:tcBorders>
          </w:tcPr>
          <w:p w:rsidR="001A5DF6" w:rsidRPr="00FF6AA6" w:rsidRDefault="001A5DF6" w:rsidP="00390A44">
            <w:pPr>
              <w:rPr>
                <w:color w:val="000000"/>
                <w:sz w:val="16"/>
                <w:szCs w:val="16"/>
              </w:rPr>
            </w:pPr>
            <w:r w:rsidRPr="00FF6AA6">
              <w:rPr>
                <w:color w:val="000000"/>
                <w:sz w:val="16"/>
                <w:szCs w:val="16"/>
              </w:rPr>
              <w:t>- 0.048</w:t>
            </w:r>
          </w:p>
          <w:p w:rsidR="001A5DF6" w:rsidRPr="00FF6AA6" w:rsidRDefault="001A5DF6" w:rsidP="001A5DF6">
            <w:pPr>
              <w:ind w:leftChars="-45" w:left="31680" w:rightChars="-45" w:right="31680"/>
              <w:rPr>
                <w:color w:val="000000"/>
                <w:sz w:val="16"/>
                <w:szCs w:val="16"/>
              </w:rPr>
            </w:pPr>
          </w:p>
          <w:p w:rsidR="001A5DF6" w:rsidRPr="00FF6AA6" w:rsidRDefault="001A5DF6" w:rsidP="00390A44">
            <w:pPr>
              <w:rPr>
                <w:color w:val="000000"/>
                <w:sz w:val="16"/>
                <w:szCs w:val="16"/>
              </w:rPr>
            </w:pPr>
            <w:r w:rsidRPr="00FF6AA6">
              <w:rPr>
                <w:color w:val="000000"/>
                <w:sz w:val="16"/>
                <w:szCs w:val="16"/>
              </w:rPr>
              <w:t>- 0.053</w:t>
            </w:r>
          </w:p>
          <w:p w:rsidR="001A5DF6" w:rsidRPr="00FF6AA6" w:rsidRDefault="001A5DF6" w:rsidP="001A5DF6">
            <w:pPr>
              <w:ind w:firstLineChars="50" w:firstLine="31680"/>
              <w:rPr>
                <w:color w:val="000000"/>
                <w:sz w:val="16"/>
                <w:szCs w:val="16"/>
              </w:rPr>
            </w:pPr>
            <w:r w:rsidRPr="00FF6AA6">
              <w:rPr>
                <w:color w:val="000000"/>
                <w:sz w:val="16"/>
                <w:szCs w:val="16"/>
              </w:rPr>
              <w:t>0.138*</w:t>
            </w:r>
          </w:p>
          <w:p w:rsidR="001A5DF6" w:rsidRPr="00FF6AA6" w:rsidRDefault="001A5DF6" w:rsidP="00390A44">
            <w:pPr>
              <w:rPr>
                <w:color w:val="000000"/>
                <w:sz w:val="16"/>
                <w:szCs w:val="16"/>
              </w:rPr>
            </w:pPr>
            <w:r w:rsidRPr="00FF6AA6">
              <w:rPr>
                <w:color w:val="000000"/>
                <w:sz w:val="16"/>
                <w:szCs w:val="16"/>
              </w:rPr>
              <w:t>- 0.203***</w:t>
            </w:r>
          </w:p>
          <w:p w:rsidR="001A5DF6" w:rsidRPr="00FF6AA6" w:rsidRDefault="001A5DF6" w:rsidP="001A5DF6">
            <w:pPr>
              <w:ind w:firstLineChars="50" w:firstLine="31680"/>
              <w:rPr>
                <w:color w:val="000000"/>
                <w:sz w:val="16"/>
                <w:szCs w:val="16"/>
              </w:rPr>
            </w:pPr>
            <w:r w:rsidRPr="00FF6AA6">
              <w:rPr>
                <w:color w:val="000000"/>
                <w:sz w:val="16"/>
                <w:szCs w:val="16"/>
              </w:rPr>
              <w:t>0.046</w:t>
            </w:r>
          </w:p>
          <w:p w:rsidR="001A5DF6" w:rsidRPr="00FF6AA6" w:rsidRDefault="001A5DF6" w:rsidP="00390A44">
            <w:pPr>
              <w:rPr>
                <w:color w:val="000000"/>
                <w:sz w:val="16"/>
                <w:szCs w:val="16"/>
              </w:rPr>
            </w:pPr>
            <w:r w:rsidRPr="00FF6AA6">
              <w:rPr>
                <w:color w:val="000000"/>
                <w:sz w:val="16"/>
                <w:szCs w:val="16"/>
              </w:rPr>
              <w:t xml:space="preserve"> 0.096</w:t>
            </w:r>
          </w:p>
          <w:p w:rsidR="001A5DF6" w:rsidRPr="00FF6AA6" w:rsidRDefault="001A5DF6" w:rsidP="00390A44">
            <w:pPr>
              <w:rPr>
                <w:color w:val="000000"/>
                <w:sz w:val="16"/>
                <w:szCs w:val="16"/>
              </w:rPr>
            </w:pPr>
            <w:r w:rsidRPr="00FF6AA6">
              <w:rPr>
                <w:color w:val="000000"/>
                <w:sz w:val="16"/>
                <w:szCs w:val="16"/>
              </w:rPr>
              <w:t>- 0.039</w:t>
            </w:r>
          </w:p>
        </w:tc>
        <w:tc>
          <w:tcPr>
            <w:tcW w:w="900" w:type="dxa"/>
            <w:tcBorders>
              <w:top w:val="single" w:sz="4" w:space="0" w:color="auto"/>
              <w:bottom w:val="single" w:sz="4" w:space="0" w:color="auto"/>
            </w:tcBorders>
          </w:tcPr>
          <w:p w:rsidR="001A5DF6" w:rsidRPr="00FF6AA6" w:rsidRDefault="001A5DF6" w:rsidP="001A5DF6">
            <w:pPr>
              <w:ind w:leftChars="-45" w:left="31680" w:firstLineChars="100" w:firstLine="31680"/>
              <w:rPr>
                <w:color w:val="000000"/>
                <w:sz w:val="16"/>
                <w:szCs w:val="16"/>
              </w:rPr>
            </w:pPr>
            <w:r w:rsidRPr="00FF6AA6">
              <w:rPr>
                <w:color w:val="000000"/>
                <w:sz w:val="16"/>
                <w:szCs w:val="16"/>
              </w:rPr>
              <w:t>0.026</w:t>
            </w:r>
          </w:p>
          <w:p w:rsidR="001A5DF6" w:rsidRPr="00FF6AA6" w:rsidRDefault="001A5DF6" w:rsidP="001A5DF6">
            <w:pPr>
              <w:ind w:leftChars="-45" w:left="31680" w:firstLineChars="50" w:firstLine="31680"/>
              <w:rPr>
                <w:color w:val="000000"/>
                <w:sz w:val="16"/>
                <w:szCs w:val="16"/>
              </w:rPr>
            </w:pPr>
            <w:r w:rsidRPr="00FF6AA6">
              <w:rPr>
                <w:color w:val="000000"/>
                <w:sz w:val="16"/>
                <w:szCs w:val="16"/>
              </w:rPr>
              <w:t>- 0.054</w:t>
            </w:r>
          </w:p>
          <w:p w:rsidR="001A5DF6" w:rsidRPr="00FF6AA6" w:rsidRDefault="001A5DF6" w:rsidP="001A5DF6">
            <w:pPr>
              <w:ind w:leftChars="-45" w:left="31680"/>
              <w:rPr>
                <w:color w:val="000000"/>
                <w:sz w:val="16"/>
                <w:szCs w:val="16"/>
              </w:rPr>
            </w:pPr>
          </w:p>
          <w:p w:rsidR="001A5DF6" w:rsidRPr="00FF6AA6" w:rsidRDefault="001A5DF6" w:rsidP="001A5DF6">
            <w:pPr>
              <w:ind w:leftChars="-45" w:left="31680" w:firstLineChars="50" w:firstLine="31680"/>
              <w:rPr>
                <w:color w:val="000000"/>
                <w:sz w:val="16"/>
                <w:szCs w:val="16"/>
              </w:rPr>
            </w:pPr>
            <w:r w:rsidRPr="00FF6AA6">
              <w:rPr>
                <w:color w:val="000000"/>
                <w:sz w:val="16"/>
                <w:szCs w:val="16"/>
              </w:rPr>
              <w:t>- 0.524***</w:t>
            </w:r>
          </w:p>
          <w:p w:rsidR="001A5DF6" w:rsidRPr="00FF6AA6" w:rsidRDefault="001A5DF6" w:rsidP="001A5DF6">
            <w:pPr>
              <w:ind w:leftChars="-45" w:left="31680" w:firstLineChars="50" w:firstLine="31680"/>
              <w:rPr>
                <w:color w:val="000000"/>
                <w:sz w:val="16"/>
                <w:szCs w:val="16"/>
              </w:rPr>
            </w:pPr>
            <w:r w:rsidRPr="00FF6AA6">
              <w:rPr>
                <w:color w:val="000000"/>
                <w:sz w:val="16"/>
                <w:szCs w:val="16"/>
              </w:rPr>
              <w:t>- 0.034</w:t>
            </w:r>
          </w:p>
          <w:p w:rsidR="001A5DF6" w:rsidRPr="00FF6AA6" w:rsidRDefault="001A5DF6" w:rsidP="001A5DF6">
            <w:pPr>
              <w:ind w:leftChars="-45" w:left="31680" w:firstLineChars="50" w:firstLine="31680"/>
              <w:rPr>
                <w:color w:val="000000"/>
                <w:sz w:val="16"/>
                <w:szCs w:val="16"/>
              </w:rPr>
            </w:pPr>
            <w:r w:rsidRPr="00FF6AA6">
              <w:rPr>
                <w:color w:val="000000"/>
                <w:sz w:val="16"/>
                <w:szCs w:val="16"/>
              </w:rPr>
              <w:t>- 0.039</w:t>
            </w:r>
          </w:p>
          <w:p w:rsidR="001A5DF6" w:rsidRPr="00FF6AA6" w:rsidRDefault="001A5DF6" w:rsidP="001A5DF6">
            <w:pPr>
              <w:ind w:leftChars="-45" w:left="31680"/>
              <w:rPr>
                <w:color w:val="000000"/>
                <w:sz w:val="16"/>
                <w:szCs w:val="16"/>
              </w:rPr>
            </w:pPr>
            <w:r w:rsidRPr="00FF6AA6">
              <w:rPr>
                <w:color w:val="000000"/>
                <w:sz w:val="16"/>
                <w:szCs w:val="16"/>
              </w:rPr>
              <w:t xml:space="preserve">  0.054</w:t>
            </w:r>
          </w:p>
          <w:p w:rsidR="001A5DF6" w:rsidRPr="00FF6AA6" w:rsidRDefault="001A5DF6" w:rsidP="001A5DF6">
            <w:pPr>
              <w:ind w:leftChars="-45" w:left="31680" w:firstLineChars="100" w:firstLine="31680"/>
              <w:rPr>
                <w:color w:val="000000"/>
                <w:sz w:val="16"/>
                <w:szCs w:val="16"/>
              </w:rPr>
            </w:pPr>
            <w:r w:rsidRPr="00FF6AA6">
              <w:rPr>
                <w:color w:val="000000"/>
                <w:sz w:val="16"/>
                <w:szCs w:val="16"/>
              </w:rPr>
              <w:t>0.173**</w:t>
            </w:r>
          </w:p>
        </w:tc>
        <w:tc>
          <w:tcPr>
            <w:tcW w:w="1080" w:type="dxa"/>
            <w:tcBorders>
              <w:top w:val="single" w:sz="4" w:space="0" w:color="auto"/>
              <w:bottom w:val="single" w:sz="4" w:space="0" w:color="auto"/>
            </w:tcBorders>
          </w:tcPr>
          <w:p w:rsidR="001A5DF6" w:rsidRPr="00FF6AA6" w:rsidRDefault="001A5DF6" w:rsidP="00390A44">
            <w:pPr>
              <w:rPr>
                <w:color w:val="000000"/>
                <w:sz w:val="16"/>
                <w:szCs w:val="16"/>
              </w:rPr>
            </w:pPr>
            <w:r w:rsidRPr="00FF6AA6">
              <w:rPr>
                <w:color w:val="000000"/>
                <w:sz w:val="16"/>
                <w:szCs w:val="16"/>
              </w:rPr>
              <w:t>- 0.151*</w:t>
            </w:r>
          </w:p>
          <w:p w:rsidR="001A5DF6" w:rsidRPr="00FF6AA6" w:rsidRDefault="001A5DF6" w:rsidP="001A5DF6">
            <w:pPr>
              <w:ind w:firstLineChars="50" w:firstLine="31680"/>
              <w:rPr>
                <w:color w:val="000000"/>
                <w:sz w:val="16"/>
                <w:szCs w:val="16"/>
              </w:rPr>
            </w:pPr>
            <w:r w:rsidRPr="00FF6AA6">
              <w:rPr>
                <w:color w:val="000000"/>
                <w:sz w:val="16"/>
                <w:szCs w:val="16"/>
              </w:rPr>
              <w:t>0.150**</w:t>
            </w:r>
          </w:p>
          <w:p w:rsidR="001A5DF6" w:rsidRPr="00FF6AA6" w:rsidRDefault="001A5DF6" w:rsidP="00390A44">
            <w:pPr>
              <w:rPr>
                <w:color w:val="000000"/>
                <w:sz w:val="16"/>
                <w:szCs w:val="16"/>
              </w:rPr>
            </w:pPr>
            <w:r w:rsidRPr="00FF6AA6">
              <w:rPr>
                <w:color w:val="000000"/>
                <w:sz w:val="16"/>
                <w:szCs w:val="16"/>
              </w:rPr>
              <w:t>- 0.460***</w:t>
            </w:r>
          </w:p>
          <w:p w:rsidR="001A5DF6" w:rsidRPr="00FF6AA6" w:rsidRDefault="001A5DF6" w:rsidP="00390A44">
            <w:pPr>
              <w:rPr>
                <w:color w:val="000000"/>
                <w:sz w:val="16"/>
                <w:szCs w:val="16"/>
              </w:rPr>
            </w:pPr>
          </w:p>
          <w:p w:rsidR="001A5DF6" w:rsidRPr="00FF6AA6" w:rsidRDefault="001A5DF6" w:rsidP="001A5DF6">
            <w:pPr>
              <w:ind w:firstLineChars="50" w:firstLine="31680"/>
              <w:rPr>
                <w:color w:val="000000"/>
                <w:sz w:val="16"/>
                <w:szCs w:val="16"/>
              </w:rPr>
            </w:pPr>
            <w:r w:rsidRPr="00FF6AA6">
              <w:rPr>
                <w:color w:val="000000"/>
                <w:sz w:val="16"/>
                <w:szCs w:val="16"/>
              </w:rPr>
              <w:t>0.003</w:t>
            </w:r>
          </w:p>
          <w:p w:rsidR="001A5DF6" w:rsidRPr="00FF6AA6" w:rsidRDefault="001A5DF6" w:rsidP="001A5DF6">
            <w:pPr>
              <w:ind w:firstLineChars="50" w:firstLine="31680"/>
              <w:rPr>
                <w:color w:val="000000"/>
                <w:sz w:val="16"/>
                <w:szCs w:val="16"/>
              </w:rPr>
            </w:pPr>
            <w:r w:rsidRPr="00FF6AA6">
              <w:rPr>
                <w:color w:val="000000"/>
                <w:sz w:val="16"/>
                <w:szCs w:val="16"/>
              </w:rPr>
              <w:t>0.089</w:t>
            </w:r>
          </w:p>
          <w:p w:rsidR="001A5DF6" w:rsidRPr="00FF6AA6" w:rsidRDefault="001A5DF6" w:rsidP="00390A44">
            <w:pPr>
              <w:rPr>
                <w:color w:val="000000"/>
                <w:sz w:val="16"/>
                <w:szCs w:val="16"/>
              </w:rPr>
            </w:pPr>
            <w:r w:rsidRPr="00FF6AA6">
              <w:rPr>
                <w:color w:val="000000"/>
                <w:sz w:val="16"/>
                <w:szCs w:val="16"/>
              </w:rPr>
              <w:t>- 0.015</w:t>
            </w:r>
          </w:p>
          <w:p w:rsidR="001A5DF6" w:rsidRPr="00FF6AA6" w:rsidRDefault="001A5DF6" w:rsidP="00390A44">
            <w:pPr>
              <w:rPr>
                <w:color w:val="000000"/>
                <w:sz w:val="16"/>
                <w:szCs w:val="16"/>
              </w:rPr>
            </w:pPr>
            <w:r w:rsidRPr="00FF6AA6">
              <w:rPr>
                <w:color w:val="000000"/>
                <w:sz w:val="16"/>
                <w:szCs w:val="16"/>
              </w:rPr>
              <w:t>- 0.091</w:t>
            </w:r>
          </w:p>
        </w:tc>
        <w:tc>
          <w:tcPr>
            <w:tcW w:w="900" w:type="dxa"/>
            <w:tcBorders>
              <w:top w:val="single" w:sz="4" w:space="0" w:color="auto"/>
              <w:bottom w:val="single" w:sz="4" w:space="0" w:color="auto"/>
            </w:tcBorders>
          </w:tcPr>
          <w:p w:rsidR="001A5DF6" w:rsidRPr="00FF6AA6" w:rsidRDefault="001A5DF6" w:rsidP="001A5DF6">
            <w:pPr>
              <w:ind w:leftChars="-45" w:left="31680" w:rightChars="-45" w:right="31680" w:firstLineChars="150" w:firstLine="31680"/>
              <w:rPr>
                <w:color w:val="000000"/>
                <w:sz w:val="16"/>
                <w:szCs w:val="16"/>
              </w:rPr>
            </w:pPr>
            <w:r w:rsidRPr="00FF6AA6">
              <w:rPr>
                <w:color w:val="000000"/>
                <w:sz w:val="16"/>
                <w:szCs w:val="16"/>
              </w:rPr>
              <w:t>0.252***</w:t>
            </w:r>
          </w:p>
          <w:p w:rsidR="001A5DF6" w:rsidRPr="00FF6AA6" w:rsidRDefault="001A5DF6" w:rsidP="00390A44">
            <w:pPr>
              <w:rPr>
                <w:color w:val="000000"/>
                <w:sz w:val="16"/>
                <w:szCs w:val="16"/>
              </w:rPr>
            </w:pPr>
            <w:r w:rsidRPr="00FF6AA6">
              <w:rPr>
                <w:color w:val="000000"/>
                <w:sz w:val="16"/>
                <w:szCs w:val="16"/>
              </w:rPr>
              <w:t>- 0.161**</w:t>
            </w:r>
          </w:p>
          <w:p w:rsidR="001A5DF6" w:rsidRPr="00FF6AA6" w:rsidRDefault="001A5DF6" w:rsidP="00390A44">
            <w:pPr>
              <w:rPr>
                <w:color w:val="000000"/>
                <w:sz w:val="16"/>
                <w:szCs w:val="16"/>
              </w:rPr>
            </w:pPr>
            <w:r w:rsidRPr="00FF6AA6">
              <w:rPr>
                <w:color w:val="000000"/>
                <w:sz w:val="16"/>
                <w:szCs w:val="16"/>
              </w:rPr>
              <w:t>- 0.015</w:t>
            </w:r>
          </w:p>
          <w:p w:rsidR="001A5DF6" w:rsidRPr="00FF6AA6" w:rsidRDefault="001A5DF6" w:rsidP="001A5DF6">
            <w:pPr>
              <w:ind w:firstLineChars="50" w:firstLine="31680"/>
              <w:rPr>
                <w:color w:val="000000"/>
                <w:sz w:val="16"/>
                <w:szCs w:val="16"/>
              </w:rPr>
            </w:pPr>
            <w:r w:rsidRPr="00FF6AA6">
              <w:rPr>
                <w:color w:val="000000"/>
                <w:sz w:val="16"/>
                <w:szCs w:val="16"/>
              </w:rPr>
              <w:t>0.034</w:t>
            </w:r>
          </w:p>
          <w:p w:rsidR="001A5DF6" w:rsidRPr="00FF6AA6" w:rsidRDefault="001A5DF6" w:rsidP="00390A44">
            <w:pPr>
              <w:rPr>
                <w:color w:val="000000"/>
                <w:sz w:val="16"/>
                <w:szCs w:val="16"/>
              </w:rPr>
            </w:pPr>
          </w:p>
          <w:p w:rsidR="001A5DF6" w:rsidRPr="00FF6AA6" w:rsidRDefault="001A5DF6" w:rsidP="00390A44">
            <w:pPr>
              <w:rPr>
                <w:color w:val="000000"/>
                <w:sz w:val="16"/>
                <w:szCs w:val="16"/>
              </w:rPr>
            </w:pPr>
            <w:r w:rsidRPr="00FF6AA6">
              <w:rPr>
                <w:color w:val="000000"/>
                <w:sz w:val="16"/>
                <w:szCs w:val="16"/>
              </w:rPr>
              <w:t>-0.232***</w:t>
            </w:r>
          </w:p>
          <w:p w:rsidR="001A5DF6" w:rsidRPr="00FF6AA6" w:rsidRDefault="001A5DF6" w:rsidP="001A5DF6">
            <w:pPr>
              <w:ind w:firstLineChars="50" w:firstLine="31680"/>
              <w:rPr>
                <w:color w:val="000000"/>
                <w:sz w:val="16"/>
                <w:szCs w:val="16"/>
              </w:rPr>
            </w:pPr>
            <w:r w:rsidRPr="00FF6AA6">
              <w:rPr>
                <w:color w:val="000000"/>
                <w:sz w:val="16"/>
                <w:szCs w:val="16"/>
              </w:rPr>
              <w:t>0.242***</w:t>
            </w:r>
          </w:p>
          <w:p w:rsidR="001A5DF6" w:rsidRPr="00FF6AA6" w:rsidRDefault="001A5DF6" w:rsidP="001A5DF6">
            <w:pPr>
              <w:ind w:firstLineChars="50" w:firstLine="31680"/>
              <w:rPr>
                <w:color w:val="000000"/>
                <w:sz w:val="16"/>
                <w:szCs w:val="16"/>
              </w:rPr>
            </w:pPr>
            <w:r w:rsidRPr="00FF6AA6">
              <w:rPr>
                <w:color w:val="000000"/>
                <w:sz w:val="16"/>
                <w:szCs w:val="16"/>
              </w:rPr>
              <w:t>0.217***</w:t>
            </w:r>
          </w:p>
        </w:tc>
        <w:tc>
          <w:tcPr>
            <w:tcW w:w="900" w:type="dxa"/>
            <w:tcBorders>
              <w:top w:val="single" w:sz="4" w:space="0" w:color="auto"/>
              <w:bottom w:val="single" w:sz="4" w:space="0" w:color="auto"/>
            </w:tcBorders>
          </w:tcPr>
          <w:p w:rsidR="001A5DF6" w:rsidRPr="00FF6AA6" w:rsidRDefault="001A5DF6" w:rsidP="001A5DF6">
            <w:pPr>
              <w:ind w:leftChars="-45" w:left="31680" w:rightChars="-45" w:right="31680" w:firstLineChars="50" w:firstLine="31680"/>
              <w:rPr>
                <w:color w:val="000000"/>
                <w:sz w:val="16"/>
                <w:szCs w:val="16"/>
              </w:rPr>
            </w:pPr>
            <w:r w:rsidRPr="00FF6AA6">
              <w:rPr>
                <w:color w:val="000000"/>
                <w:sz w:val="16"/>
                <w:szCs w:val="16"/>
              </w:rPr>
              <w:t>- 0.044</w:t>
            </w:r>
          </w:p>
          <w:p w:rsidR="001A5DF6" w:rsidRPr="00FF6AA6" w:rsidRDefault="001A5DF6" w:rsidP="001A5DF6">
            <w:pPr>
              <w:ind w:leftChars="-12" w:left="31680" w:rightChars="-45" w:right="31680" w:hangingChars="16" w:firstLine="31680"/>
              <w:rPr>
                <w:color w:val="000000"/>
                <w:sz w:val="16"/>
                <w:szCs w:val="16"/>
              </w:rPr>
            </w:pPr>
            <w:r w:rsidRPr="00FF6AA6">
              <w:rPr>
                <w:color w:val="000000"/>
                <w:sz w:val="16"/>
                <w:szCs w:val="16"/>
              </w:rPr>
              <w:t>- 0.001</w:t>
            </w:r>
          </w:p>
          <w:p w:rsidR="001A5DF6" w:rsidRPr="00FF6AA6" w:rsidRDefault="001A5DF6" w:rsidP="001A5DF6">
            <w:pPr>
              <w:ind w:leftChars="-12" w:left="31680" w:rightChars="-45" w:right="31680" w:hangingChars="16" w:firstLine="31680"/>
              <w:rPr>
                <w:color w:val="000000"/>
                <w:sz w:val="16"/>
                <w:szCs w:val="16"/>
              </w:rPr>
            </w:pPr>
            <w:r w:rsidRPr="00FF6AA6">
              <w:rPr>
                <w:color w:val="000000"/>
                <w:sz w:val="16"/>
                <w:szCs w:val="16"/>
              </w:rPr>
              <w:t>- 0.042</w:t>
            </w:r>
          </w:p>
          <w:p w:rsidR="001A5DF6" w:rsidRPr="00FF6AA6" w:rsidRDefault="001A5DF6" w:rsidP="001A5DF6">
            <w:pPr>
              <w:ind w:leftChars="-1" w:left="31680" w:rightChars="-45" w:right="31680" w:firstLineChars="50" w:firstLine="31680"/>
              <w:rPr>
                <w:color w:val="000000"/>
                <w:sz w:val="16"/>
                <w:szCs w:val="16"/>
              </w:rPr>
            </w:pPr>
            <w:r w:rsidRPr="00FF6AA6">
              <w:rPr>
                <w:color w:val="000000"/>
                <w:sz w:val="16"/>
                <w:szCs w:val="16"/>
              </w:rPr>
              <w:t>0.098</w:t>
            </w:r>
          </w:p>
          <w:p w:rsidR="001A5DF6" w:rsidRPr="00FF6AA6" w:rsidRDefault="001A5DF6" w:rsidP="001A5DF6">
            <w:pPr>
              <w:ind w:leftChars="-12" w:left="31680" w:rightChars="-45" w:right="31680" w:hangingChars="16" w:firstLine="31680"/>
              <w:rPr>
                <w:color w:val="000000"/>
                <w:sz w:val="16"/>
                <w:szCs w:val="16"/>
              </w:rPr>
            </w:pPr>
            <w:r w:rsidRPr="00FF6AA6">
              <w:rPr>
                <w:color w:val="000000"/>
                <w:sz w:val="16"/>
                <w:szCs w:val="16"/>
              </w:rPr>
              <w:t>- 0.223***</w:t>
            </w:r>
          </w:p>
          <w:p w:rsidR="001A5DF6" w:rsidRPr="00FF6AA6" w:rsidRDefault="001A5DF6" w:rsidP="001A5DF6">
            <w:pPr>
              <w:ind w:leftChars="-45" w:left="31680" w:rightChars="-45" w:right="31680" w:hangingChars="67" w:firstLine="31680"/>
              <w:rPr>
                <w:color w:val="000000"/>
                <w:sz w:val="16"/>
                <w:szCs w:val="16"/>
              </w:rPr>
            </w:pPr>
          </w:p>
          <w:p w:rsidR="001A5DF6" w:rsidRPr="00FF6AA6" w:rsidRDefault="001A5DF6" w:rsidP="001A5DF6">
            <w:pPr>
              <w:ind w:leftChars="-12" w:left="31680" w:rightChars="-45" w:right="31680" w:hangingChars="16" w:firstLine="31680"/>
              <w:rPr>
                <w:color w:val="000000"/>
                <w:sz w:val="16"/>
                <w:szCs w:val="16"/>
              </w:rPr>
            </w:pPr>
            <w:r w:rsidRPr="00FF6AA6">
              <w:rPr>
                <w:color w:val="000000"/>
                <w:sz w:val="16"/>
                <w:szCs w:val="16"/>
              </w:rPr>
              <w:t>- 0.159**</w:t>
            </w:r>
          </w:p>
          <w:p w:rsidR="001A5DF6" w:rsidRPr="00FF6AA6" w:rsidRDefault="001A5DF6" w:rsidP="001A5DF6">
            <w:pPr>
              <w:ind w:leftChars="-12" w:left="31680" w:rightChars="-45" w:right="31680" w:hangingChars="16" w:firstLine="31680"/>
              <w:rPr>
                <w:color w:val="000000"/>
                <w:sz w:val="16"/>
                <w:szCs w:val="16"/>
              </w:rPr>
            </w:pPr>
            <w:r w:rsidRPr="00FF6AA6">
              <w:rPr>
                <w:color w:val="000000"/>
                <w:sz w:val="16"/>
                <w:szCs w:val="16"/>
              </w:rPr>
              <w:t>- 0.052</w:t>
            </w:r>
          </w:p>
        </w:tc>
        <w:tc>
          <w:tcPr>
            <w:tcW w:w="900" w:type="dxa"/>
            <w:tcBorders>
              <w:top w:val="single" w:sz="4" w:space="0" w:color="auto"/>
              <w:bottom w:val="single" w:sz="4" w:space="0" w:color="auto"/>
            </w:tcBorders>
          </w:tcPr>
          <w:p w:rsidR="001A5DF6" w:rsidRPr="00FF6AA6" w:rsidRDefault="001A5DF6" w:rsidP="001A5DF6">
            <w:pPr>
              <w:ind w:leftChars="-45" w:left="31680" w:firstLineChars="96" w:firstLine="31680"/>
              <w:rPr>
                <w:color w:val="000000"/>
                <w:sz w:val="16"/>
                <w:szCs w:val="16"/>
              </w:rPr>
            </w:pPr>
            <w:r w:rsidRPr="00FF6AA6">
              <w:rPr>
                <w:color w:val="000000"/>
                <w:sz w:val="16"/>
                <w:szCs w:val="16"/>
              </w:rPr>
              <w:t>0.009</w:t>
            </w:r>
          </w:p>
          <w:p w:rsidR="001A5DF6" w:rsidRPr="00FF6AA6" w:rsidRDefault="001A5DF6" w:rsidP="001A5DF6">
            <w:pPr>
              <w:ind w:leftChars="-45" w:left="31680" w:firstLineChars="96" w:firstLine="31680"/>
              <w:rPr>
                <w:color w:val="000000"/>
                <w:sz w:val="16"/>
                <w:szCs w:val="16"/>
              </w:rPr>
            </w:pPr>
            <w:r w:rsidRPr="00FF6AA6">
              <w:rPr>
                <w:color w:val="000000"/>
                <w:sz w:val="16"/>
                <w:szCs w:val="16"/>
              </w:rPr>
              <w:t>0.132*</w:t>
            </w:r>
          </w:p>
          <w:p w:rsidR="001A5DF6" w:rsidRPr="00FF6AA6" w:rsidRDefault="001A5DF6" w:rsidP="001A5DF6">
            <w:pPr>
              <w:ind w:leftChars="-45" w:left="31680" w:rightChars="-45" w:right="31680" w:firstLineChars="96" w:firstLine="31680"/>
              <w:rPr>
                <w:color w:val="000000"/>
                <w:sz w:val="16"/>
                <w:szCs w:val="16"/>
              </w:rPr>
            </w:pPr>
            <w:r w:rsidRPr="00FF6AA6">
              <w:rPr>
                <w:color w:val="000000"/>
                <w:sz w:val="16"/>
                <w:szCs w:val="16"/>
              </w:rPr>
              <w:t>0.097</w:t>
            </w:r>
          </w:p>
          <w:p w:rsidR="001A5DF6" w:rsidRPr="00FF6AA6" w:rsidRDefault="001A5DF6" w:rsidP="00055E94">
            <w:pPr>
              <w:rPr>
                <w:color w:val="000000"/>
                <w:sz w:val="16"/>
                <w:szCs w:val="16"/>
              </w:rPr>
            </w:pPr>
            <w:r w:rsidRPr="00FF6AA6">
              <w:rPr>
                <w:color w:val="000000"/>
                <w:sz w:val="16"/>
                <w:szCs w:val="16"/>
              </w:rPr>
              <w:t>- 0.028</w:t>
            </w:r>
          </w:p>
          <w:p w:rsidR="001A5DF6" w:rsidRPr="00FF6AA6" w:rsidRDefault="001A5DF6" w:rsidP="001A5DF6">
            <w:pPr>
              <w:ind w:leftChars="19" w:left="31680" w:rightChars="-45" w:right="31680"/>
              <w:rPr>
                <w:color w:val="000000"/>
                <w:sz w:val="16"/>
                <w:szCs w:val="16"/>
              </w:rPr>
            </w:pPr>
            <w:r w:rsidRPr="00FF6AA6">
              <w:rPr>
                <w:color w:val="000000"/>
                <w:sz w:val="16"/>
                <w:szCs w:val="16"/>
              </w:rPr>
              <w:t>0.290***</w:t>
            </w:r>
          </w:p>
          <w:p w:rsidR="001A5DF6" w:rsidRPr="00FF6AA6" w:rsidRDefault="001A5DF6" w:rsidP="00055E94">
            <w:pPr>
              <w:rPr>
                <w:color w:val="000000"/>
                <w:sz w:val="16"/>
                <w:szCs w:val="16"/>
              </w:rPr>
            </w:pPr>
            <w:r w:rsidRPr="00FF6AA6">
              <w:rPr>
                <w:color w:val="000000"/>
                <w:sz w:val="16"/>
                <w:szCs w:val="16"/>
              </w:rPr>
              <w:t>- 0.146**</w:t>
            </w:r>
          </w:p>
          <w:p w:rsidR="001A5DF6" w:rsidRPr="00FF6AA6" w:rsidRDefault="001A5DF6" w:rsidP="001A5DF6">
            <w:pPr>
              <w:ind w:leftChars="-45" w:left="31680" w:firstLineChars="96" w:firstLine="31680"/>
              <w:rPr>
                <w:color w:val="000000"/>
                <w:sz w:val="16"/>
                <w:szCs w:val="16"/>
              </w:rPr>
            </w:pPr>
          </w:p>
          <w:p w:rsidR="001A5DF6" w:rsidRPr="00FF6AA6" w:rsidRDefault="001A5DF6" w:rsidP="001A5DF6">
            <w:pPr>
              <w:ind w:leftChars="-45" w:left="31680" w:firstLineChars="96" w:firstLine="31680"/>
              <w:rPr>
                <w:color w:val="000000"/>
                <w:sz w:val="16"/>
                <w:szCs w:val="16"/>
              </w:rPr>
            </w:pPr>
            <w:r w:rsidRPr="00FF6AA6">
              <w:rPr>
                <w:color w:val="000000"/>
                <w:sz w:val="16"/>
                <w:szCs w:val="16"/>
              </w:rPr>
              <w:t>0.676***</w:t>
            </w:r>
          </w:p>
        </w:tc>
        <w:tc>
          <w:tcPr>
            <w:tcW w:w="900" w:type="dxa"/>
            <w:tcBorders>
              <w:top w:val="single" w:sz="4" w:space="0" w:color="auto"/>
              <w:bottom w:val="single" w:sz="4" w:space="0" w:color="auto"/>
            </w:tcBorders>
          </w:tcPr>
          <w:p w:rsidR="001A5DF6" w:rsidRPr="00FF6AA6" w:rsidRDefault="001A5DF6" w:rsidP="00390A44">
            <w:pPr>
              <w:rPr>
                <w:color w:val="000000"/>
                <w:sz w:val="16"/>
                <w:szCs w:val="16"/>
              </w:rPr>
            </w:pPr>
            <w:r w:rsidRPr="00FF6AA6">
              <w:rPr>
                <w:color w:val="000000"/>
                <w:sz w:val="16"/>
                <w:szCs w:val="16"/>
              </w:rPr>
              <w:t>- 0.061</w:t>
            </w:r>
          </w:p>
          <w:p w:rsidR="001A5DF6" w:rsidRPr="00FF6AA6" w:rsidRDefault="001A5DF6" w:rsidP="00390A44">
            <w:pPr>
              <w:rPr>
                <w:color w:val="000000"/>
                <w:sz w:val="16"/>
                <w:szCs w:val="16"/>
              </w:rPr>
            </w:pPr>
            <w:r w:rsidRPr="00FF6AA6">
              <w:rPr>
                <w:color w:val="000000"/>
                <w:sz w:val="16"/>
                <w:szCs w:val="16"/>
              </w:rPr>
              <w:t>- 0.036</w:t>
            </w:r>
          </w:p>
          <w:p w:rsidR="001A5DF6" w:rsidRPr="00FF6AA6" w:rsidRDefault="001A5DF6" w:rsidP="001A5DF6">
            <w:pPr>
              <w:ind w:firstLineChars="50" w:firstLine="31680"/>
              <w:rPr>
                <w:color w:val="000000"/>
                <w:sz w:val="16"/>
                <w:szCs w:val="16"/>
              </w:rPr>
            </w:pPr>
            <w:r w:rsidRPr="00FF6AA6">
              <w:rPr>
                <w:color w:val="000000"/>
                <w:sz w:val="16"/>
                <w:szCs w:val="16"/>
              </w:rPr>
              <w:t>0.175**</w:t>
            </w:r>
          </w:p>
          <w:p w:rsidR="001A5DF6" w:rsidRPr="00FF6AA6" w:rsidRDefault="001A5DF6" w:rsidP="00390A44">
            <w:pPr>
              <w:rPr>
                <w:color w:val="000000"/>
                <w:sz w:val="16"/>
                <w:szCs w:val="16"/>
              </w:rPr>
            </w:pPr>
            <w:r w:rsidRPr="00FF6AA6">
              <w:rPr>
                <w:color w:val="000000"/>
                <w:sz w:val="16"/>
                <w:szCs w:val="16"/>
              </w:rPr>
              <w:t>- 0.055</w:t>
            </w:r>
          </w:p>
          <w:p w:rsidR="001A5DF6" w:rsidRPr="00FF6AA6" w:rsidRDefault="001A5DF6" w:rsidP="001A5DF6">
            <w:pPr>
              <w:ind w:firstLineChars="50" w:firstLine="31680"/>
              <w:rPr>
                <w:color w:val="000000"/>
                <w:sz w:val="16"/>
                <w:szCs w:val="16"/>
              </w:rPr>
            </w:pPr>
            <w:r w:rsidRPr="00FF6AA6">
              <w:rPr>
                <w:color w:val="000000"/>
                <w:sz w:val="16"/>
                <w:szCs w:val="16"/>
              </w:rPr>
              <w:t>0.263***</w:t>
            </w:r>
          </w:p>
          <w:p w:rsidR="001A5DF6" w:rsidRPr="00FF6AA6" w:rsidRDefault="001A5DF6" w:rsidP="00390A44">
            <w:pPr>
              <w:rPr>
                <w:color w:val="000000"/>
                <w:sz w:val="16"/>
                <w:szCs w:val="16"/>
              </w:rPr>
            </w:pPr>
            <w:r w:rsidRPr="00FF6AA6">
              <w:rPr>
                <w:color w:val="000000"/>
                <w:sz w:val="16"/>
                <w:szCs w:val="16"/>
              </w:rPr>
              <w:t>- 0.049</w:t>
            </w:r>
          </w:p>
          <w:p w:rsidR="001A5DF6" w:rsidRPr="00FF6AA6" w:rsidRDefault="001A5DF6" w:rsidP="001A5DF6">
            <w:pPr>
              <w:ind w:firstLineChars="50" w:firstLine="31680"/>
              <w:rPr>
                <w:color w:val="000000"/>
                <w:sz w:val="16"/>
                <w:szCs w:val="16"/>
              </w:rPr>
            </w:pPr>
            <w:r w:rsidRPr="00FF6AA6">
              <w:rPr>
                <w:color w:val="000000"/>
                <w:sz w:val="16"/>
                <w:szCs w:val="16"/>
              </w:rPr>
              <w:t>0.688***</w:t>
            </w:r>
          </w:p>
        </w:tc>
      </w:tr>
    </w:tbl>
    <w:p w:rsidR="001A5DF6" w:rsidRPr="00FF6AA6" w:rsidRDefault="001A5DF6" w:rsidP="0060246D">
      <w:pPr>
        <w:autoSpaceDE w:val="0"/>
        <w:autoSpaceDN w:val="0"/>
        <w:adjustRightInd w:val="0"/>
        <w:spacing w:line="360" w:lineRule="auto"/>
        <w:outlineLvl w:val="0"/>
        <w:rPr>
          <w:b/>
          <w:color w:val="000000"/>
          <w:kern w:val="0"/>
          <w:sz w:val="20"/>
          <w:szCs w:val="20"/>
        </w:rPr>
      </w:pPr>
      <w:r w:rsidRPr="00FF6AA6">
        <w:rPr>
          <w:color w:val="000000"/>
          <w:kern w:val="0"/>
          <w:sz w:val="16"/>
          <w:szCs w:val="16"/>
        </w:rPr>
        <w:br w:type="page"/>
      </w:r>
      <w:r w:rsidRPr="00FF6AA6">
        <w:rPr>
          <w:b/>
          <w:color w:val="000000"/>
          <w:kern w:val="0"/>
          <w:sz w:val="20"/>
          <w:szCs w:val="20"/>
        </w:rPr>
        <w:t xml:space="preserve">Table 4  CARs by subgroup over the listing period (t-1 to t+1) </w:t>
      </w:r>
    </w:p>
    <w:p w:rsidR="001A5DF6" w:rsidRPr="00FF6AA6" w:rsidRDefault="001A5DF6" w:rsidP="0060246D">
      <w:pPr>
        <w:autoSpaceDE w:val="0"/>
        <w:autoSpaceDN w:val="0"/>
        <w:adjustRightInd w:val="0"/>
        <w:jc w:val="both"/>
        <w:outlineLvl w:val="0"/>
        <w:rPr>
          <w:color w:val="000000"/>
          <w:kern w:val="0"/>
          <w:sz w:val="20"/>
          <w:szCs w:val="20"/>
        </w:rPr>
      </w:pPr>
      <w:r w:rsidRPr="00FF6AA6">
        <w:rPr>
          <w:color w:val="000000"/>
          <w:kern w:val="0"/>
          <w:sz w:val="20"/>
          <w:szCs w:val="20"/>
        </w:rPr>
        <w:t xml:space="preserve">This table reports three-day CAR (t-1 to t+1) for the sample of 191 exchange listings from 1992 through 2002. Panel A reports the results for the full sample and three subgroups with t-tests and Wilcoxon sign rank tests on whether CAR is equal to zero. The three subgroups are formed according to insider sales reported before listing. Panel B provides </w:t>
      </w:r>
      <w:r w:rsidRPr="00FF6AA6">
        <w:rPr>
          <w:i/>
          <w:color w:val="000000"/>
          <w:kern w:val="0"/>
          <w:sz w:val="20"/>
          <w:szCs w:val="20"/>
        </w:rPr>
        <w:t>F</w:t>
      </w:r>
      <w:r w:rsidRPr="00FF6AA6">
        <w:rPr>
          <w:color w:val="000000"/>
          <w:kern w:val="0"/>
          <w:sz w:val="20"/>
          <w:szCs w:val="20"/>
        </w:rPr>
        <w:t xml:space="preserve">-test and </w:t>
      </w:r>
      <w:r w:rsidRPr="00FF6AA6">
        <w:rPr>
          <w:color w:val="000000"/>
          <w:sz w:val="20"/>
          <w:szCs w:val="20"/>
        </w:rPr>
        <w:t>non-parametric</w:t>
      </w:r>
      <w:r w:rsidRPr="00FF6AA6">
        <w:rPr>
          <w:color w:val="000000"/>
          <w:kern w:val="0"/>
          <w:sz w:val="20"/>
          <w:szCs w:val="20"/>
        </w:rPr>
        <w:t xml:space="preserve"> Kruskal-Wallis test for equality of listing period CARs across subgroups. The statistic reported for Kruskal-Wallis test is </w:t>
      </w:r>
      <w:r w:rsidRPr="00FF6AA6">
        <w:rPr>
          <w:i/>
          <w:color w:val="000000"/>
          <w:kern w:val="0"/>
          <w:sz w:val="20"/>
          <w:szCs w:val="20"/>
        </w:rPr>
        <w:t>p</w:t>
      </w:r>
      <w:r w:rsidRPr="00FF6AA6">
        <w:rPr>
          <w:color w:val="000000"/>
          <w:kern w:val="0"/>
          <w:sz w:val="20"/>
          <w:szCs w:val="20"/>
        </w:rPr>
        <w:t>-value. *, ** and *** indicate statistical significant at the 0.1, 0.05 and 0.01 levels, respectively.</w:t>
      </w:r>
    </w:p>
    <w:tbl>
      <w:tblPr>
        <w:tblW w:w="8748" w:type="dxa"/>
        <w:tblBorders>
          <w:top w:val="single" w:sz="4" w:space="0" w:color="auto"/>
          <w:bottom w:val="single" w:sz="4" w:space="0" w:color="auto"/>
        </w:tblBorders>
        <w:tblLook w:val="01E0"/>
      </w:tblPr>
      <w:tblGrid>
        <w:gridCol w:w="839"/>
        <w:gridCol w:w="1497"/>
        <w:gridCol w:w="278"/>
        <w:gridCol w:w="1781"/>
        <w:gridCol w:w="478"/>
        <w:gridCol w:w="592"/>
        <w:gridCol w:w="865"/>
        <w:gridCol w:w="1170"/>
        <w:gridCol w:w="1248"/>
      </w:tblGrid>
      <w:tr w:rsidR="001A5DF6" w:rsidRPr="00FF6AA6">
        <w:trPr>
          <w:trHeight w:val="286"/>
        </w:trPr>
        <w:tc>
          <w:tcPr>
            <w:tcW w:w="8748" w:type="dxa"/>
            <w:gridSpan w:val="9"/>
            <w:tcBorders>
              <w:top w:val="single" w:sz="4" w:space="0" w:color="auto"/>
              <w:left w:val="nil"/>
              <w:bottom w:val="single" w:sz="4" w:space="0" w:color="auto"/>
            </w:tcBorders>
            <w:vAlign w:val="bottom"/>
          </w:tcPr>
          <w:p w:rsidR="001A5DF6" w:rsidRPr="00FF6AA6" w:rsidRDefault="001A5DF6" w:rsidP="003D62C1">
            <w:pPr>
              <w:autoSpaceDE w:val="0"/>
              <w:autoSpaceDN w:val="0"/>
              <w:adjustRightInd w:val="0"/>
              <w:jc w:val="both"/>
              <w:rPr>
                <w:color w:val="000000"/>
                <w:kern w:val="0"/>
                <w:sz w:val="16"/>
                <w:szCs w:val="16"/>
              </w:rPr>
            </w:pPr>
            <w:r w:rsidRPr="00FF6AA6">
              <w:rPr>
                <w:color w:val="000000"/>
                <w:kern w:val="0"/>
                <w:sz w:val="16"/>
                <w:szCs w:val="16"/>
              </w:rPr>
              <w:t xml:space="preserve"> Panel A  Listing period CAR by subgroup</w:t>
            </w:r>
          </w:p>
        </w:tc>
      </w:tr>
      <w:tr w:rsidR="001A5DF6" w:rsidRPr="00FF6AA6">
        <w:trPr>
          <w:trHeight w:val="238"/>
        </w:trPr>
        <w:tc>
          <w:tcPr>
            <w:tcW w:w="839" w:type="dxa"/>
            <w:tcBorders>
              <w:top w:val="single" w:sz="4" w:space="0" w:color="auto"/>
              <w:left w:val="nil"/>
              <w:bottom w:val="single" w:sz="4" w:space="0" w:color="auto"/>
            </w:tcBorders>
          </w:tcPr>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Subgroup</w:t>
            </w:r>
          </w:p>
        </w:tc>
        <w:tc>
          <w:tcPr>
            <w:tcW w:w="1789" w:type="dxa"/>
            <w:gridSpan w:val="2"/>
            <w:tcBorders>
              <w:top w:val="single" w:sz="4" w:space="0" w:color="auto"/>
              <w:bottom w:val="single" w:sz="4" w:space="0" w:color="auto"/>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Number of observations</w:t>
            </w:r>
          </w:p>
        </w:tc>
        <w:tc>
          <w:tcPr>
            <w:tcW w:w="1800" w:type="dxa"/>
            <w:tcBorders>
              <w:top w:val="single" w:sz="4" w:space="0" w:color="auto"/>
              <w:left w:val="nil"/>
              <w:bottom w:val="single" w:sz="4" w:space="0" w:color="auto"/>
            </w:tcBorders>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Insider sales before listing</w:t>
            </w:r>
          </w:p>
        </w:tc>
        <w:tc>
          <w:tcPr>
            <w:tcW w:w="1080" w:type="dxa"/>
            <w:gridSpan w:val="2"/>
            <w:tcBorders>
              <w:top w:val="single" w:sz="4" w:space="0" w:color="auto"/>
              <w:bottom w:val="single" w:sz="4" w:space="0" w:color="auto"/>
              <w:right w:val="nil"/>
            </w:tcBorders>
            <w:vAlign w:val="center"/>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Mean CAR (%)</w:t>
            </w:r>
          </w:p>
        </w:tc>
        <w:tc>
          <w:tcPr>
            <w:tcW w:w="803" w:type="dxa"/>
            <w:tcBorders>
              <w:top w:val="single" w:sz="4" w:space="0" w:color="auto"/>
              <w:left w:val="nil"/>
              <w:bottom w:val="single" w:sz="4" w:space="0" w:color="auto"/>
              <w:right w:val="nil"/>
            </w:tcBorders>
            <w:vAlign w:val="center"/>
          </w:tcPr>
          <w:p w:rsidR="001A5DF6" w:rsidRPr="00FF6AA6" w:rsidRDefault="001A5DF6" w:rsidP="003D62C1">
            <w:pPr>
              <w:autoSpaceDE w:val="0"/>
              <w:autoSpaceDN w:val="0"/>
              <w:adjustRightInd w:val="0"/>
              <w:jc w:val="center"/>
              <w:rPr>
                <w:color w:val="000000"/>
                <w:kern w:val="0"/>
                <w:sz w:val="16"/>
                <w:szCs w:val="16"/>
              </w:rPr>
            </w:pPr>
            <w:r w:rsidRPr="00FF6AA6">
              <w:rPr>
                <w:i/>
                <w:color w:val="000000"/>
                <w:kern w:val="0"/>
                <w:sz w:val="16"/>
                <w:szCs w:val="16"/>
              </w:rPr>
              <w:t>t</w:t>
            </w:r>
            <w:r w:rsidRPr="00FF6AA6">
              <w:rPr>
                <w:color w:val="000000"/>
                <w:kern w:val="0"/>
                <w:sz w:val="16"/>
                <w:szCs w:val="16"/>
              </w:rPr>
              <w:t xml:space="preserve">-statistics </w:t>
            </w:r>
          </w:p>
        </w:tc>
        <w:tc>
          <w:tcPr>
            <w:tcW w:w="1177" w:type="dxa"/>
            <w:tcBorders>
              <w:top w:val="single" w:sz="4" w:space="0" w:color="auto"/>
              <w:left w:val="nil"/>
              <w:bottom w:val="single" w:sz="4" w:space="0" w:color="auto"/>
              <w:right w:val="nil"/>
            </w:tcBorders>
            <w:vAlign w:val="center"/>
          </w:tcPr>
          <w:p w:rsidR="001A5DF6" w:rsidRPr="00FF6AA6" w:rsidRDefault="001A5DF6" w:rsidP="001A5DF6">
            <w:pPr>
              <w:autoSpaceDE w:val="0"/>
              <w:autoSpaceDN w:val="0"/>
              <w:adjustRightInd w:val="0"/>
              <w:ind w:leftChars="-80" w:left="31680" w:rightChars="-45" w:right="31680"/>
              <w:jc w:val="center"/>
              <w:rPr>
                <w:color w:val="000000"/>
                <w:kern w:val="0"/>
                <w:sz w:val="16"/>
                <w:szCs w:val="16"/>
              </w:rPr>
            </w:pPr>
            <w:r w:rsidRPr="00FF6AA6">
              <w:rPr>
                <w:color w:val="000000"/>
                <w:kern w:val="0"/>
                <w:sz w:val="16"/>
                <w:szCs w:val="16"/>
              </w:rPr>
              <w:t xml:space="preserve"> Median CAR (%)</w:t>
            </w:r>
          </w:p>
        </w:tc>
        <w:tc>
          <w:tcPr>
            <w:tcW w:w="1260" w:type="dxa"/>
            <w:tcBorders>
              <w:top w:val="single" w:sz="4" w:space="0" w:color="auto"/>
              <w:left w:val="nil"/>
              <w:bottom w:val="single" w:sz="4" w:space="0" w:color="auto"/>
            </w:tcBorders>
            <w:vAlign w:val="center"/>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rFonts w:ascii="NewCenturySchlbk-Roman" w:hAnsi="NewCenturySchlbk-Roman" w:cs="NewCenturySchlbk-Roman"/>
                <w:color w:val="000000"/>
                <w:kern w:val="0"/>
                <w:sz w:val="16"/>
                <w:szCs w:val="16"/>
              </w:rPr>
              <w:t xml:space="preserve">Wilcoxon </w:t>
            </w:r>
            <w:r w:rsidRPr="00FF6AA6">
              <w:rPr>
                <w:rFonts w:ascii="NewCenturySchlbk-Roman" w:hAnsi="NewCenturySchlbk-Roman" w:cs="NewCenturySchlbk-Roman"/>
                <w:i/>
                <w:color w:val="000000"/>
                <w:kern w:val="0"/>
                <w:sz w:val="16"/>
                <w:szCs w:val="16"/>
              </w:rPr>
              <w:t>p</w:t>
            </w:r>
            <w:r w:rsidRPr="00FF6AA6">
              <w:rPr>
                <w:i/>
                <w:color w:val="000000"/>
                <w:kern w:val="0"/>
                <w:sz w:val="16"/>
                <w:szCs w:val="16"/>
              </w:rPr>
              <w:t>-</w:t>
            </w:r>
            <w:r w:rsidRPr="00FF6AA6">
              <w:rPr>
                <w:color w:val="000000"/>
                <w:kern w:val="0"/>
                <w:sz w:val="16"/>
                <w:szCs w:val="16"/>
              </w:rPr>
              <w:t>values</w:t>
            </w:r>
          </w:p>
        </w:tc>
      </w:tr>
      <w:tr w:rsidR="001A5DF6" w:rsidRPr="00FF6AA6">
        <w:tc>
          <w:tcPr>
            <w:tcW w:w="839"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Total</w:t>
            </w:r>
          </w:p>
        </w:tc>
        <w:tc>
          <w:tcPr>
            <w:tcW w:w="1789" w:type="dxa"/>
            <w:gridSpan w:val="2"/>
            <w:tcBorders>
              <w:top w:val="single" w:sz="4" w:space="0" w:color="auto"/>
              <w:bottom w:val="single" w:sz="4" w:space="0" w:color="auto"/>
              <w:right w:val="nil"/>
            </w:tcBorders>
          </w:tcPr>
          <w:p w:rsidR="001A5DF6" w:rsidRPr="00FF6AA6" w:rsidRDefault="001A5DF6" w:rsidP="001A5DF6">
            <w:pPr>
              <w:autoSpaceDE w:val="0"/>
              <w:autoSpaceDN w:val="0"/>
              <w:adjustRightInd w:val="0"/>
              <w:ind w:leftChars="-49" w:left="31680" w:rightChars="-45" w:right="31680"/>
              <w:jc w:val="center"/>
              <w:rPr>
                <w:color w:val="000000"/>
                <w:kern w:val="0"/>
                <w:sz w:val="16"/>
                <w:szCs w:val="16"/>
              </w:rPr>
            </w:pPr>
            <w:r w:rsidRPr="00FF6AA6">
              <w:rPr>
                <w:color w:val="000000"/>
                <w:kern w:val="0"/>
                <w:sz w:val="16"/>
                <w:szCs w:val="16"/>
              </w:rPr>
              <w:t>72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62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57</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191</w:t>
            </w:r>
          </w:p>
        </w:tc>
        <w:tc>
          <w:tcPr>
            <w:tcW w:w="1800" w:type="dxa"/>
            <w:tcBorders>
              <w:top w:val="single" w:sz="4" w:space="0" w:color="auto"/>
              <w:left w:val="nil"/>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0&lt; No. &lt;=2 (Median)</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2&lt; No. &lt;=26 (Max.)</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0-26</w:t>
            </w:r>
          </w:p>
        </w:tc>
        <w:tc>
          <w:tcPr>
            <w:tcW w:w="1080" w:type="dxa"/>
            <w:gridSpan w:val="2"/>
            <w:tcBorders>
              <w:top w:val="single" w:sz="4" w:space="0" w:color="auto"/>
              <w:bottom w:val="single" w:sz="4" w:space="0" w:color="auto"/>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0.60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0.10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-1.03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-0.07</w:t>
            </w:r>
          </w:p>
        </w:tc>
        <w:tc>
          <w:tcPr>
            <w:tcW w:w="803" w:type="dxa"/>
            <w:tcBorders>
              <w:top w:val="single" w:sz="4" w:space="0" w:color="auto"/>
              <w:left w:val="nil"/>
              <w:bottom w:val="single" w:sz="4" w:space="0" w:color="auto"/>
              <w:right w:val="nil"/>
            </w:tcBorders>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 xml:space="preserve"> 1.02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xml:space="preserve"> 0.15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-1.69</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-0.21</w:t>
            </w:r>
          </w:p>
        </w:tc>
        <w:tc>
          <w:tcPr>
            <w:tcW w:w="1177" w:type="dxa"/>
            <w:tcBorders>
              <w:top w:val="single" w:sz="4" w:space="0" w:color="auto"/>
              <w:left w:val="nil"/>
              <w:bottom w:val="single" w:sz="4" w:space="0" w:color="auto"/>
              <w:right w:val="nil"/>
            </w:tcBorders>
          </w:tcPr>
          <w:p w:rsidR="001A5DF6" w:rsidRPr="00FF6AA6" w:rsidRDefault="001A5DF6" w:rsidP="003D62C1">
            <w:pPr>
              <w:widowControl/>
              <w:jc w:val="center"/>
              <w:rPr>
                <w:color w:val="000000"/>
                <w:kern w:val="0"/>
                <w:sz w:val="16"/>
                <w:szCs w:val="16"/>
              </w:rPr>
            </w:pPr>
            <w:r w:rsidRPr="00FF6AA6">
              <w:rPr>
                <w:color w:val="000000"/>
                <w:kern w:val="0"/>
                <w:sz w:val="16"/>
                <w:szCs w:val="16"/>
              </w:rPr>
              <w:t>0.13</w:t>
            </w:r>
          </w:p>
          <w:p w:rsidR="001A5DF6" w:rsidRPr="00FF6AA6" w:rsidRDefault="001A5DF6" w:rsidP="001A5DF6">
            <w:pPr>
              <w:widowControl/>
              <w:ind w:leftChars="-79" w:left="31680" w:rightChars="-45" w:right="31680"/>
              <w:jc w:val="center"/>
              <w:rPr>
                <w:color w:val="000000"/>
                <w:kern w:val="0"/>
                <w:sz w:val="16"/>
                <w:szCs w:val="16"/>
              </w:rPr>
            </w:pPr>
            <w:r w:rsidRPr="00FF6AA6">
              <w:rPr>
                <w:color w:val="000000"/>
                <w:kern w:val="0"/>
                <w:sz w:val="16"/>
                <w:szCs w:val="16"/>
              </w:rPr>
              <w:t xml:space="preserve"> 0.00</w:t>
            </w:r>
          </w:p>
          <w:p w:rsidR="001A5DF6" w:rsidRPr="00FF6AA6" w:rsidRDefault="001A5DF6" w:rsidP="001A5DF6">
            <w:pPr>
              <w:widowControl/>
              <w:ind w:firstLineChars="150" w:firstLine="31680"/>
              <w:rPr>
                <w:color w:val="000000"/>
                <w:kern w:val="0"/>
                <w:sz w:val="16"/>
                <w:szCs w:val="16"/>
              </w:rPr>
            </w:pPr>
            <w:r w:rsidRPr="00FF6AA6">
              <w:rPr>
                <w:color w:val="000000"/>
                <w:kern w:val="0"/>
                <w:sz w:val="16"/>
                <w:szCs w:val="16"/>
              </w:rPr>
              <w:t>-1.70</w:t>
            </w:r>
          </w:p>
          <w:p w:rsidR="001A5DF6" w:rsidRPr="00FF6AA6" w:rsidRDefault="001A5DF6" w:rsidP="001A5DF6">
            <w:pPr>
              <w:autoSpaceDE w:val="0"/>
              <w:autoSpaceDN w:val="0"/>
              <w:adjustRightInd w:val="0"/>
              <w:ind w:firstLineChars="150" w:firstLine="31680"/>
              <w:rPr>
                <w:color w:val="000000"/>
                <w:kern w:val="0"/>
                <w:sz w:val="16"/>
                <w:szCs w:val="16"/>
              </w:rPr>
            </w:pPr>
            <w:r w:rsidRPr="00FF6AA6">
              <w:rPr>
                <w:color w:val="000000"/>
                <w:kern w:val="0"/>
                <w:sz w:val="16"/>
                <w:szCs w:val="16"/>
              </w:rPr>
              <w:t>-0.08</w:t>
            </w:r>
          </w:p>
        </w:tc>
        <w:tc>
          <w:tcPr>
            <w:tcW w:w="1260" w:type="dxa"/>
            <w:tcBorders>
              <w:top w:val="nil"/>
              <w:left w:val="nil"/>
              <w:bottom w:val="single" w:sz="4" w:space="0" w:color="auto"/>
            </w:tcBorders>
          </w:tcPr>
          <w:p w:rsidR="001A5DF6" w:rsidRPr="00FF6AA6" w:rsidRDefault="001A5DF6" w:rsidP="003D62C1">
            <w:pPr>
              <w:widowControl/>
              <w:jc w:val="center"/>
              <w:rPr>
                <w:color w:val="000000"/>
                <w:kern w:val="0"/>
                <w:sz w:val="16"/>
                <w:szCs w:val="16"/>
              </w:rPr>
            </w:pPr>
            <w:r w:rsidRPr="00FF6AA6">
              <w:rPr>
                <w:color w:val="000000"/>
                <w:kern w:val="0"/>
                <w:sz w:val="16"/>
                <w:szCs w:val="16"/>
              </w:rPr>
              <w:t>0.55</w:t>
            </w:r>
          </w:p>
          <w:p w:rsidR="001A5DF6" w:rsidRPr="00FF6AA6" w:rsidRDefault="001A5DF6" w:rsidP="003D62C1">
            <w:pPr>
              <w:widowControl/>
              <w:jc w:val="center"/>
              <w:rPr>
                <w:color w:val="000000"/>
                <w:kern w:val="0"/>
                <w:sz w:val="16"/>
                <w:szCs w:val="16"/>
              </w:rPr>
            </w:pPr>
            <w:r w:rsidRPr="00FF6AA6">
              <w:rPr>
                <w:color w:val="000000"/>
                <w:kern w:val="0"/>
                <w:sz w:val="16"/>
                <w:szCs w:val="16"/>
              </w:rPr>
              <w:t>0.94</w:t>
            </w:r>
          </w:p>
          <w:p w:rsidR="001A5DF6" w:rsidRPr="00FF6AA6" w:rsidRDefault="001A5DF6" w:rsidP="003D62C1">
            <w:pPr>
              <w:widowControl/>
              <w:jc w:val="center"/>
              <w:rPr>
                <w:color w:val="000000"/>
                <w:kern w:val="0"/>
                <w:sz w:val="16"/>
                <w:szCs w:val="16"/>
              </w:rPr>
            </w:pPr>
            <w:r w:rsidRPr="00FF6AA6">
              <w:rPr>
                <w:color w:val="000000"/>
                <w:kern w:val="0"/>
                <w:sz w:val="16"/>
                <w:szCs w:val="16"/>
              </w:rPr>
              <w:t xml:space="preserve"> 0.09*</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0.43</w:t>
            </w:r>
          </w:p>
        </w:tc>
      </w:tr>
      <w:tr w:rsidR="001A5DF6" w:rsidRPr="00FF6AA6">
        <w:tblPrEx>
          <w:tblBorders>
            <w:left w:val="single" w:sz="4" w:space="0" w:color="auto"/>
            <w:right w:val="single" w:sz="4" w:space="0" w:color="auto"/>
            <w:insideH w:val="single" w:sz="4" w:space="0" w:color="auto"/>
            <w:insideV w:val="single" w:sz="4" w:space="0" w:color="auto"/>
          </w:tblBorders>
        </w:tblPrEx>
        <w:tc>
          <w:tcPr>
            <w:tcW w:w="8748" w:type="dxa"/>
            <w:gridSpan w:val="9"/>
            <w:tcBorders>
              <w:left w:val="nil"/>
              <w:right w:val="nil"/>
            </w:tcBorders>
          </w:tcPr>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 xml:space="preserve">Panel B  Test for equality of listing period CARs across subgroups </w:t>
            </w:r>
          </w:p>
        </w:tc>
      </w:tr>
      <w:tr w:rsidR="001A5DF6" w:rsidRPr="00FF6AA6">
        <w:trPr>
          <w:trHeight w:val="238"/>
        </w:trPr>
        <w:tc>
          <w:tcPr>
            <w:tcW w:w="2348" w:type="dxa"/>
            <w:gridSpan w:val="2"/>
            <w:tcBorders>
              <w:top w:val="single" w:sz="4" w:space="0" w:color="auto"/>
              <w:left w:val="nil"/>
              <w:bottom w:val="single" w:sz="4" w:space="0" w:color="auto"/>
            </w:tcBorders>
          </w:tcPr>
          <w:p w:rsidR="001A5DF6" w:rsidRPr="00FF6AA6" w:rsidRDefault="001A5DF6" w:rsidP="001A5DF6">
            <w:pPr>
              <w:autoSpaceDE w:val="0"/>
              <w:autoSpaceDN w:val="0"/>
              <w:adjustRightInd w:val="0"/>
              <w:ind w:firstLineChars="150" w:firstLine="31680"/>
              <w:rPr>
                <w:color w:val="000000"/>
                <w:kern w:val="0"/>
                <w:sz w:val="16"/>
                <w:szCs w:val="16"/>
              </w:rPr>
            </w:pPr>
            <w:r w:rsidRPr="00FF6AA6">
              <w:rPr>
                <w:color w:val="000000"/>
                <w:kern w:val="0"/>
                <w:sz w:val="16"/>
                <w:szCs w:val="16"/>
              </w:rPr>
              <w:t>Test</w:t>
            </w:r>
          </w:p>
        </w:tc>
        <w:tc>
          <w:tcPr>
            <w:tcW w:w="2562" w:type="dxa"/>
            <w:gridSpan w:val="3"/>
            <w:tcBorders>
              <w:top w:val="single" w:sz="4" w:space="0" w:color="auto"/>
              <w:left w:val="nil"/>
              <w:bottom w:val="single" w:sz="4" w:space="0" w:color="auto"/>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Subgroups compared</w:t>
            </w:r>
          </w:p>
        </w:tc>
        <w:tc>
          <w:tcPr>
            <w:tcW w:w="3838" w:type="dxa"/>
            <w:gridSpan w:val="4"/>
            <w:tcBorders>
              <w:top w:val="single" w:sz="4" w:space="0" w:color="auto"/>
              <w:left w:val="nil"/>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Statistics</w:t>
            </w:r>
          </w:p>
        </w:tc>
      </w:tr>
      <w:tr w:rsidR="001A5DF6" w:rsidRPr="00FF6AA6">
        <w:tblPrEx>
          <w:tblBorders>
            <w:left w:val="single" w:sz="4" w:space="0" w:color="auto"/>
            <w:right w:val="single" w:sz="4" w:space="0" w:color="auto"/>
            <w:insideH w:val="single" w:sz="4" w:space="0" w:color="auto"/>
            <w:insideV w:val="single" w:sz="4" w:space="0" w:color="auto"/>
          </w:tblBorders>
        </w:tblPrEx>
        <w:trPr>
          <w:trHeight w:val="238"/>
        </w:trPr>
        <w:tc>
          <w:tcPr>
            <w:tcW w:w="2348" w:type="dxa"/>
            <w:gridSpan w:val="2"/>
            <w:tcBorders>
              <w:left w:val="nil"/>
              <w:right w:val="nil"/>
            </w:tcBorders>
          </w:tcPr>
          <w:p w:rsidR="001A5DF6" w:rsidRPr="00FF6AA6" w:rsidRDefault="001A5DF6" w:rsidP="001A5DF6">
            <w:pPr>
              <w:autoSpaceDE w:val="0"/>
              <w:autoSpaceDN w:val="0"/>
              <w:adjustRightInd w:val="0"/>
              <w:ind w:firstLineChars="150" w:firstLine="31680"/>
              <w:rPr>
                <w:color w:val="000000"/>
                <w:kern w:val="0"/>
                <w:sz w:val="16"/>
                <w:szCs w:val="16"/>
              </w:rPr>
            </w:pPr>
            <w:r w:rsidRPr="00FF6AA6">
              <w:rPr>
                <w:i/>
                <w:color w:val="000000"/>
                <w:kern w:val="0"/>
                <w:sz w:val="16"/>
                <w:szCs w:val="16"/>
              </w:rPr>
              <w:t>F</w:t>
            </w:r>
            <w:r w:rsidRPr="00FF6AA6">
              <w:rPr>
                <w:color w:val="000000"/>
                <w:kern w:val="0"/>
                <w:sz w:val="16"/>
                <w:szCs w:val="16"/>
              </w:rPr>
              <w:t>-test</w:t>
            </w:r>
          </w:p>
          <w:p w:rsidR="001A5DF6" w:rsidRPr="00FF6AA6" w:rsidRDefault="001A5DF6" w:rsidP="001A5DF6">
            <w:pPr>
              <w:autoSpaceDE w:val="0"/>
              <w:autoSpaceDN w:val="0"/>
              <w:adjustRightInd w:val="0"/>
              <w:ind w:firstLineChars="150" w:firstLine="31680"/>
              <w:rPr>
                <w:color w:val="000000"/>
                <w:kern w:val="0"/>
                <w:sz w:val="16"/>
                <w:szCs w:val="16"/>
              </w:rPr>
            </w:pPr>
            <w:r w:rsidRPr="00FF6AA6">
              <w:rPr>
                <w:color w:val="000000"/>
                <w:kern w:val="0"/>
                <w:sz w:val="16"/>
                <w:szCs w:val="16"/>
              </w:rPr>
              <w:t>Kruskal-Wallis test</w:t>
            </w:r>
          </w:p>
        </w:tc>
        <w:tc>
          <w:tcPr>
            <w:tcW w:w="2562" w:type="dxa"/>
            <w:gridSpan w:val="3"/>
            <w:tcBorders>
              <w:left w:val="nil"/>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 2 and 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 2 and 3</w:t>
            </w:r>
          </w:p>
        </w:tc>
        <w:tc>
          <w:tcPr>
            <w:tcW w:w="3838" w:type="dxa"/>
            <w:gridSpan w:val="4"/>
            <w:tcBorders>
              <w:left w:val="nil"/>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1.85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0.70</w:t>
            </w:r>
          </w:p>
        </w:tc>
      </w:tr>
    </w:tbl>
    <w:p w:rsidR="001A5DF6" w:rsidRPr="00FF6AA6" w:rsidRDefault="001A5DF6" w:rsidP="0060246D">
      <w:pPr>
        <w:autoSpaceDE w:val="0"/>
        <w:autoSpaceDN w:val="0"/>
        <w:adjustRightInd w:val="0"/>
        <w:jc w:val="both"/>
        <w:rPr>
          <w:color w:val="000000"/>
          <w:kern w:val="0"/>
          <w:sz w:val="20"/>
          <w:szCs w:val="20"/>
        </w:rPr>
      </w:pPr>
    </w:p>
    <w:p w:rsidR="001A5DF6" w:rsidRPr="00FF6AA6" w:rsidRDefault="001A5DF6" w:rsidP="002B1221">
      <w:pPr>
        <w:autoSpaceDE w:val="0"/>
        <w:autoSpaceDN w:val="0"/>
        <w:adjustRightInd w:val="0"/>
        <w:spacing w:line="360" w:lineRule="auto"/>
        <w:rPr>
          <w:b/>
          <w:color w:val="000000"/>
          <w:kern w:val="0"/>
          <w:sz w:val="20"/>
          <w:szCs w:val="20"/>
        </w:rPr>
      </w:pPr>
      <w:r w:rsidRPr="00FF6AA6">
        <w:rPr>
          <w:color w:val="000000"/>
          <w:kern w:val="0"/>
          <w:sz w:val="16"/>
          <w:szCs w:val="16"/>
        </w:rPr>
        <w:br w:type="page"/>
      </w:r>
      <w:r w:rsidRPr="00FF6AA6">
        <w:rPr>
          <w:b/>
          <w:color w:val="000000"/>
          <w:kern w:val="0"/>
          <w:sz w:val="20"/>
          <w:szCs w:val="20"/>
        </w:rPr>
        <w:t xml:space="preserve">Table 5  Regression results of listing day CARs on prior insider sales </w:t>
      </w:r>
    </w:p>
    <w:p w:rsidR="001A5DF6" w:rsidRPr="00FF6AA6" w:rsidRDefault="001A5DF6" w:rsidP="00EC4F7A">
      <w:pPr>
        <w:jc w:val="both"/>
        <w:rPr>
          <w:color w:val="000000"/>
          <w:kern w:val="0"/>
          <w:sz w:val="20"/>
          <w:szCs w:val="20"/>
        </w:rPr>
      </w:pPr>
      <w:r w:rsidRPr="00FF6AA6">
        <w:rPr>
          <w:color w:val="000000"/>
          <w:kern w:val="0"/>
          <w:sz w:val="20"/>
          <w:szCs w:val="20"/>
        </w:rPr>
        <w:t xml:space="preserve">This table reports regression results of </w:t>
      </w:r>
      <w:r w:rsidRPr="00FF6AA6">
        <w:rPr>
          <w:color w:val="000000"/>
          <w:sz w:val="20"/>
          <w:szCs w:val="20"/>
        </w:rPr>
        <w:t>prior insider sales on the returns of listing period (t-1 to t+1)</w:t>
      </w:r>
      <w:r w:rsidRPr="00FF6AA6">
        <w:rPr>
          <w:color w:val="000000"/>
          <w:kern w:val="0"/>
          <w:sz w:val="20"/>
          <w:szCs w:val="20"/>
        </w:rPr>
        <w:t xml:space="preserve">. The dependent variable, </w:t>
      </w:r>
      <w:r w:rsidRPr="00FF6AA6">
        <w:rPr>
          <w:i/>
          <w:color w:val="000000"/>
          <w:sz w:val="20"/>
          <w:szCs w:val="20"/>
        </w:rPr>
        <w:t>ListingdayCAR</w:t>
      </w:r>
      <w:r w:rsidRPr="00FF6AA6">
        <w:rPr>
          <w:color w:val="000000"/>
          <w:sz w:val="20"/>
          <w:szCs w:val="20"/>
        </w:rPr>
        <w:t xml:space="preserve">, is the abnormal returns for the listing event window (t-1 to t+1). </w:t>
      </w:r>
      <w:r w:rsidRPr="00FF6AA6">
        <w:rPr>
          <w:i/>
          <w:color w:val="000000"/>
          <w:sz w:val="20"/>
          <w:szCs w:val="20"/>
        </w:rPr>
        <w:t>InsiderSelling</w:t>
      </w:r>
      <w:r w:rsidRPr="00FF6AA6">
        <w:rPr>
          <w:color w:val="000000"/>
          <w:sz w:val="20"/>
          <w:szCs w:val="20"/>
        </w:rPr>
        <w:t xml:space="preserve"> is the number of insider sales reported in the one year period before the listing day; </w:t>
      </w:r>
      <w:r w:rsidRPr="00FF6AA6">
        <w:rPr>
          <w:i/>
          <w:color w:val="000000"/>
          <w:sz w:val="20"/>
          <w:szCs w:val="20"/>
        </w:rPr>
        <w:t>PrelistingCAR</w:t>
      </w:r>
      <w:r w:rsidRPr="00FF6AA6">
        <w:rPr>
          <w:color w:val="000000"/>
          <w:sz w:val="20"/>
          <w:szCs w:val="20"/>
        </w:rPr>
        <w:t xml:space="preserve"> is the pre-listing period abnormal returns over 250 days before listing (t-251 to t-2);</w:t>
      </w:r>
      <w:r w:rsidRPr="00FF6AA6">
        <w:rPr>
          <w:i/>
          <w:color w:val="000000"/>
          <w:sz w:val="20"/>
          <w:szCs w:val="20"/>
        </w:rPr>
        <w:t xml:space="preserve"> Size</w:t>
      </w:r>
      <w:r w:rsidRPr="00FF6AA6">
        <w:rPr>
          <w:color w:val="000000"/>
          <w:sz w:val="20"/>
          <w:szCs w:val="20"/>
        </w:rPr>
        <w:t xml:space="preserve"> is the log of market value of equity in the year prior to the listing; </w:t>
      </w:r>
      <w:r w:rsidRPr="00FF6AA6">
        <w:rPr>
          <w:i/>
          <w:color w:val="000000"/>
          <w:sz w:val="20"/>
          <w:szCs w:val="20"/>
        </w:rPr>
        <w:t>Ownership</w:t>
      </w:r>
      <w:r w:rsidRPr="00FF6AA6">
        <w:rPr>
          <w:color w:val="000000"/>
          <w:sz w:val="20"/>
          <w:szCs w:val="20"/>
        </w:rPr>
        <w:t xml:space="preserve"> is the percentage of holdings held by insiders in the year prior to the listing; and </w:t>
      </w:r>
      <w:r w:rsidRPr="00FF6AA6">
        <w:rPr>
          <w:i/>
          <w:color w:val="000000"/>
          <w:sz w:val="20"/>
          <w:szCs w:val="20"/>
        </w:rPr>
        <w:t>Dindustry</w:t>
      </w:r>
      <w:r w:rsidRPr="00FF6AA6">
        <w:rPr>
          <w:color w:val="000000"/>
          <w:sz w:val="20"/>
          <w:szCs w:val="20"/>
        </w:rPr>
        <w:t xml:space="preserve"> is a dummy equal to one for firms classified in the electronics industry. VIF represents the variance inflation factor and is used to detect whether multicollinearity is a problem. </w:t>
      </w:r>
      <w:r w:rsidRPr="00FF6AA6">
        <w:rPr>
          <w:color w:val="000000"/>
          <w:kern w:val="0"/>
          <w:sz w:val="20"/>
          <w:szCs w:val="20"/>
        </w:rPr>
        <w:t xml:space="preserve">Figures in parentheses are </w:t>
      </w:r>
      <w:r w:rsidRPr="00FF6AA6">
        <w:rPr>
          <w:i/>
          <w:color w:val="000000"/>
          <w:kern w:val="0"/>
          <w:sz w:val="20"/>
          <w:szCs w:val="20"/>
        </w:rPr>
        <w:t>t-</w:t>
      </w:r>
      <w:r w:rsidRPr="00FF6AA6">
        <w:rPr>
          <w:color w:val="000000"/>
          <w:kern w:val="0"/>
          <w:sz w:val="20"/>
          <w:szCs w:val="20"/>
        </w:rPr>
        <w:t>values. *, ** and *** indicate statistical significant at the 0.1, 0.05 and 0.01 levels, respectively.</w:t>
      </w:r>
    </w:p>
    <w:tbl>
      <w:tblPr>
        <w:tblW w:w="6120" w:type="dxa"/>
        <w:tblInd w:w="108" w:type="dxa"/>
        <w:tblBorders>
          <w:top w:val="single" w:sz="4" w:space="0" w:color="auto"/>
          <w:bottom w:val="single" w:sz="4" w:space="0" w:color="auto"/>
        </w:tblBorders>
        <w:tblLook w:val="01E0"/>
      </w:tblPr>
      <w:tblGrid>
        <w:gridCol w:w="2160"/>
        <w:gridCol w:w="2340"/>
        <w:gridCol w:w="1620"/>
      </w:tblGrid>
      <w:tr w:rsidR="001A5DF6" w:rsidRPr="00FF6AA6">
        <w:trPr>
          <w:trHeight w:val="413"/>
        </w:trPr>
        <w:tc>
          <w:tcPr>
            <w:tcW w:w="2160" w:type="dxa"/>
            <w:tcBorders>
              <w:top w:val="single" w:sz="4" w:space="0" w:color="auto"/>
              <w:bottom w:val="single" w:sz="4" w:space="0" w:color="auto"/>
            </w:tcBorders>
          </w:tcPr>
          <w:p w:rsidR="001A5DF6" w:rsidRPr="00FF6AA6" w:rsidRDefault="001A5DF6" w:rsidP="003D62C1">
            <w:pPr>
              <w:autoSpaceDE w:val="0"/>
              <w:autoSpaceDN w:val="0"/>
              <w:adjustRightInd w:val="0"/>
              <w:rPr>
                <w:color w:val="000000"/>
                <w:kern w:val="0"/>
                <w:sz w:val="20"/>
                <w:szCs w:val="20"/>
              </w:rPr>
            </w:pPr>
            <w:r w:rsidRPr="00FF6AA6">
              <w:rPr>
                <w:color w:val="000000"/>
                <w:kern w:val="0"/>
                <w:sz w:val="20"/>
                <w:szCs w:val="20"/>
              </w:rPr>
              <w:t>Independent Variables</w:t>
            </w:r>
          </w:p>
        </w:tc>
        <w:tc>
          <w:tcPr>
            <w:tcW w:w="2340"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Estimates</w:t>
            </w:r>
          </w:p>
        </w:tc>
        <w:tc>
          <w:tcPr>
            <w:tcW w:w="1620" w:type="dxa"/>
            <w:tcBorders>
              <w:top w:val="single" w:sz="4" w:space="0" w:color="auto"/>
              <w:bottom w:val="single" w:sz="4" w:space="0" w:color="auto"/>
            </w:tcBorders>
            <w:vAlign w:val="center"/>
          </w:tcPr>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VIF</w:t>
            </w:r>
          </w:p>
        </w:tc>
      </w:tr>
      <w:tr w:rsidR="001A5DF6" w:rsidRPr="00FF6AA6">
        <w:tc>
          <w:tcPr>
            <w:tcW w:w="2160" w:type="dxa"/>
            <w:tcBorders>
              <w:top w:val="single" w:sz="4" w:space="0" w:color="auto"/>
              <w:bottom w:val="single" w:sz="4" w:space="0" w:color="auto"/>
            </w:tcBorders>
          </w:tcPr>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Intercept</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InsiderSelling</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PrelistingCAR</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Size</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Ownership</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Dindustry</w:t>
            </w:r>
          </w:p>
          <w:p w:rsidR="001A5DF6" w:rsidRPr="00FF6AA6" w:rsidRDefault="001A5DF6" w:rsidP="003D62C1">
            <w:pPr>
              <w:autoSpaceDE w:val="0"/>
              <w:autoSpaceDN w:val="0"/>
              <w:adjustRightInd w:val="0"/>
              <w:rPr>
                <w:color w:val="000000"/>
                <w:kern w:val="0"/>
                <w:sz w:val="20"/>
                <w:szCs w:val="20"/>
              </w:rPr>
            </w:pPr>
            <w:r w:rsidRPr="00FF6AA6">
              <w:rPr>
                <w:i/>
                <w:color w:val="000000"/>
                <w:kern w:val="0"/>
                <w:sz w:val="20"/>
                <w:szCs w:val="20"/>
              </w:rPr>
              <w:t>F-</w:t>
            </w:r>
            <w:r w:rsidRPr="00FF6AA6">
              <w:rPr>
                <w:color w:val="000000"/>
                <w:kern w:val="0"/>
                <w:sz w:val="20"/>
                <w:szCs w:val="20"/>
              </w:rPr>
              <w:t xml:space="preserve">statistic </w:t>
            </w:r>
          </w:p>
          <w:p w:rsidR="001A5DF6" w:rsidRPr="00FF6AA6" w:rsidRDefault="001A5DF6" w:rsidP="003D62C1">
            <w:pPr>
              <w:autoSpaceDE w:val="0"/>
              <w:autoSpaceDN w:val="0"/>
              <w:adjustRightInd w:val="0"/>
              <w:rPr>
                <w:color w:val="000000"/>
                <w:kern w:val="0"/>
                <w:sz w:val="20"/>
                <w:szCs w:val="20"/>
              </w:rPr>
            </w:pPr>
            <w:r w:rsidRPr="00FF6AA6">
              <w:rPr>
                <w:i/>
                <w:color w:val="000000"/>
                <w:kern w:val="0"/>
                <w:sz w:val="20"/>
                <w:szCs w:val="20"/>
              </w:rPr>
              <w:t>p</w:t>
            </w:r>
            <w:r w:rsidRPr="00FF6AA6">
              <w:rPr>
                <w:color w:val="000000"/>
                <w:kern w:val="0"/>
                <w:sz w:val="20"/>
                <w:szCs w:val="20"/>
              </w:rPr>
              <w:t>-value</w:t>
            </w:r>
          </w:p>
          <w:p w:rsidR="001A5DF6" w:rsidRPr="00FF6AA6" w:rsidRDefault="001A5DF6" w:rsidP="003D62C1">
            <w:pPr>
              <w:autoSpaceDE w:val="0"/>
              <w:autoSpaceDN w:val="0"/>
              <w:adjustRightInd w:val="0"/>
              <w:rPr>
                <w:color w:val="000000"/>
                <w:kern w:val="0"/>
                <w:sz w:val="20"/>
                <w:szCs w:val="20"/>
              </w:rPr>
            </w:pPr>
            <w:r w:rsidRPr="00FF6AA6">
              <w:rPr>
                <w:i/>
                <w:color w:val="000000"/>
                <w:kern w:val="0"/>
                <w:sz w:val="20"/>
                <w:szCs w:val="20"/>
              </w:rPr>
              <w:t>R</w:t>
            </w:r>
            <w:r w:rsidRPr="00FF6AA6">
              <w:rPr>
                <w:color w:val="000000"/>
                <w:kern w:val="0"/>
                <w:sz w:val="20"/>
                <w:szCs w:val="20"/>
                <w:vertAlign w:val="superscript"/>
              </w:rPr>
              <w:t>2</w:t>
            </w:r>
          </w:p>
          <w:p w:rsidR="001A5DF6" w:rsidRPr="00FF6AA6" w:rsidRDefault="001A5DF6" w:rsidP="003D62C1">
            <w:pPr>
              <w:autoSpaceDE w:val="0"/>
              <w:autoSpaceDN w:val="0"/>
              <w:adjustRightInd w:val="0"/>
              <w:rPr>
                <w:color w:val="000000"/>
                <w:kern w:val="0"/>
                <w:sz w:val="20"/>
                <w:szCs w:val="20"/>
              </w:rPr>
            </w:pPr>
            <w:r w:rsidRPr="00FF6AA6">
              <w:rPr>
                <w:color w:val="000000"/>
                <w:kern w:val="0"/>
                <w:sz w:val="20"/>
                <w:szCs w:val="20"/>
              </w:rPr>
              <w:t xml:space="preserve">Adj. </w:t>
            </w:r>
            <w:r w:rsidRPr="00FF6AA6">
              <w:rPr>
                <w:i/>
                <w:color w:val="000000"/>
                <w:kern w:val="0"/>
                <w:sz w:val="20"/>
                <w:szCs w:val="20"/>
              </w:rPr>
              <w:t>R</w:t>
            </w:r>
            <w:r w:rsidRPr="00FF6AA6">
              <w:rPr>
                <w:color w:val="000000"/>
                <w:kern w:val="0"/>
                <w:sz w:val="20"/>
                <w:szCs w:val="20"/>
                <w:vertAlign w:val="superscript"/>
              </w:rPr>
              <w:t>2</w:t>
            </w:r>
          </w:p>
          <w:p w:rsidR="001A5DF6" w:rsidRPr="00FF6AA6" w:rsidRDefault="001A5DF6" w:rsidP="003D62C1">
            <w:pPr>
              <w:autoSpaceDE w:val="0"/>
              <w:autoSpaceDN w:val="0"/>
              <w:adjustRightInd w:val="0"/>
              <w:rPr>
                <w:color w:val="000000"/>
                <w:kern w:val="0"/>
                <w:sz w:val="20"/>
                <w:szCs w:val="20"/>
              </w:rPr>
            </w:pPr>
            <w:r w:rsidRPr="00FF6AA6">
              <w:rPr>
                <w:color w:val="000000"/>
                <w:kern w:val="0"/>
                <w:sz w:val="20"/>
                <w:szCs w:val="20"/>
              </w:rPr>
              <w:t>Number of observations</w:t>
            </w:r>
          </w:p>
        </w:tc>
        <w:tc>
          <w:tcPr>
            <w:tcW w:w="2340" w:type="dxa"/>
            <w:tcBorders>
              <w:top w:val="single" w:sz="4" w:space="0" w:color="auto"/>
              <w:bottom w:val="single" w:sz="4" w:space="0" w:color="auto"/>
            </w:tcBorders>
          </w:tcPr>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1.076 (2.753***)</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-0.028 (-0.378)</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0.023 (0.319)</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-0.208 (-2.714***)</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0.007 (0.100)</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-0.117 (-1.567)</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2.812</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0.018**</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0.071</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0.046</w:t>
            </w:r>
          </w:p>
          <w:p w:rsidR="001A5DF6" w:rsidRPr="00FF6AA6" w:rsidRDefault="001A5DF6" w:rsidP="001A5DF6">
            <w:pPr>
              <w:autoSpaceDE w:val="0"/>
              <w:autoSpaceDN w:val="0"/>
              <w:adjustRightInd w:val="0"/>
              <w:ind w:leftChars="180" w:left="31680"/>
              <w:rPr>
                <w:color w:val="000000"/>
                <w:kern w:val="0"/>
                <w:sz w:val="20"/>
                <w:szCs w:val="20"/>
              </w:rPr>
            </w:pPr>
            <w:r w:rsidRPr="00FF6AA6">
              <w:rPr>
                <w:color w:val="000000"/>
                <w:kern w:val="0"/>
                <w:sz w:val="20"/>
                <w:szCs w:val="20"/>
              </w:rPr>
              <w:t>191</w:t>
            </w:r>
          </w:p>
        </w:tc>
        <w:tc>
          <w:tcPr>
            <w:tcW w:w="1620"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20"/>
                <w:szCs w:val="20"/>
              </w:rPr>
            </w:pP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1.060</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1.049</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1.167</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1.059</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1.101</w:t>
            </w:r>
          </w:p>
          <w:p w:rsidR="001A5DF6" w:rsidRPr="00FF6AA6" w:rsidRDefault="001A5DF6" w:rsidP="003D62C1">
            <w:pPr>
              <w:autoSpaceDE w:val="0"/>
              <w:autoSpaceDN w:val="0"/>
              <w:adjustRightInd w:val="0"/>
              <w:jc w:val="center"/>
              <w:rPr>
                <w:color w:val="000000"/>
                <w:kern w:val="0"/>
                <w:sz w:val="20"/>
                <w:szCs w:val="20"/>
              </w:rPr>
            </w:pPr>
          </w:p>
          <w:p w:rsidR="001A5DF6" w:rsidRPr="00FF6AA6" w:rsidRDefault="001A5DF6" w:rsidP="003D62C1">
            <w:pPr>
              <w:autoSpaceDE w:val="0"/>
              <w:autoSpaceDN w:val="0"/>
              <w:adjustRightInd w:val="0"/>
              <w:jc w:val="center"/>
              <w:rPr>
                <w:color w:val="000000"/>
                <w:kern w:val="0"/>
                <w:sz w:val="20"/>
                <w:szCs w:val="20"/>
              </w:rPr>
            </w:pPr>
          </w:p>
          <w:p w:rsidR="001A5DF6" w:rsidRPr="00FF6AA6" w:rsidRDefault="001A5DF6" w:rsidP="003D62C1">
            <w:pPr>
              <w:autoSpaceDE w:val="0"/>
              <w:autoSpaceDN w:val="0"/>
              <w:adjustRightInd w:val="0"/>
              <w:jc w:val="center"/>
              <w:rPr>
                <w:color w:val="000000"/>
                <w:kern w:val="0"/>
                <w:sz w:val="20"/>
                <w:szCs w:val="20"/>
              </w:rPr>
            </w:pPr>
          </w:p>
        </w:tc>
      </w:tr>
    </w:tbl>
    <w:p w:rsidR="001A5DF6" w:rsidRPr="00FF6AA6" w:rsidRDefault="001A5DF6" w:rsidP="00341549">
      <w:pPr>
        <w:autoSpaceDE w:val="0"/>
        <w:autoSpaceDN w:val="0"/>
        <w:adjustRightInd w:val="0"/>
        <w:spacing w:line="360" w:lineRule="auto"/>
        <w:outlineLvl w:val="0"/>
        <w:rPr>
          <w:b/>
          <w:color w:val="000000"/>
          <w:kern w:val="0"/>
          <w:sz w:val="20"/>
          <w:szCs w:val="20"/>
        </w:rPr>
      </w:pPr>
      <w:r w:rsidRPr="00FF6AA6">
        <w:rPr>
          <w:color w:val="000000"/>
          <w:kern w:val="0"/>
          <w:sz w:val="16"/>
          <w:szCs w:val="16"/>
        </w:rPr>
        <w:br w:type="page"/>
      </w:r>
      <w:r w:rsidRPr="00FF6AA6">
        <w:rPr>
          <w:b/>
          <w:color w:val="000000"/>
          <w:kern w:val="0"/>
          <w:sz w:val="20"/>
          <w:szCs w:val="20"/>
        </w:rPr>
        <w:t>Table 6  CARs by subgroup over the post-listing period (t+2 to t+251)</w:t>
      </w:r>
    </w:p>
    <w:p w:rsidR="001A5DF6" w:rsidRPr="00FF6AA6" w:rsidRDefault="001A5DF6" w:rsidP="00341549">
      <w:pPr>
        <w:autoSpaceDE w:val="0"/>
        <w:autoSpaceDN w:val="0"/>
        <w:adjustRightInd w:val="0"/>
        <w:jc w:val="both"/>
        <w:rPr>
          <w:color w:val="000000"/>
          <w:kern w:val="0"/>
          <w:sz w:val="20"/>
          <w:szCs w:val="20"/>
        </w:rPr>
      </w:pPr>
      <w:r w:rsidRPr="00FF6AA6">
        <w:rPr>
          <w:color w:val="000000"/>
          <w:kern w:val="0"/>
          <w:sz w:val="20"/>
          <w:szCs w:val="20"/>
        </w:rPr>
        <w:t xml:space="preserve">This table reports post-listing CAR (t+2 to t+251) for the sample of 191 exchange listings from 1992 through 2002. Panel A shows results for the total sample and three subgroups with </w:t>
      </w:r>
      <w:r w:rsidRPr="00FF6AA6">
        <w:rPr>
          <w:i/>
          <w:color w:val="000000"/>
          <w:kern w:val="0"/>
          <w:sz w:val="20"/>
          <w:szCs w:val="20"/>
        </w:rPr>
        <w:t>t</w:t>
      </w:r>
      <w:r w:rsidRPr="00FF6AA6">
        <w:rPr>
          <w:color w:val="000000"/>
          <w:kern w:val="0"/>
          <w:sz w:val="20"/>
          <w:szCs w:val="20"/>
        </w:rPr>
        <w:t xml:space="preserve">-tests and Wilcoxon sign rank tests on whether CAR is equal to zero. The three subgroups are formed according to insider sales reported before listing. Panel B provides </w:t>
      </w:r>
      <w:r w:rsidRPr="00FF6AA6">
        <w:rPr>
          <w:i/>
          <w:color w:val="000000"/>
          <w:kern w:val="0"/>
          <w:sz w:val="20"/>
          <w:szCs w:val="20"/>
        </w:rPr>
        <w:t>F</w:t>
      </w:r>
      <w:r w:rsidRPr="00FF6AA6">
        <w:rPr>
          <w:color w:val="000000"/>
          <w:kern w:val="0"/>
          <w:sz w:val="20"/>
          <w:szCs w:val="20"/>
        </w:rPr>
        <w:t xml:space="preserve">-test and </w:t>
      </w:r>
      <w:r w:rsidRPr="00FF6AA6">
        <w:rPr>
          <w:color w:val="000000"/>
          <w:sz w:val="20"/>
          <w:szCs w:val="20"/>
        </w:rPr>
        <w:t>non-parametric</w:t>
      </w:r>
      <w:r w:rsidRPr="00FF6AA6">
        <w:rPr>
          <w:color w:val="000000"/>
          <w:kern w:val="0"/>
          <w:sz w:val="20"/>
          <w:szCs w:val="20"/>
        </w:rPr>
        <w:t xml:space="preserve"> Kruskal-Wallis test for equality of post-listing CARs across subgroups. The statistic reported for Kruskal-Wallis test is </w:t>
      </w:r>
      <w:r w:rsidRPr="00FF6AA6">
        <w:rPr>
          <w:i/>
          <w:color w:val="000000"/>
          <w:kern w:val="0"/>
          <w:sz w:val="20"/>
          <w:szCs w:val="20"/>
        </w:rPr>
        <w:t>p</w:t>
      </w:r>
      <w:r w:rsidRPr="00FF6AA6">
        <w:rPr>
          <w:color w:val="000000"/>
          <w:kern w:val="0"/>
          <w:sz w:val="20"/>
          <w:szCs w:val="20"/>
        </w:rPr>
        <w:t>-value. *, ** and *** indicate statistical significant at the 0.1, 0.05 and 0.01 levels, respectively.</w:t>
      </w:r>
    </w:p>
    <w:tbl>
      <w:tblPr>
        <w:tblW w:w="8748" w:type="dxa"/>
        <w:tblBorders>
          <w:top w:val="single" w:sz="4" w:space="0" w:color="auto"/>
          <w:bottom w:val="single" w:sz="4" w:space="0" w:color="auto"/>
        </w:tblBorders>
        <w:tblLook w:val="01E0"/>
      </w:tblPr>
      <w:tblGrid>
        <w:gridCol w:w="839"/>
        <w:gridCol w:w="1789"/>
        <w:gridCol w:w="1800"/>
        <w:gridCol w:w="1080"/>
        <w:gridCol w:w="720"/>
        <w:gridCol w:w="1247"/>
        <w:gridCol w:w="1273"/>
      </w:tblGrid>
      <w:tr w:rsidR="001A5DF6" w:rsidRPr="00FF6AA6">
        <w:trPr>
          <w:trHeight w:val="286"/>
        </w:trPr>
        <w:tc>
          <w:tcPr>
            <w:tcW w:w="8748" w:type="dxa"/>
            <w:gridSpan w:val="7"/>
            <w:tcBorders>
              <w:top w:val="single" w:sz="4" w:space="0" w:color="auto"/>
              <w:left w:val="nil"/>
              <w:bottom w:val="single" w:sz="4" w:space="0" w:color="auto"/>
            </w:tcBorders>
            <w:vAlign w:val="bottom"/>
          </w:tcPr>
          <w:p w:rsidR="001A5DF6" w:rsidRPr="00FF6AA6" w:rsidRDefault="001A5DF6" w:rsidP="003D62C1">
            <w:pPr>
              <w:autoSpaceDE w:val="0"/>
              <w:autoSpaceDN w:val="0"/>
              <w:adjustRightInd w:val="0"/>
              <w:jc w:val="both"/>
              <w:rPr>
                <w:color w:val="000000"/>
                <w:kern w:val="0"/>
                <w:sz w:val="20"/>
                <w:szCs w:val="20"/>
              </w:rPr>
            </w:pPr>
            <w:r w:rsidRPr="00FF6AA6">
              <w:rPr>
                <w:color w:val="000000"/>
                <w:kern w:val="0"/>
                <w:sz w:val="20"/>
                <w:szCs w:val="20"/>
              </w:rPr>
              <w:t xml:space="preserve"> Panel A  Post-listing CARs by subgroup</w:t>
            </w:r>
          </w:p>
        </w:tc>
      </w:tr>
      <w:tr w:rsidR="001A5DF6" w:rsidRPr="00FF6AA6">
        <w:trPr>
          <w:trHeight w:val="238"/>
        </w:trPr>
        <w:tc>
          <w:tcPr>
            <w:tcW w:w="839" w:type="dxa"/>
            <w:tcBorders>
              <w:top w:val="single" w:sz="4" w:space="0" w:color="auto"/>
              <w:left w:val="nil"/>
              <w:bottom w:val="single" w:sz="4" w:space="0" w:color="auto"/>
            </w:tcBorders>
          </w:tcPr>
          <w:p w:rsidR="001A5DF6" w:rsidRPr="00FF6AA6" w:rsidRDefault="001A5DF6" w:rsidP="003D62C1">
            <w:pPr>
              <w:autoSpaceDE w:val="0"/>
              <w:autoSpaceDN w:val="0"/>
              <w:adjustRightInd w:val="0"/>
              <w:rPr>
                <w:color w:val="000000"/>
                <w:kern w:val="0"/>
                <w:sz w:val="16"/>
                <w:szCs w:val="16"/>
              </w:rPr>
            </w:pPr>
            <w:r w:rsidRPr="00FF6AA6">
              <w:rPr>
                <w:color w:val="000000"/>
                <w:kern w:val="0"/>
                <w:sz w:val="16"/>
                <w:szCs w:val="16"/>
              </w:rPr>
              <w:t>Subgroup</w:t>
            </w:r>
          </w:p>
        </w:tc>
        <w:tc>
          <w:tcPr>
            <w:tcW w:w="1789" w:type="dxa"/>
            <w:tcBorders>
              <w:top w:val="single" w:sz="4" w:space="0" w:color="auto"/>
              <w:bottom w:val="single" w:sz="4" w:space="0" w:color="auto"/>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Number of observations</w:t>
            </w:r>
          </w:p>
        </w:tc>
        <w:tc>
          <w:tcPr>
            <w:tcW w:w="1800" w:type="dxa"/>
            <w:tcBorders>
              <w:top w:val="single" w:sz="4" w:space="0" w:color="auto"/>
              <w:left w:val="nil"/>
              <w:bottom w:val="single" w:sz="4" w:space="0" w:color="auto"/>
            </w:tcBorders>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Insider sales before listing</w:t>
            </w:r>
          </w:p>
        </w:tc>
        <w:tc>
          <w:tcPr>
            <w:tcW w:w="1080" w:type="dxa"/>
            <w:tcBorders>
              <w:top w:val="single" w:sz="4" w:space="0" w:color="auto"/>
              <w:bottom w:val="single" w:sz="4" w:space="0" w:color="auto"/>
              <w:right w:val="nil"/>
            </w:tcBorders>
            <w:vAlign w:val="center"/>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color w:val="000000"/>
                <w:kern w:val="0"/>
                <w:sz w:val="16"/>
                <w:szCs w:val="16"/>
              </w:rPr>
              <w:t>Mean CAR (%)</w:t>
            </w:r>
          </w:p>
        </w:tc>
        <w:tc>
          <w:tcPr>
            <w:tcW w:w="720" w:type="dxa"/>
            <w:tcBorders>
              <w:top w:val="single" w:sz="4" w:space="0" w:color="auto"/>
              <w:left w:val="nil"/>
              <w:bottom w:val="single" w:sz="4" w:space="0" w:color="auto"/>
              <w:right w:val="nil"/>
            </w:tcBorders>
            <w:vAlign w:val="center"/>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i/>
                <w:color w:val="000000"/>
                <w:kern w:val="0"/>
                <w:sz w:val="16"/>
                <w:szCs w:val="16"/>
              </w:rPr>
              <w:t>t</w:t>
            </w:r>
            <w:r w:rsidRPr="00FF6AA6">
              <w:rPr>
                <w:color w:val="000000"/>
                <w:kern w:val="0"/>
                <w:sz w:val="16"/>
                <w:szCs w:val="16"/>
              </w:rPr>
              <w:t xml:space="preserve">-statistics </w:t>
            </w:r>
          </w:p>
        </w:tc>
        <w:tc>
          <w:tcPr>
            <w:tcW w:w="1247" w:type="dxa"/>
            <w:tcBorders>
              <w:top w:val="single" w:sz="4" w:space="0" w:color="auto"/>
              <w:left w:val="nil"/>
              <w:bottom w:val="single" w:sz="4" w:space="0" w:color="auto"/>
              <w:right w:val="nil"/>
            </w:tcBorders>
            <w:vAlign w:val="center"/>
          </w:tcPr>
          <w:p w:rsidR="001A5DF6" w:rsidRPr="00FF6AA6" w:rsidRDefault="001A5DF6" w:rsidP="001A5DF6">
            <w:pPr>
              <w:autoSpaceDE w:val="0"/>
              <w:autoSpaceDN w:val="0"/>
              <w:adjustRightInd w:val="0"/>
              <w:ind w:leftChars="-80" w:left="31680" w:rightChars="-45" w:right="31680"/>
              <w:jc w:val="center"/>
              <w:rPr>
                <w:color w:val="000000"/>
                <w:kern w:val="0"/>
                <w:sz w:val="16"/>
                <w:szCs w:val="16"/>
              </w:rPr>
            </w:pPr>
            <w:r w:rsidRPr="00FF6AA6">
              <w:rPr>
                <w:color w:val="000000"/>
                <w:kern w:val="0"/>
                <w:sz w:val="16"/>
                <w:szCs w:val="16"/>
              </w:rPr>
              <w:t xml:space="preserve"> Median CAR (%)</w:t>
            </w:r>
          </w:p>
        </w:tc>
        <w:tc>
          <w:tcPr>
            <w:tcW w:w="1273" w:type="dxa"/>
            <w:tcBorders>
              <w:top w:val="single" w:sz="4" w:space="0" w:color="auto"/>
              <w:left w:val="nil"/>
              <w:bottom w:val="single" w:sz="4" w:space="0" w:color="auto"/>
            </w:tcBorders>
            <w:vAlign w:val="center"/>
          </w:tcPr>
          <w:p w:rsidR="001A5DF6" w:rsidRPr="00FF6AA6" w:rsidRDefault="001A5DF6" w:rsidP="001A5DF6">
            <w:pPr>
              <w:autoSpaceDE w:val="0"/>
              <w:autoSpaceDN w:val="0"/>
              <w:adjustRightInd w:val="0"/>
              <w:ind w:leftChars="-45" w:left="31680" w:rightChars="-45" w:right="31680"/>
              <w:jc w:val="center"/>
              <w:rPr>
                <w:color w:val="000000"/>
                <w:kern w:val="0"/>
                <w:sz w:val="16"/>
                <w:szCs w:val="16"/>
              </w:rPr>
            </w:pPr>
            <w:r w:rsidRPr="00FF6AA6">
              <w:rPr>
                <w:rFonts w:ascii="NewCenturySchlbk-Roman" w:hAnsi="NewCenturySchlbk-Roman" w:cs="NewCenturySchlbk-Roman"/>
                <w:color w:val="000000"/>
                <w:kern w:val="0"/>
                <w:sz w:val="16"/>
                <w:szCs w:val="16"/>
              </w:rPr>
              <w:t xml:space="preserve">Wilcoxon </w:t>
            </w:r>
            <w:r w:rsidRPr="00FF6AA6">
              <w:rPr>
                <w:rFonts w:ascii="NewCenturySchlbk-Roman" w:hAnsi="NewCenturySchlbk-Roman" w:cs="NewCenturySchlbk-Roman"/>
                <w:i/>
                <w:color w:val="000000"/>
                <w:kern w:val="0"/>
                <w:sz w:val="16"/>
                <w:szCs w:val="16"/>
              </w:rPr>
              <w:t>p</w:t>
            </w:r>
            <w:r w:rsidRPr="00FF6AA6">
              <w:rPr>
                <w:i/>
                <w:color w:val="000000"/>
                <w:kern w:val="0"/>
                <w:sz w:val="16"/>
                <w:szCs w:val="16"/>
              </w:rPr>
              <w:t>-</w:t>
            </w:r>
            <w:r w:rsidRPr="00FF6AA6">
              <w:rPr>
                <w:color w:val="000000"/>
                <w:kern w:val="0"/>
                <w:sz w:val="16"/>
                <w:szCs w:val="16"/>
              </w:rPr>
              <w:t>values</w:t>
            </w:r>
          </w:p>
        </w:tc>
      </w:tr>
      <w:tr w:rsidR="001A5DF6" w:rsidRPr="00FF6AA6">
        <w:tc>
          <w:tcPr>
            <w:tcW w:w="839"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Total</w:t>
            </w:r>
          </w:p>
        </w:tc>
        <w:tc>
          <w:tcPr>
            <w:tcW w:w="1789" w:type="dxa"/>
            <w:tcBorders>
              <w:top w:val="single" w:sz="4" w:space="0" w:color="auto"/>
              <w:bottom w:val="single" w:sz="4" w:space="0" w:color="auto"/>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72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62</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57</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119</w:t>
            </w:r>
          </w:p>
        </w:tc>
        <w:tc>
          <w:tcPr>
            <w:tcW w:w="1800" w:type="dxa"/>
            <w:tcBorders>
              <w:top w:val="single" w:sz="4" w:space="0" w:color="auto"/>
              <w:left w:val="nil"/>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0&lt; No. &lt;=2 (Median)</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2&lt; No. &lt;=26 (Max.)</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0-26</w:t>
            </w:r>
          </w:p>
        </w:tc>
        <w:tc>
          <w:tcPr>
            <w:tcW w:w="1080" w:type="dxa"/>
            <w:tcBorders>
              <w:top w:val="single" w:sz="4" w:space="0" w:color="auto"/>
              <w:bottom w:val="single" w:sz="4" w:space="0" w:color="auto"/>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-8.46</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-15.15</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-20.20</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-14.13</w:t>
            </w:r>
          </w:p>
        </w:tc>
        <w:tc>
          <w:tcPr>
            <w:tcW w:w="720" w:type="dxa"/>
            <w:tcBorders>
              <w:top w:val="single" w:sz="4" w:space="0" w:color="auto"/>
              <w:left w:val="nil"/>
              <w:bottom w:val="single" w:sz="4" w:space="0" w:color="auto"/>
              <w:right w:val="nil"/>
            </w:tcBorders>
          </w:tcPr>
          <w:p w:rsidR="001A5DF6" w:rsidRPr="00FF6AA6" w:rsidRDefault="001A5DF6" w:rsidP="001A5DF6">
            <w:pPr>
              <w:autoSpaceDE w:val="0"/>
              <w:autoSpaceDN w:val="0"/>
              <w:adjustRightInd w:val="0"/>
              <w:ind w:leftChars="-12" w:left="31680" w:rightChars="-45" w:right="31680" w:hangingChars="16" w:firstLine="31680"/>
              <w:rPr>
                <w:color w:val="000000"/>
                <w:kern w:val="0"/>
                <w:sz w:val="16"/>
                <w:szCs w:val="16"/>
              </w:rPr>
            </w:pPr>
            <w:r w:rsidRPr="00FF6AA6">
              <w:rPr>
                <w:color w:val="000000"/>
                <w:kern w:val="0"/>
                <w:sz w:val="16"/>
                <w:szCs w:val="16"/>
              </w:rPr>
              <w:t>2.35**</w:t>
            </w:r>
          </w:p>
          <w:p w:rsidR="001A5DF6" w:rsidRPr="00FF6AA6" w:rsidRDefault="001A5DF6" w:rsidP="001A5DF6">
            <w:pPr>
              <w:autoSpaceDE w:val="0"/>
              <w:autoSpaceDN w:val="0"/>
              <w:adjustRightInd w:val="0"/>
              <w:ind w:leftChars="-12" w:left="31680" w:rightChars="-45" w:right="31680" w:hangingChars="16" w:firstLine="31680"/>
              <w:rPr>
                <w:color w:val="000000"/>
                <w:kern w:val="0"/>
                <w:sz w:val="16"/>
                <w:szCs w:val="16"/>
              </w:rPr>
            </w:pPr>
            <w:r w:rsidRPr="00FF6AA6">
              <w:rPr>
                <w:color w:val="000000"/>
                <w:kern w:val="0"/>
                <w:sz w:val="16"/>
                <w:szCs w:val="16"/>
              </w:rPr>
              <w:t>2.61**</w:t>
            </w:r>
          </w:p>
          <w:p w:rsidR="001A5DF6" w:rsidRPr="00FF6AA6" w:rsidRDefault="001A5DF6" w:rsidP="001A5DF6">
            <w:pPr>
              <w:autoSpaceDE w:val="0"/>
              <w:autoSpaceDN w:val="0"/>
              <w:adjustRightInd w:val="0"/>
              <w:ind w:leftChars="-45" w:left="31680" w:rightChars="-45" w:right="31680" w:hangingChars="67" w:firstLine="31680"/>
              <w:rPr>
                <w:color w:val="000000"/>
                <w:kern w:val="0"/>
                <w:sz w:val="16"/>
                <w:szCs w:val="16"/>
              </w:rPr>
            </w:pPr>
            <w:r w:rsidRPr="00FF6AA6">
              <w:rPr>
                <w:color w:val="000000"/>
                <w:kern w:val="0"/>
                <w:sz w:val="16"/>
                <w:szCs w:val="16"/>
              </w:rPr>
              <w:t xml:space="preserve"> 3.12***</w:t>
            </w:r>
          </w:p>
          <w:p w:rsidR="001A5DF6" w:rsidRPr="00FF6AA6" w:rsidRDefault="001A5DF6" w:rsidP="001A5DF6">
            <w:pPr>
              <w:autoSpaceDE w:val="0"/>
              <w:autoSpaceDN w:val="0"/>
              <w:adjustRightInd w:val="0"/>
              <w:ind w:leftChars="-45" w:left="31680" w:rightChars="-45" w:right="31680" w:hangingChars="67" w:firstLine="31680"/>
              <w:rPr>
                <w:color w:val="000000"/>
                <w:kern w:val="0"/>
                <w:sz w:val="16"/>
                <w:szCs w:val="16"/>
              </w:rPr>
            </w:pPr>
            <w:r w:rsidRPr="00FF6AA6">
              <w:rPr>
                <w:color w:val="000000"/>
                <w:kern w:val="0"/>
                <w:sz w:val="16"/>
                <w:szCs w:val="16"/>
              </w:rPr>
              <w:t xml:space="preserve"> 3.10***</w:t>
            </w:r>
          </w:p>
        </w:tc>
        <w:tc>
          <w:tcPr>
            <w:tcW w:w="1247" w:type="dxa"/>
            <w:tcBorders>
              <w:top w:val="single" w:sz="4" w:space="0" w:color="auto"/>
              <w:left w:val="nil"/>
              <w:bottom w:val="single" w:sz="4" w:space="0" w:color="auto"/>
              <w:right w:val="nil"/>
            </w:tcBorders>
          </w:tcPr>
          <w:p w:rsidR="001A5DF6" w:rsidRPr="00FF6AA6" w:rsidRDefault="001A5DF6" w:rsidP="003D62C1">
            <w:pPr>
              <w:widowControl/>
              <w:jc w:val="center"/>
              <w:rPr>
                <w:color w:val="000000"/>
                <w:kern w:val="0"/>
                <w:sz w:val="16"/>
                <w:szCs w:val="16"/>
              </w:rPr>
            </w:pPr>
            <w:r w:rsidRPr="00FF6AA6">
              <w:rPr>
                <w:color w:val="000000"/>
                <w:kern w:val="0"/>
                <w:sz w:val="16"/>
                <w:szCs w:val="16"/>
              </w:rPr>
              <w:t>-8.56</w:t>
            </w:r>
          </w:p>
          <w:p w:rsidR="001A5DF6" w:rsidRPr="00FF6AA6" w:rsidRDefault="001A5DF6" w:rsidP="003D62C1">
            <w:pPr>
              <w:widowControl/>
              <w:jc w:val="center"/>
              <w:rPr>
                <w:color w:val="000000"/>
                <w:kern w:val="0"/>
                <w:sz w:val="16"/>
                <w:szCs w:val="16"/>
              </w:rPr>
            </w:pPr>
            <w:r w:rsidRPr="00FF6AA6">
              <w:rPr>
                <w:color w:val="000000"/>
                <w:kern w:val="0"/>
                <w:sz w:val="16"/>
                <w:szCs w:val="16"/>
              </w:rPr>
              <w:t>-12.66</w:t>
            </w:r>
          </w:p>
          <w:p w:rsidR="001A5DF6" w:rsidRPr="00FF6AA6" w:rsidRDefault="001A5DF6" w:rsidP="003D62C1">
            <w:pPr>
              <w:widowControl/>
              <w:jc w:val="center"/>
              <w:rPr>
                <w:color w:val="000000"/>
                <w:kern w:val="0"/>
                <w:sz w:val="16"/>
                <w:szCs w:val="16"/>
              </w:rPr>
            </w:pPr>
            <w:r w:rsidRPr="00FF6AA6">
              <w:rPr>
                <w:color w:val="000000"/>
                <w:kern w:val="0"/>
                <w:sz w:val="16"/>
                <w:szCs w:val="16"/>
              </w:rPr>
              <w:t>-16.74</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-12.36</w:t>
            </w:r>
          </w:p>
        </w:tc>
        <w:tc>
          <w:tcPr>
            <w:tcW w:w="1273" w:type="dxa"/>
            <w:tcBorders>
              <w:top w:val="single" w:sz="4" w:space="0" w:color="auto"/>
              <w:left w:val="nil"/>
              <w:bottom w:val="single" w:sz="4" w:space="0" w:color="auto"/>
            </w:tcBorders>
          </w:tcPr>
          <w:p w:rsidR="001A5DF6" w:rsidRPr="00FF6AA6" w:rsidRDefault="001A5DF6" w:rsidP="003D62C1">
            <w:pPr>
              <w:widowControl/>
              <w:jc w:val="center"/>
              <w:rPr>
                <w:color w:val="000000"/>
                <w:kern w:val="0"/>
                <w:sz w:val="16"/>
                <w:szCs w:val="16"/>
              </w:rPr>
            </w:pPr>
            <w:r w:rsidRPr="00FF6AA6">
              <w:rPr>
                <w:color w:val="000000"/>
                <w:kern w:val="0"/>
                <w:sz w:val="16"/>
                <w:szCs w:val="16"/>
              </w:rPr>
              <w:t>0.08*</w:t>
            </w:r>
          </w:p>
          <w:p w:rsidR="001A5DF6" w:rsidRPr="00FF6AA6" w:rsidRDefault="001A5DF6" w:rsidP="003D62C1">
            <w:pPr>
              <w:widowControl/>
              <w:jc w:val="center"/>
              <w:rPr>
                <w:color w:val="000000"/>
                <w:kern w:val="0"/>
                <w:sz w:val="16"/>
                <w:szCs w:val="16"/>
              </w:rPr>
            </w:pPr>
            <w:r w:rsidRPr="00FF6AA6">
              <w:rPr>
                <w:color w:val="000000"/>
                <w:kern w:val="0"/>
                <w:sz w:val="16"/>
                <w:szCs w:val="16"/>
              </w:rPr>
              <w:t>0.06*</w:t>
            </w:r>
          </w:p>
          <w:p w:rsidR="001A5DF6" w:rsidRPr="00FF6AA6" w:rsidRDefault="001A5DF6" w:rsidP="003D62C1">
            <w:pPr>
              <w:widowControl/>
              <w:jc w:val="center"/>
              <w:rPr>
                <w:color w:val="000000"/>
                <w:kern w:val="0"/>
                <w:sz w:val="16"/>
                <w:szCs w:val="16"/>
              </w:rPr>
            </w:pPr>
            <w:r w:rsidRPr="00FF6AA6">
              <w:rPr>
                <w:color w:val="000000"/>
                <w:kern w:val="0"/>
                <w:sz w:val="16"/>
                <w:szCs w:val="16"/>
              </w:rPr>
              <w:t>0.06*</w:t>
            </w:r>
          </w:p>
          <w:p w:rsidR="001A5DF6" w:rsidRPr="00FF6AA6" w:rsidRDefault="001A5DF6" w:rsidP="001A5DF6">
            <w:pPr>
              <w:autoSpaceDE w:val="0"/>
              <w:autoSpaceDN w:val="0"/>
              <w:adjustRightInd w:val="0"/>
              <w:ind w:firstLineChars="200" w:firstLine="31680"/>
              <w:rPr>
                <w:color w:val="000000"/>
                <w:kern w:val="0"/>
                <w:sz w:val="16"/>
                <w:szCs w:val="16"/>
              </w:rPr>
            </w:pPr>
            <w:r w:rsidRPr="00FF6AA6">
              <w:rPr>
                <w:color w:val="000000"/>
                <w:kern w:val="0"/>
                <w:sz w:val="16"/>
                <w:szCs w:val="16"/>
              </w:rPr>
              <w:t>0.01***</w:t>
            </w:r>
          </w:p>
        </w:tc>
      </w:tr>
    </w:tbl>
    <w:p w:rsidR="001A5DF6" w:rsidRPr="00FF6AA6" w:rsidRDefault="001A5DF6" w:rsidP="00390A44">
      <w:pPr>
        <w:autoSpaceDE w:val="0"/>
        <w:autoSpaceDN w:val="0"/>
        <w:adjustRightInd w:val="0"/>
        <w:rPr>
          <w:color w:val="000000"/>
          <w:kern w:val="0"/>
          <w:sz w:val="20"/>
          <w:szCs w:val="20"/>
        </w:rPr>
      </w:pPr>
      <w:r w:rsidRPr="00FF6AA6">
        <w:rPr>
          <w:color w:val="000000"/>
          <w:kern w:val="0"/>
          <w:sz w:val="20"/>
          <w:szCs w:val="20"/>
        </w:rPr>
        <w:t xml:space="preserve">Panel B  Test for equality of post-listing CARs across subgroups </w:t>
      </w:r>
    </w:p>
    <w:tbl>
      <w:tblPr>
        <w:tblW w:w="8748" w:type="dxa"/>
        <w:tblBorders>
          <w:top w:val="single" w:sz="4" w:space="0" w:color="auto"/>
          <w:bottom w:val="single" w:sz="4" w:space="0" w:color="auto"/>
        </w:tblBorders>
        <w:tblLook w:val="01E0"/>
      </w:tblPr>
      <w:tblGrid>
        <w:gridCol w:w="2448"/>
        <w:gridCol w:w="2880"/>
        <w:gridCol w:w="3420"/>
      </w:tblGrid>
      <w:tr w:rsidR="001A5DF6" w:rsidRPr="00FF6AA6">
        <w:trPr>
          <w:trHeight w:val="238"/>
        </w:trPr>
        <w:tc>
          <w:tcPr>
            <w:tcW w:w="2448" w:type="dxa"/>
            <w:tcBorders>
              <w:top w:val="single" w:sz="4" w:space="0" w:color="auto"/>
              <w:left w:val="nil"/>
              <w:bottom w:val="single" w:sz="4" w:space="0" w:color="auto"/>
            </w:tcBorders>
          </w:tcPr>
          <w:p w:rsidR="001A5DF6" w:rsidRPr="00FF6AA6" w:rsidRDefault="001A5DF6" w:rsidP="001A5DF6">
            <w:pPr>
              <w:autoSpaceDE w:val="0"/>
              <w:autoSpaceDN w:val="0"/>
              <w:adjustRightInd w:val="0"/>
              <w:ind w:firstLineChars="150" w:firstLine="31680"/>
              <w:rPr>
                <w:color w:val="000000"/>
                <w:kern w:val="0"/>
                <w:sz w:val="16"/>
                <w:szCs w:val="16"/>
              </w:rPr>
            </w:pPr>
            <w:r w:rsidRPr="00FF6AA6">
              <w:rPr>
                <w:color w:val="000000"/>
                <w:kern w:val="0"/>
                <w:sz w:val="16"/>
                <w:szCs w:val="16"/>
              </w:rPr>
              <w:t>Test</w:t>
            </w:r>
          </w:p>
        </w:tc>
        <w:tc>
          <w:tcPr>
            <w:tcW w:w="2880" w:type="dxa"/>
            <w:tcBorders>
              <w:top w:val="single" w:sz="4" w:space="0" w:color="auto"/>
              <w:left w:val="nil"/>
              <w:bottom w:val="single" w:sz="4" w:space="0" w:color="auto"/>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Subgroups compared</w:t>
            </w:r>
          </w:p>
        </w:tc>
        <w:tc>
          <w:tcPr>
            <w:tcW w:w="3420" w:type="dxa"/>
            <w:tcBorders>
              <w:top w:val="single" w:sz="4" w:space="0" w:color="auto"/>
              <w:left w:val="nil"/>
              <w:bottom w:val="single" w:sz="4" w:space="0" w:color="auto"/>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Statistics</w:t>
            </w:r>
          </w:p>
        </w:tc>
      </w:tr>
      <w:tr w:rsidR="001A5DF6" w:rsidRPr="00FF6AA6">
        <w:tblPrEx>
          <w:tblBorders>
            <w:left w:val="single" w:sz="4" w:space="0" w:color="auto"/>
            <w:right w:val="single" w:sz="4" w:space="0" w:color="auto"/>
            <w:insideH w:val="single" w:sz="4" w:space="0" w:color="auto"/>
            <w:insideV w:val="single" w:sz="4" w:space="0" w:color="auto"/>
          </w:tblBorders>
        </w:tblPrEx>
        <w:trPr>
          <w:trHeight w:val="238"/>
        </w:trPr>
        <w:tc>
          <w:tcPr>
            <w:tcW w:w="2448" w:type="dxa"/>
            <w:tcBorders>
              <w:left w:val="nil"/>
              <w:right w:val="nil"/>
            </w:tcBorders>
          </w:tcPr>
          <w:p w:rsidR="001A5DF6" w:rsidRPr="00FF6AA6" w:rsidRDefault="001A5DF6" w:rsidP="001A5DF6">
            <w:pPr>
              <w:autoSpaceDE w:val="0"/>
              <w:autoSpaceDN w:val="0"/>
              <w:adjustRightInd w:val="0"/>
              <w:ind w:firstLineChars="150" w:firstLine="31680"/>
              <w:rPr>
                <w:color w:val="000000"/>
                <w:kern w:val="0"/>
                <w:sz w:val="16"/>
                <w:szCs w:val="16"/>
              </w:rPr>
            </w:pPr>
            <w:r w:rsidRPr="00FF6AA6">
              <w:rPr>
                <w:i/>
                <w:color w:val="000000"/>
                <w:kern w:val="0"/>
                <w:sz w:val="16"/>
                <w:szCs w:val="16"/>
              </w:rPr>
              <w:t>F</w:t>
            </w:r>
            <w:r w:rsidRPr="00FF6AA6">
              <w:rPr>
                <w:color w:val="000000"/>
                <w:kern w:val="0"/>
                <w:sz w:val="16"/>
                <w:szCs w:val="16"/>
              </w:rPr>
              <w:t>-test</w:t>
            </w:r>
          </w:p>
          <w:p w:rsidR="001A5DF6" w:rsidRPr="00FF6AA6" w:rsidRDefault="001A5DF6" w:rsidP="001A5DF6">
            <w:pPr>
              <w:autoSpaceDE w:val="0"/>
              <w:autoSpaceDN w:val="0"/>
              <w:adjustRightInd w:val="0"/>
              <w:ind w:firstLineChars="150" w:firstLine="31680"/>
              <w:rPr>
                <w:color w:val="000000"/>
                <w:kern w:val="0"/>
                <w:sz w:val="16"/>
                <w:szCs w:val="16"/>
              </w:rPr>
            </w:pPr>
            <w:r w:rsidRPr="00FF6AA6">
              <w:rPr>
                <w:color w:val="000000"/>
                <w:kern w:val="0"/>
                <w:sz w:val="16"/>
                <w:szCs w:val="16"/>
              </w:rPr>
              <w:t>Kruskal-Wallis test</w:t>
            </w:r>
          </w:p>
        </w:tc>
        <w:tc>
          <w:tcPr>
            <w:tcW w:w="2880" w:type="dxa"/>
            <w:tcBorders>
              <w:left w:val="nil"/>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 2 and 3</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1, 2 and 3</w:t>
            </w:r>
          </w:p>
        </w:tc>
        <w:tc>
          <w:tcPr>
            <w:tcW w:w="3420" w:type="dxa"/>
            <w:tcBorders>
              <w:left w:val="nil"/>
              <w:right w:val="nil"/>
            </w:tcBorders>
          </w:tcPr>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 xml:space="preserve"> 3.21**</w:t>
            </w:r>
          </w:p>
          <w:p w:rsidR="001A5DF6" w:rsidRPr="00FF6AA6" w:rsidRDefault="001A5DF6" w:rsidP="003D62C1">
            <w:pPr>
              <w:autoSpaceDE w:val="0"/>
              <w:autoSpaceDN w:val="0"/>
              <w:adjustRightInd w:val="0"/>
              <w:jc w:val="center"/>
              <w:rPr>
                <w:color w:val="000000"/>
                <w:kern w:val="0"/>
                <w:sz w:val="16"/>
                <w:szCs w:val="16"/>
              </w:rPr>
            </w:pPr>
            <w:r w:rsidRPr="00FF6AA6">
              <w:rPr>
                <w:color w:val="000000"/>
                <w:kern w:val="0"/>
                <w:sz w:val="16"/>
                <w:szCs w:val="16"/>
              </w:rPr>
              <w:t>0.10*</w:t>
            </w:r>
          </w:p>
        </w:tc>
      </w:tr>
    </w:tbl>
    <w:p w:rsidR="001A5DF6" w:rsidRPr="00FF6AA6" w:rsidRDefault="001A5DF6" w:rsidP="00341549">
      <w:pPr>
        <w:autoSpaceDE w:val="0"/>
        <w:autoSpaceDN w:val="0"/>
        <w:adjustRightInd w:val="0"/>
        <w:spacing w:line="360" w:lineRule="auto"/>
        <w:rPr>
          <w:b/>
          <w:color w:val="000000"/>
          <w:kern w:val="0"/>
          <w:sz w:val="20"/>
          <w:szCs w:val="20"/>
        </w:rPr>
      </w:pPr>
      <w:r w:rsidRPr="00FF6AA6">
        <w:rPr>
          <w:color w:val="000000"/>
          <w:kern w:val="0"/>
          <w:sz w:val="16"/>
          <w:szCs w:val="16"/>
        </w:rPr>
        <w:br w:type="page"/>
      </w:r>
      <w:r w:rsidRPr="00FF6AA6">
        <w:rPr>
          <w:b/>
          <w:color w:val="000000"/>
          <w:kern w:val="0"/>
          <w:sz w:val="20"/>
          <w:szCs w:val="20"/>
        </w:rPr>
        <w:t xml:space="preserve">Table 7  Regression results of post-listing CARs on prior insider sales </w:t>
      </w:r>
    </w:p>
    <w:p w:rsidR="001A5DF6" w:rsidRPr="00FF6AA6" w:rsidRDefault="001A5DF6" w:rsidP="00341549">
      <w:pPr>
        <w:jc w:val="both"/>
        <w:rPr>
          <w:color w:val="000000"/>
          <w:kern w:val="0"/>
          <w:sz w:val="20"/>
          <w:szCs w:val="20"/>
        </w:rPr>
      </w:pPr>
      <w:r w:rsidRPr="00FF6AA6">
        <w:rPr>
          <w:color w:val="000000"/>
          <w:kern w:val="0"/>
          <w:sz w:val="20"/>
          <w:szCs w:val="20"/>
        </w:rPr>
        <w:t xml:space="preserve">This table reports </w:t>
      </w:r>
      <w:r w:rsidRPr="00FF6AA6">
        <w:rPr>
          <w:color w:val="000000"/>
          <w:sz w:val="20"/>
          <w:szCs w:val="20"/>
        </w:rPr>
        <w:t>the association of prior insider sale transactions with post-listing stock returns</w:t>
      </w:r>
      <w:r w:rsidRPr="00FF6AA6">
        <w:rPr>
          <w:color w:val="000000"/>
          <w:kern w:val="0"/>
          <w:sz w:val="20"/>
          <w:szCs w:val="20"/>
        </w:rPr>
        <w:t xml:space="preserve">. The dependent variable, </w:t>
      </w:r>
      <w:r w:rsidRPr="00FF6AA6">
        <w:rPr>
          <w:i/>
          <w:color w:val="000000"/>
          <w:sz w:val="20"/>
          <w:szCs w:val="20"/>
        </w:rPr>
        <w:t>PostlistingCAR</w:t>
      </w:r>
      <w:r w:rsidRPr="00FF6AA6">
        <w:rPr>
          <w:color w:val="000000"/>
          <w:sz w:val="20"/>
          <w:szCs w:val="20"/>
        </w:rPr>
        <w:t>, is the post-listing period abnormal returns over 250 days after listing (t+2 to t+251).</w:t>
      </w:r>
      <w:r w:rsidRPr="00FF6AA6">
        <w:rPr>
          <w:i/>
          <w:color w:val="000000"/>
          <w:sz w:val="20"/>
          <w:szCs w:val="20"/>
        </w:rPr>
        <w:t xml:space="preserve"> InsiderSelling</w:t>
      </w:r>
      <w:r w:rsidRPr="00FF6AA6">
        <w:rPr>
          <w:color w:val="000000"/>
          <w:sz w:val="20"/>
          <w:szCs w:val="20"/>
        </w:rPr>
        <w:t xml:space="preserve"> is the number of insider sales reported in the one year period before the listing day; </w:t>
      </w:r>
      <w:r w:rsidRPr="00FF6AA6">
        <w:rPr>
          <w:i/>
          <w:color w:val="000000"/>
          <w:sz w:val="20"/>
          <w:szCs w:val="20"/>
        </w:rPr>
        <w:t>PrelistingCAR</w:t>
      </w:r>
      <w:r w:rsidRPr="00FF6AA6">
        <w:rPr>
          <w:color w:val="000000"/>
          <w:sz w:val="20"/>
          <w:szCs w:val="20"/>
        </w:rPr>
        <w:t xml:space="preserve"> is the pre-listing period abnormal returns over 250 days before listing (t-251 to t-2);</w:t>
      </w:r>
      <w:r w:rsidRPr="00FF6AA6">
        <w:rPr>
          <w:i/>
          <w:color w:val="000000"/>
          <w:sz w:val="20"/>
          <w:szCs w:val="20"/>
        </w:rPr>
        <w:t xml:space="preserve"> Size</w:t>
      </w:r>
      <w:r w:rsidRPr="00FF6AA6">
        <w:rPr>
          <w:color w:val="000000"/>
          <w:sz w:val="20"/>
          <w:szCs w:val="20"/>
        </w:rPr>
        <w:t xml:space="preserve"> is the log of market value of equity in the year prior to the listing; </w:t>
      </w:r>
      <w:r w:rsidRPr="00FF6AA6">
        <w:rPr>
          <w:i/>
          <w:color w:val="000000"/>
          <w:sz w:val="20"/>
          <w:szCs w:val="20"/>
        </w:rPr>
        <w:t>Ownership</w:t>
      </w:r>
      <w:r w:rsidRPr="00FF6AA6">
        <w:rPr>
          <w:color w:val="000000"/>
          <w:sz w:val="20"/>
          <w:szCs w:val="20"/>
        </w:rPr>
        <w:t xml:space="preserve"> is the percentage of holdings held by insiders in the year prior to the listing; </w:t>
      </w:r>
      <w:r w:rsidRPr="00FF6AA6">
        <w:rPr>
          <w:i/>
          <w:color w:val="000000"/>
          <w:sz w:val="20"/>
          <w:szCs w:val="20"/>
        </w:rPr>
        <w:t>Beta</w:t>
      </w:r>
      <w:r w:rsidRPr="00FF6AA6">
        <w:rPr>
          <w:color w:val="000000"/>
          <w:sz w:val="20"/>
          <w:szCs w:val="20"/>
        </w:rPr>
        <w:t xml:space="preserve"> is the systematic risk of the firm estimated by the market model over 250 days before listing; and </w:t>
      </w:r>
      <w:r w:rsidRPr="00FF6AA6">
        <w:rPr>
          <w:i/>
          <w:color w:val="000000"/>
          <w:sz w:val="20"/>
          <w:szCs w:val="20"/>
        </w:rPr>
        <w:t>Dindustry</w:t>
      </w:r>
      <w:r w:rsidRPr="00FF6AA6">
        <w:rPr>
          <w:color w:val="000000"/>
          <w:sz w:val="20"/>
          <w:szCs w:val="20"/>
        </w:rPr>
        <w:t xml:space="preserve"> is a dummy equal to one for firms classified in the electronics industry. VIF represents the variance inflation factor and is used to detect whether multicolinearity is a problem. </w:t>
      </w:r>
      <w:r w:rsidRPr="00FF6AA6">
        <w:rPr>
          <w:color w:val="000000"/>
          <w:kern w:val="0"/>
          <w:sz w:val="20"/>
          <w:szCs w:val="20"/>
        </w:rPr>
        <w:t xml:space="preserve">Figures in parentheses are </w:t>
      </w:r>
      <w:r w:rsidRPr="00FF6AA6">
        <w:rPr>
          <w:i/>
          <w:color w:val="000000"/>
          <w:kern w:val="0"/>
          <w:sz w:val="20"/>
          <w:szCs w:val="20"/>
        </w:rPr>
        <w:t>t-</w:t>
      </w:r>
      <w:r w:rsidRPr="00FF6AA6">
        <w:rPr>
          <w:color w:val="000000"/>
          <w:kern w:val="0"/>
          <w:sz w:val="20"/>
          <w:szCs w:val="20"/>
        </w:rPr>
        <w:t>values. *, ** and *** indicate statistical significant at the 0.01, 0.05 and 0.01 levels, respectively.</w:t>
      </w:r>
    </w:p>
    <w:tbl>
      <w:tblPr>
        <w:tblW w:w="7668" w:type="dxa"/>
        <w:tblBorders>
          <w:top w:val="single" w:sz="4" w:space="0" w:color="auto"/>
          <w:bottom w:val="single" w:sz="4" w:space="0" w:color="auto"/>
        </w:tblBorders>
        <w:tblLook w:val="01E0"/>
      </w:tblPr>
      <w:tblGrid>
        <w:gridCol w:w="2448"/>
        <w:gridCol w:w="1620"/>
        <w:gridCol w:w="1080"/>
        <w:gridCol w:w="1620"/>
        <w:gridCol w:w="900"/>
      </w:tblGrid>
      <w:tr w:rsidR="001A5DF6" w:rsidRPr="00FF6AA6">
        <w:trPr>
          <w:trHeight w:val="275"/>
        </w:trPr>
        <w:tc>
          <w:tcPr>
            <w:tcW w:w="2448" w:type="dxa"/>
            <w:vMerge w:val="restart"/>
            <w:tcBorders>
              <w:top w:val="single" w:sz="4" w:space="0" w:color="auto"/>
              <w:bottom w:val="nil"/>
            </w:tcBorders>
            <w:vAlign w:val="center"/>
          </w:tcPr>
          <w:p w:rsidR="001A5DF6" w:rsidRPr="00FF6AA6" w:rsidRDefault="001A5DF6" w:rsidP="003D62C1">
            <w:pPr>
              <w:autoSpaceDE w:val="0"/>
              <w:autoSpaceDN w:val="0"/>
              <w:adjustRightInd w:val="0"/>
              <w:jc w:val="both"/>
              <w:rPr>
                <w:color w:val="000000"/>
                <w:kern w:val="0"/>
                <w:sz w:val="20"/>
                <w:szCs w:val="20"/>
              </w:rPr>
            </w:pPr>
            <w:r w:rsidRPr="00FF6AA6">
              <w:rPr>
                <w:color w:val="000000"/>
                <w:kern w:val="0"/>
                <w:sz w:val="20"/>
                <w:szCs w:val="20"/>
              </w:rPr>
              <w:t xml:space="preserve"> Independent Variables</w:t>
            </w:r>
          </w:p>
        </w:tc>
        <w:tc>
          <w:tcPr>
            <w:tcW w:w="2700" w:type="dxa"/>
            <w:gridSpan w:val="2"/>
            <w:tcBorders>
              <w:top w:val="single" w:sz="4" w:space="0" w:color="auto"/>
              <w:bottom w:val="nil"/>
            </w:tcBorders>
          </w:tcPr>
          <w:p w:rsidR="001A5DF6" w:rsidRPr="00FF6AA6" w:rsidRDefault="001A5DF6" w:rsidP="001A5DF6">
            <w:pPr>
              <w:autoSpaceDE w:val="0"/>
              <w:autoSpaceDN w:val="0"/>
              <w:adjustRightInd w:val="0"/>
              <w:ind w:firstLineChars="50" w:firstLine="31680"/>
              <w:rPr>
                <w:color w:val="000000"/>
                <w:kern w:val="0"/>
                <w:sz w:val="20"/>
                <w:szCs w:val="20"/>
                <w:u w:val="single"/>
              </w:rPr>
            </w:pPr>
            <w:r w:rsidRPr="00FF6AA6">
              <w:rPr>
                <w:color w:val="000000"/>
                <w:kern w:val="0"/>
                <w:sz w:val="20"/>
                <w:szCs w:val="20"/>
                <w:u w:val="single"/>
              </w:rPr>
              <w:t xml:space="preserve">           Equation (2)           </w:t>
            </w:r>
          </w:p>
        </w:tc>
        <w:tc>
          <w:tcPr>
            <w:tcW w:w="2520" w:type="dxa"/>
            <w:gridSpan w:val="2"/>
            <w:tcBorders>
              <w:top w:val="single" w:sz="4" w:space="0" w:color="auto"/>
              <w:bottom w:val="nil"/>
            </w:tcBorders>
            <w:vAlign w:val="center"/>
          </w:tcPr>
          <w:p w:rsidR="001A5DF6" w:rsidRPr="00FF6AA6" w:rsidRDefault="001A5DF6" w:rsidP="001A5DF6">
            <w:pPr>
              <w:autoSpaceDE w:val="0"/>
              <w:autoSpaceDN w:val="0"/>
              <w:adjustRightInd w:val="0"/>
              <w:ind w:firstLineChars="50" w:firstLine="31680"/>
              <w:rPr>
                <w:color w:val="000000"/>
                <w:kern w:val="0"/>
                <w:sz w:val="20"/>
                <w:szCs w:val="20"/>
              </w:rPr>
            </w:pPr>
            <w:r w:rsidRPr="00FF6AA6">
              <w:rPr>
                <w:color w:val="000000"/>
                <w:kern w:val="0"/>
                <w:sz w:val="20"/>
                <w:szCs w:val="20"/>
                <w:u w:val="single"/>
              </w:rPr>
              <w:t xml:space="preserve">          Equation (3)         </w:t>
            </w:r>
          </w:p>
        </w:tc>
      </w:tr>
      <w:tr w:rsidR="001A5DF6" w:rsidRPr="00FF6AA6">
        <w:trPr>
          <w:trHeight w:val="438"/>
        </w:trPr>
        <w:tc>
          <w:tcPr>
            <w:tcW w:w="2448" w:type="dxa"/>
            <w:vMerge/>
            <w:tcBorders>
              <w:top w:val="nil"/>
              <w:bottom w:val="single" w:sz="4" w:space="0" w:color="auto"/>
            </w:tcBorders>
          </w:tcPr>
          <w:p w:rsidR="001A5DF6" w:rsidRPr="00FF6AA6" w:rsidRDefault="001A5DF6" w:rsidP="003D62C1">
            <w:pPr>
              <w:autoSpaceDE w:val="0"/>
              <w:autoSpaceDN w:val="0"/>
              <w:adjustRightInd w:val="0"/>
              <w:rPr>
                <w:color w:val="000000"/>
                <w:kern w:val="0"/>
                <w:sz w:val="20"/>
                <w:szCs w:val="20"/>
              </w:rPr>
            </w:pPr>
          </w:p>
        </w:tc>
        <w:tc>
          <w:tcPr>
            <w:tcW w:w="1620" w:type="dxa"/>
            <w:tcBorders>
              <w:top w:val="nil"/>
              <w:bottom w:val="single" w:sz="4" w:space="0" w:color="auto"/>
            </w:tcBorders>
            <w:vAlign w:val="center"/>
          </w:tcPr>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Estimates</w:t>
            </w:r>
          </w:p>
        </w:tc>
        <w:tc>
          <w:tcPr>
            <w:tcW w:w="1080" w:type="dxa"/>
            <w:tcBorders>
              <w:top w:val="nil"/>
              <w:bottom w:val="single" w:sz="4" w:space="0" w:color="auto"/>
            </w:tcBorders>
            <w:vAlign w:val="center"/>
          </w:tcPr>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VIF</w:t>
            </w:r>
          </w:p>
        </w:tc>
        <w:tc>
          <w:tcPr>
            <w:tcW w:w="1620" w:type="dxa"/>
            <w:tcBorders>
              <w:top w:val="nil"/>
              <w:bottom w:val="single" w:sz="4" w:space="0" w:color="auto"/>
              <w:right w:val="nil"/>
            </w:tcBorders>
            <w:vAlign w:val="center"/>
          </w:tcPr>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Estimates</w:t>
            </w:r>
          </w:p>
        </w:tc>
        <w:tc>
          <w:tcPr>
            <w:tcW w:w="900" w:type="dxa"/>
            <w:tcBorders>
              <w:top w:val="nil"/>
              <w:left w:val="nil"/>
              <w:bottom w:val="single" w:sz="4" w:space="0" w:color="auto"/>
            </w:tcBorders>
            <w:vAlign w:val="center"/>
          </w:tcPr>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VIF</w:t>
            </w:r>
          </w:p>
        </w:tc>
      </w:tr>
      <w:tr w:rsidR="001A5DF6" w:rsidRPr="00FF6AA6">
        <w:tc>
          <w:tcPr>
            <w:tcW w:w="2448" w:type="dxa"/>
            <w:tcBorders>
              <w:top w:val="single" w:sz="4" w:space="0" w:color="auto"/>
              <w:bottom w:val="single" w:sz="4" w:space="0" w:color="auto"/>
            </w:tcBorders>
          </w:tcPr>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Intercept</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InsiderSelling</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PrelistingCAR</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Size</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Ownership</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Beta</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Dindustry</w:t>
            </w:r>
          </w:p>
          <w:p w:rsidR="001A5DF6" w:rsidRPr="00FF6AA6" w:rsidRDefault="001A5DF6" w:rsidP="003D62C1">
            <w:pPr>
              <w:autoSpaceDE w:val="0"/>
              <w:autoSpaceDN w:val="0"/>
              <w:adjustRightInd w:val="0"/>
              <w:rPr>
                <w:color w:val="000000"/>
                <w:kern w:val="0"/>
                <w:sz w:val="20"/>
                <w:szCs w:val="20"/>
              </w:rPr>
            </w:pPr>
            <w:r w:rsidRPr="00FF6AA6">
              <w:rPr>
                <w:i/>
                <w:color w:val="000000"/>
                <w:kern w:val="0"/>
                <w:sz w:val="20"/>
                <w:szCs w:val="20"/>
              </w:rPr>
              <w:t>F-</w:t>
            </w:r>
            <w:r w:rsidRPr="00FF6AA6">
              <w:rPr>
                <w:color w:val="000000"/>
                <w:kern w:val="0"/>
                <w:sz w:val="20"/>
                <w:szCs w:val="20"/>
              </w:rPr>
              <w:t xml:space="preserve">statistic </w:t>
            </w:r>
          </w:p>
          <w:p w:rsidR="001A5DF6" w:rsidRPr="00FF6AA6" w:rsidRDefault="001A5DF6" w:rsidP="003D62C1">
            <w:pPr>
              <w:autoSpaceDE w:val="0"/>
              <w:autoSpaceDN w:val="0"/>
              <w:adjustRightInd w:val="0"/>
              <w:rPr>
                <w:color w:val="000000"/>
                <w:kern w:val="0"/>
                <w:sz w:val="20"/>
                <w:szCs w:val="20"/>
              </w:rPr>
            </w:pPr>
            <w:r w:rsidRPr="00FF6AA6">
              <w:rPr>
                <w:i/>
                <w:color w:val="000000"/>
                <w:kern w:val="0"/>
                <w:sz w:val="20"/>
                <w:szCs w:val="20"/>
              </w:rPr>
              <w:t>p</w:t>
            </w:r>
            <w:r w:rsidRPr="00FF6AA6">
              <w:rPr>
                <w:color w:val="000000"/>
                <w:kern w:val="0"/>
                <w:sz w:val="20"/>
                <w:szCs w:val="20"/>
              </w:rPr>
              <w:t>-value</w:t>
            </w:r>
          </w:p>
          <w:p w:rsidR="001A5DF6" w:rsidRPr="00FF6AA6" w:rsidRDefault="001A5DF6" w:rsidP="003D62C1">
            <w:pPr>
              <w:autoSpaceDE w:val="0"/>
              <w:autoSpaceDN w:val="0"/>
              <w:adjustRightInd w:val="0"/>
              <w:rPr>
                <w:color w:val="000000"/>
                <w:kern w:val="0"/>
                <w:sz w:val="20"/>
                <w:szCs w:val="20"/>
              </w:rPr>
            </w:pPr>
            <w:r w:rsidRPr="00FF6AA6">
              <w:rPr>
                <w:i/>
                <w:color w:val="000000"/>
                <w:kern w:val="0"/>
                <w:sz w:val="20"/>
                <w:szCs w:val="20"/>
              </w:rPr>
              <w:t>R</w:t>
            </w:r>
            <w:r w:rsidRPr="00FF6AA6">
              <w:rPr>
                <w:color w:val="000000"/>
                <w:kern w:val="0"/>
                <w:sz w:val="20"/>
                <w:szCs w:val="20"/>
                <w:vertAlign w:val="superscript"/>
              </w:rPr>
              <w:t>2</w:t>
            </w:r>
          </w:p>
          <w:p w:rsidR="001A5DF6" w:rsidRPr="00FF6AA6" w:rsidRDefault="001A5DF6" w:rsidP="003D62C1">
            <w:pPr>
              <w:autoSpaceDE w:val="0"/>
              <w:autoSpaceDN w:val="0"/>
              <w:adjustRightInd w:val="0"/>
              <w:rPr>
                <w:color w:val="000000"/>
                <w:kern w:val="0"/>
                <w:sz w:val="20"/>
                <w:szCs w:val="20"/>
              </w:rPr>
            </w:pPr>
            <w:r w:rsidRPr="00FF6AA6">
              <w:rPr>
                <w:color w:val="000000"/>
                <w:kern w:val="0"/>
                <w:sz w:val="20"/>
                <w:szCs w:val="20"/>
              </w:rPr>
              <w:t xml:space="preserve">Adj. </w:t>
            </w:r>
            <w:r w:rsidRPr="00FF6AA6">
              <w:rPr>
                <w:i/>
                <w:color w:val="000000"/>
                <w:kern w:val="0"/>
                <w:sz w:val="20"/>
                <w:szCs w:val="20"/>
              </w:rPr>
              <w:t>R</w:t>
            </w:r>
            <w:r w:rsidRPr="00FF6AA6">
              <w:rPr>
                <w:color w:val="000000"/>
                <w:kern w:val="0"/>
                <w:sz w:val="20"/>
                <w:szCs w:val="20"/>
                <w:vertAlign w:val="superscript"/>
              </w:rPr>
              <w:t>2</w:t>
            </w:r>
            <w:r w:rsidRPr="00FF6AA6">
              <w:rPr>
                <w:color w:val="000000"/>
                <w:kern w:val="0"/>
                <w:sz w:val="20"/>
                <w:szCs w:val="20"/>
              </w:rPr>
              <w:t xml:space="preserve">  </w:t>
            </w:r>
          </w:p>
          <w:p w:rsidR="001A5DF6" w:rsidRPr="00FF6AA6" w:rsidRDefault="001A5DF6" w:rsidP="003D62C1">
            <w:pPr>
              <w:autoSpaceDE w:val="0"/>
              <w:autoSpaceDN w:val="0"/>
              <w:adjustRightInd w:val="0"/>
              <w:rPr>
                <w:color w:val="000000"/>
                <w:kern w:val="0"/>
                <w:sz w:val="20"/>
                <w:szCs w:val="20"/>
              </w:rPr>
            </w:pPr>
            <w:r w:rsidRPr="00FF6AA6">
              <w:rPr>
                <w:color w:val="000000"/>
                <w:kern w:val="0"/>
                <w:sz w:val="20"/>
                <w:szCs w:val="20"/>
              </w:rPr>
              <w:t>Number of observations</w:t>
            </w:r>
          </w:p>
        </w:tc>
        <w:tc>
          <w:tcPr>
            <w:tcW w:w="1620" w:type="dxa"/>
            <w:tcBorders>
              <w:top w:val="single" w:sz="4" w:space="0" w:color="auto"/>
              <w:bottom w:val="single" w:sz="4" w:space="0" w:color="auto"/>
            </w:tcBorders>
          </w:tcPr>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r w:rsidRPr="00FF6AA6">
              <w:rPr>
                <w:color w:val="000000"/>
                <w:kern w:val="0"/>
                <w:sz w:val="20"/>
                <w:szCs w:val="20"/>
              </w:rPr>
              <w:t>-1.319 (-0.286)</w:t>
            </w: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r w:rsidRPr="00FF6AA6">
              <w:rPr>
                <w:color w:val="000000"/>
                <w:kern w:val="0"/>
                <w:sz w:val="20"/>
                <w:szCs w:val="20"/>
              </w:rPr>
              <w:t>-0.139 (-2.262**)</w:t>
            </w: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r w:rsidRPr="00FF6AA6">
              <w:rPr>
                <w:color w:val="000000"/>
                <w:kern w:val="0"/>
                <w:sz w:val="20"/>
                <w:szCs w:val="20"/>
              </w:rPr>
              <w:t>-0.514 (-8.371***)</w:t>
            </w: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r w:rsidRPr="00FF6AA6">
              <w:rPr>
                <w:color w:val="000000"/>
                <w:kern w:val="0"/>
                <w:sz w:val="20"/>
                <w:szCs w:val="20"/>
              </w:rPr>
              <w:t>39.126</w:t>
            </w: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r w:rsidRPr="00FF6AA6">
              <w:rPr>
                <w:color w:val="000000"/>
                <w:kern w:val="0"/>
                <w:sz w:val="20"/>
                <w:szCs w:val="20"/>
              </w:rPr>
              <w:t>0.000***</w:t>
            </w: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r w:rsidRPr="00FF6AA6">
              <w:rPr>
                <w:color w:val="000000"/>
                <w:kern w:val="0"/>
                <w:sz w:val="20"/>
                <w:szCs w:val="20"/>
              </w:rPr>
              <w:t>0.294</w:t>
            </w: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r w:rsidRPr="00FF6AA6">
              <w:rPr>
                <w:color w:val="000000"/>
                <w:kern w:val="0"/>
                <w:sz w:val="20"/>
                <w:szCs w:val="20"/>
              </w:rPr>
              <w:t>0.286</w:t>
            </w:r>
          </w:p>
          <w:p w:rsidR="001A5DF6" w:rsidRPr="00FF6AA6" w:rsidRDefault="001A5DF6" w:rsidP="001A5DF6">
            <w:pPr>
              <w:autoSpaceDE w:val="0"/>
              <w:autoSpaceDN w:val="0"/>
              <w:adjustRightInd w:val="0"/>
              <w:ind w:leftChars="-45" w:left="31680" w:rightChars="-45" w:right="31680" w:firstLineChars="18" w:firstLine="31680"/>
              <w:jc w:val="center"/>
              <w:rPr>
                <w:color w:val="000000"/>
                <w:kern w:val="0"/>
                <w:sz w:val="20"/>
                <w:szCs w:val="20"/>
              </w:rPr>
            </w:pPr>
            <w:r w:rsidRPr="00FF6AA6">
              <w:rPr>
                <w:color w:val="000000"/>
                <w:kern w:val="0"/>
                <w:sz w:val="20"/>
                <w:szCs w:val="20"/>
              </w:rPr>
              <w:t>191</w:t>
            </w:r>
          </w:p>
        </w:tc>
        <w:tc>
          <w:tcPr>
            <w:tcW w:w="1080"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20"/>
                <w:szCs w:val="20"/>
              </w:rPr>
            </w:pP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1.005</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1.005</w:t>
            </w:r>
          </w:p>
        </w:tc>
        <w:tc>
          <w:tcPr>
            <w:tcW w:w="1620" w:type="dxa"/>
            <w:tcBorders>
              <w:top w:val="single" w:sz="4" w:space="0" w:color="auto"/>
              <w:bottom w:val="single" w:sz="4" w:space="0" w:color="auto"/>
              <w:right w:val="nil"/>
            </w:tcBorders>
          </w:tcPr>
          <w:p w:rsidR="001A5DF6" w:rsidRPr="00FF6AA6" w:rsidRDefault="001A5DF6" w:rsidP="001A5DF6">
            <w:pPr>
              <w:autoSpaceDE w:val="0"/>
              <w:autoSpaceDN w:val="0"/>
              <w:adjustRightInd w:val="0"/>
              <w:ind w:leftChars="-45" w:left="31680" w:rightChars="-45" w:right="31680"/>
              <w:jc w:val="center"/>
              <w:rPr>
                <w:color w:val="000000"/>
                <w:kern w:val="0"/>
                <w:sz w:val="20"/>
                <w:szCs w:val="20"/>
              </w:rPr>
            </w:pPr>
            <w:r w:rsidRPr="00FF6AA6">
              <w:rPr>
                <w:color w:val="000000"/>
                <w:kern w:val="0"/>
                <w:sz w:val="20"/>
                <w:szCs w:val="20"/>
              </w:rPr>
              <w:t>-0.826 (-0.736)</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-0.143 (-2.251**)</w:t>
            </w:r>
          </w:p>
          <w:p w:rsidR="001A5DF6" w:rsidRPr="00FF6AA6" w:rsidRDefault="001A5DF6" w:rsidP="001A5DF6">
            <w:pPr>
              <w:autoSpaceDE w:val="0"/>
              <w:autoSpaceDN w:val="0"/>
              <w:adjustRightInd w:val="0"/>
              <w:ind w:leftChars="-45" w:left="31680" w:rightChars="-45" w:right="31680"/>
              <w:jc w:val="center"/>
              <w:rPr>
                <w:color w:val="000000"/>
                <w:kern w:val="0"/>
                <w:sz w:val="20"/>
                <w:szCs w:val="20"/>
              </w:rPr>
            </w:pPr>
            <w:r w:rsidRPr="00FF6AA6">
              <w:rPr>
                <w:color w:val="000000"/>
                <w:kern w:val="0"/>
                <w:sz w:val="20"/>
                <w:szCs w:val="20"/>
              </w:rPr>
              <w:t>-0.509 (-7.925***)</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0.033 (0.499)</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0.069 (1.070)</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-0.009 (-0.105)</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-0.008 (-0.088)</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13.072</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0.000***</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0.299</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0.276</w:t>
            </w:r>
          </w:p>
          <w:p w:rsidR="001A5DF6" w:rsidRPr="00FF6AA6" w:rsidRDefault="001A5DF6" w:rsidP="001A5DF6">
            <w:pPr>
              <w:autoSpaceDE w:val="0"/>
              <w:autoSpaceDN w:val="0"/>
              <w:adjustRightInd w:val="0"/>
              <w:ind w:leftChars="-45" w:left="31680" w:rightChars="-45" w:right="31680" w:firstLineChars="90" w:firstLine="31680"/>
              <w:jc w:val="center"/>
              <w:rPr>
                <w:color w:val="000000"/>
                <w:kern w:val="0"/>
                <w:sz w:val="20"/>
                <w:szCs w:val="20"/>
              </w:rPr>
            </w:pPr>
            <w:r w:rsidRPr="00FF6AA6">
              <w:rPr>
                <w:color w:val="000000"/>
                <w:kern w:val="0"/>
                <w:sz w:val="20"/>
                <w:szCs w:val="20"/>
              </w:rPr>
              <w:t>191</w:t>
            </w:r>
          </w:p>
        </w:tc>
        <w:tc>
          <w:tcPr>
            <w:tcW w:w="900" w:type="dxa"/>
            <w:tcBorders>
              <w:top w:val="single" w:sz="4" w:space="0" w:color="auto"/>
              <w:left w:val="nil"/>
              <w:bottom w:val="single" w:sz="4" w:space="0" w:color="auto"/>
            </w:tcBorders>
          </w:tcPr>
          <w:p w:rsidR="001A5DF6" w:rsidRPr="00FF6AA6" w:rsidRDefault="001A5DF6" w:rsidP="003D62C1">
            <w:pPr>
              <w:autoSpaceDE w:val="0"/>
              <w:autoSpaceDN w:val="0"/>
              <w:adjustRightInd w:val="0"/>
              <w:jc w:val="center"/>
              <w:rPr>
                <w:color w:val="000000"/>
                <w:kern w:val="0"/>
                <w:sz w:val="20"/>
                <w:szCs w:val="20"/>
              </w:rPr>
            </w:pP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1.062</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1.082</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1.174</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1.085</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1.976</w:t>
            </w:r>
          </w:p>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2.019</w:t>
            </w:r>
          </w:p>
          <w:p w:rsidR="001A5DF6" w:rsidRPr="00FF6AA6" w:rsidRDefault="001A5DF6" w:rsidP="003D62C1">
            <w:pPr>
              <w:autoSpaceDE w:val="0"/>
              <w:autoSpaceDN w:val="0"/>
              <w:adjustRightInd w:val="0"/>
              <w:jc w:val="center"/>
              <w:rPr>
                <w:color w:val="000000"/>
                <w:kern w:val="0"/>
                <w:sz w:val="20"/>
                <w:szCs w:val="20"/>
              </w:rPr>
            </w:pPr>
          </w:p>
          <w:p w:rsidR="001A5DF6" w:rsidRPr="00FF6AA6" w:rsidRDefault="001A5DF6" w:rsidP="003D62C1">
            <w:pPr>
              <w:autoSpaceDE w:val="0"/>
              <w:autoSpaceDN w:val="0"/>
              <w:adjustRightInd w:val="0"/>
              <w:jc w:val="center"/>
              <w:rPr>
                <w:color w:val="000000"/>
                <w:kern w:val="0"/>
                <w:sz w:val="20"/>
                <w:szCs w:val="20"/>
              </w:rPr>
            </w:pPr>
          </w:p>
        </w:tc>
      </w:tr>
    </w:tbl>
    <w:p w:rsidR="001A5DF6" w:rsidRPr="00FF6AA6" w:rsidRDefault="001A5DF6" w:rsidP="0060246D">
      <w:pPr>
        <w:autoSpaceDE w:val="0"/>
        <w:autoSpaceDN w:val="0"/>
        <w:adjustRightInd w:val="0"/>
        <w:spacing w:line="360" w:lineRule="auto"/>
        <w:outlineLvl w:val="0"/>
        <w:rPr>
          <w:rFonts w:eastAsia="System"/>
          <w:b/>
          <w:bCs/>
          <w:color w:val="000000"/>
          <w:kern w:val="0"/>
          <w:sz w:val="20"/>
          <w:szCs w:val="20"/>
        </w:rPr>
      </w:pPr>
      <w:r w:rsidRPr="00FF6AA6">
        <w:rPr>
          <w:color w:val="000000"/>
          <w:kern w:val="0"/>
          <w:sz w:val="16"/>
          <w:szCs w:val="16"/>
        </w:rPr>
        <w:br w:type="page"/>
      </w:r>
      <w:r w:rsidRPr="00FF6AA6">
        <w:rPr>
          <w:rFonts w:eastAsia="System"/>
          <w:b/>
          <w:bCs/>
          <w:color w:val="000000"/>
          <w:kern w:val="0"/>
          <w:sz w:val="20"/>
          <w:szCs w:val="20"/>
        </w:rPr>
        <w:t>Table 8  N</w:t>
      </w:r>
      <w:r w:rsidRPr="00FF6AA6">
        <w:rPr>
          <w:rFonts w:ascii="AdvTT5843c571" w:hAnsi="AdvTT5843c571" w:cs="AdvTT5843c571"/>
          <w:b/>
          <w:color w:val="000000"/>
          <w:kern w:val="0"/>
          <w:sz w:val="20"/>
          <w:szCs w:val="20"/>
        </w:rPr>
        <w:t>egative binomial regression</w:t>
      </w:r>
      <w:r w:rsidRPr="00FF6AA6">
        <w:rPr>
          <w:rFonts w:eastAsia="System"/>
          <w:b/>
          <w:bCs/>
          <w:color w:val="000000"/>
          <w:kern w:val="0"/>
          <w:sz w:val="20"/>
          <w:szCs w:val="20"/>
        </w:rPr>
        <w:t xml:space="preserve"> results of factors affecting insider sales before listing  </w:t>
      </w:r>
    </w:p>
    <w:p w:rsidR="001A5DF6" w:rsidRPr="00FF6AA6" w:rsidRDefault="001A5DF6" w:rsidP="0022427F">
      <w:pPr>
        <w:jc w:val="both"/>
        <w:rPr>
          <w:rFonts w:eastAsia="System"/>
          <w:bCs/>
          <w:color w:val="000000"/>
          <w:kern w:val="0"/>
          <w:sz w:val="20"/>
          <w:szCs w:val="20"/>
        </w:rPr>
      </w:pPr>
      <w:r w:rsidRPr="00FF6AA6">
        <w:rPr>
          <w:color w:val="000000"/>
          <w:kern w:val="0"/>
          <w:sz w:val="20"/>
          <w:szCs w:val="20"/>
        </w:rPr>
        <w:t xml:space="preserve">This table reports regression results of factors affecting insider sales before listing </w:t>
      </w:r>
      <w:r w:rsidRPr="00FF6AA6">
        <w:rPr>
          <w:rFonts w:eastAsia="System"/>
          <w:bCs/>
          <w:color w:val="000000"/>
          <w:kern w:val="0"/>
          <w:sz w:val="20"/>
          <w:szCs w:val="20"/>
        </w:rPr>
        <w:t>based on the negative binomial model</w:t>
      </w:r>
      <w:r w:rsidRPr="00FF6AA6">
        <w:rPr>
          <w:color w:val="000000"/>
          <w:kern w:val="0"/>
          <w:sz w:val="20"/>
          <w:szCs w:val="20"/>
        </w:rPr>
        <w:t xml:space="preserve">. The dependent variable, </w:t>
      </w:r>
      <w:r w:rsidRPr="00FF6AA6">
        <w:rPr>
          <w:i/>
          <w:color w:val="000000"/>
          <w:sz w:val="20"/>
          <w:szCs w:val="20"/>
        </w:rPr>
        <w:t>InsiderSelling</w:t>
      </w:r>
      <w:r w:rsidRPr="00FF6AA6">
        <w:rPr>
          <w:color w:val="000000"/>
          <w:sz w:val="20"/>
          <w:szCs w:val="20"/>
        </w:rPr>
        <w:t xml:space="preserve">, is the number of insider sales reported in the one year period before the listing day; </w:t>
      </w:r>
      <w:r w:rsidRPr="00FF6AA6">
        <w:rPr>
          <w:i/>
          <w:color w:val="000000"/>
          <w:sz w:val="20"/>
          <w:szCs w:val="20"/>
        </w:rPr>
        <w:t>PrelistingCAR</w:t>
      </w:r>
      <w:r w:rsidRPr="00FF6AA6">
        <w:rPr>
          <w:color w:val="000000"/>
          <w:sz w:val="20"/>
          <w:szCs w:val="20"/>
        </w:rPr>
        <w:t xml:space="preserve"> is the pre-listing period abnormal returns over 250 days before listing (t-251 to t-2);</w:t>
      </w:r>
      <w:r w:rsidRPr="00FF6AA6">
        <w:rPr>
          <w:i/>
          <w:color w:val="000000"/>
          <w:sz w:val="20"/>
          <w:szCs w:val="20"/>
        </w:rPr>
        <w:t xml:space="preserve"> PostlistingCAR</w:t>
      </w:r>
      <w:r w:rsidRPr="00FF6AA6">
        <w:rPr>
          <w:color w:val="000000"/>
          <w:sz w:val="20"/>
          <w:szCs w:val="20"/>
        </w:rPr>
        <w:t xml:space="preserve"> is the post-listing period abnormal returns over 250 days after listing (t+2 to t+251); </w:t>
      </w:r>
      <w:r w:rsidRPr="00FF6AA6">
        <w:rPr>
          <w:i/>
          <w:color w:val="000000"/>
          <w:sz w:val="20"/>
          <w:szCs w:val="20"/>
        </w:rPr>
        <w:t>Size</w:t>
      </w:r>
      <w:r w:rsidRPr="00FF6AA6">
        <w:rPr>
          <w:color w:val="000000"/>
          <w:sz w:val="20"/>
          <w:szCs w:val="20"/>
        </w:rPr>
        <w:t xml:space="preserve"> is the log of market value of equity in the year prior to the listing; </w:t>
      </w:r>
      <w:r w:rsidRPr="00FF6AA6">
        <w:rPr>
          <w:i/>
          <w:color w:val="000000"/>
          <w:sz w:val="20"/>
          <w:szCs w:val="20"/>
        </w:rPr>
        <w:t>Ownership</w:t>
      </w:r>
      <w:r w:rsidRPr="00FF6AA6">
        <w:rPr>
          <w:color w:val="000000"/>
          <w:sz w:val="20"/>
          <w:szCs w:val="20"/>
        </w:rPr>
        <w:t xml:space="preserve"> is the percentage of holdings held by insiders in the year prior to the listing; and </w:t>
      </w:r>
      <w:r w:rsidRPr="00FF6AA6">
        <w:rPr>
          <w:i/>
          <w:color w:val="000000"/>
          <w:sz w:val="20"/>
          <w:szCs w:val="20"/>
        </w:rPr>
        <w:t>Dindustry</w:t>
      </w:r>
      <w:r w:rsidRPr="00FF6AA6">
        <w:rPr>
          <w:i/>
          <w:color w:val="000000"/>
          <w:sz w:val="20"/>
          <w:szCs w:val="20"/>
          <w:vertAlign w:val="subscript"/>
        </w:rPr>
        <w:t>i</w:t>
      </w:r>
      <w:r w:rsidRPr="00FF6AA6">
        <w:rPr>
          <w:color w:val="000000"/>
          <w:sz w:val="20"/>
          <w:szCs w:val="20"/>
        </w:rPr>
        <w:t xml:space="preserve"> is a dummy equal to one for firms classified in electronics industry. </w:t>
      </w:r>
      <w:r w:rsidRPr="00FF6AA6">
        <w:rPr>
          <w:color w:val="000000"/>
          <w:kern w:val="0"/>
          <w:sz w:val="20"/>
          <w:szCs w:val="20"/>
        </w:rPr>
        <w:t xml:space="preserve">Figures in parentheses are </w:t>
      </w:r>
      <w:r w:rsidRPr="00FF6AA6">
        <w:rPr>
          <w:i/>
          <w:color w:val="000000"/>
          <w:kern w:val="0"/>
          <w:sz w:val="20"/>
          <w:szCs w:val="20"/>
        </w:rPr>
        <w:t>t-</w:t>
      </w:r>
      <w:r w:rsidRPr="00FF6AA6">
        <w:rPr>
          <w:color w:val="000000"/>
          <w:kern w:val="0"/>
          <w:sz w:val="20"/>
          <w:szCs w:val="20"/>
        </w:rPr>
        <w:t>values. *, ** and *** indicate statistical significant at the 0.1, 0.05 and 0.01 levels, respectively.</w:t>
      </w:r>
    </w:p>
    <w:tbl>
      <w:tblPr>
        <w:tblW w:w="6660" w:type="dxa"/>
        <w:tblInd w:w="108" w:type="dxa"/>
        <w:tblBorders>
          <w:top w:val="single" w:sz="4" w:space="0" w:color="auto"/>
          <w:bottom w:val="single" w:sz="4" w:space="0" w:color="auto"/>
        </w:tblBorders>
        <w:tblLook w:val="01E0"/>
      </w:tblPr>
      <w:tblGrid>
        <w:gridCol w:w="2700"/>
        <w:gridCol w:w="3960"/>
      </w:tblGrid>
      <w:tr w:rsidR="001A5DF6" w:rsidRPr="00FF6AA6">
        <w:trPr>
          <w:trHeight w:val="413"/>
        </w:trPr>
        <w:tc>
          <w:tcPr>
            <w:tcW w:w="2700" w:type="dxa"/>
            <w:tcBorders>
              <w:top w:val="single" w:sz="4" w:space="0" w:color="auto"/>
              <w:bottom w:val="single" w:sz="4" w:space="0" w:color="auto"/>
            </w:tcBorders>
          </w:tcPr>
          <w:p w:rsidR="001A5DF6" w:rsidRPr="00FF6AA6" w:rsidRDefault="001A5DF6" w:rsidP="003D62C1">
            <w:pPr>
              <w:autoSpaceDE w:val="0"/>
              <w:autoSpaceDN w:val="0"/>
              <w:adjustRightInd w:val="0"/>
              <w:rPr>
                <w:color w:val="000000"/>
                <w:kern w:val="0"/>
                <w:sz w:val="20"/>
                <w:szCs w:val="20"/>
              </w:rPr>
            </w:pPr>
            <w:r w:rsidRPr="00FF6AA6">
              <w:rPr>
                <w:rFonts w:eastAsia="System"/>
                <w:bCs/>
                <w:color w:val="000000"/>
                <w:kern w:val="0"/>
                <w:sz w:val="20"/>
                <w:szCs w:val="20"/>
              </w:rPr>
              <w:t xml:space="preserve">  </w:t>
            </w:r>
            <w:r w:rsidRPr="00FF6AA6">
              <w:rPr>
                <w:color w:val="000000"/>
                <w:kern w:val="0"/>
                <w:sz w:val="20"/>
                <w:szCs w:val="20"/>
              </w:rPr>
              <w:t>Independent Variables</w:t>
            </w:r>
          </w:p>
        </w:tc>
        <w:tc>
          <w:tcPr>
            <w:tcW w:w="3960" w:type="dxa"/>
            <w:tcBorders>
              <w:top w:val="single" w:sz="4" w:space="0" w:color="auto"/>
              <w:bottom w:val="single" w:sz="4" w:space="0" w:color="auto"/>
            </w:tcBorders>
          </w:tcPr>
          <w:p w:rsidR="001A5DF6" w:rsidRPr="00FF6AA6" w:rsidRDefault="001A5DF6" w:rsidP="003D62C1">
            <w:pPr>
              <w:autoSpaceDE w:val="0"/>
              <w:autoSpaceDN w:val="0"/>
              <w:adjustRightInd w:val="0"/>
              <w:jc w:val="center"/>
              <w:rPr>
                <w:color w:val="000000"/>
                <w:kern w:val="0"/>
                <w:sz w:val="20"/>
                <w:szCs w:val="20"/>
              </w:rPr>
            </w:pPr>
            <w:r w:rsidRPr="00FF6AA6">
              <w:rPr>
                <w:color w:val="000000"/>
                <w:kern w:val="0"/>
                <w:sz w:val="20"/>
                <w:szCs w:val="20"/>
              </w:rPr>
              <w:t>Estimates</w:t>
            </w:r>
          </w:p>
        </w:tc>
      </w:tr>
      <w:tr w:rsidR="001A5DF6" w:rsidRPr="00FF6AA6">
        <w:tc>
          <w:tcPr>
            <w:tcW w:w="2700" w:type="dxa"/>
            <w:tcBorders>
              <w:top w:val="single" w:sz="4" w:space="0" w:color="auto"/>
              <w:bottom w:val="single" w:sz="4" w:space="0" w:color="auto"/>
            </w:tcBorders>
          </w:tcPr>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Intercept</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PrelistingCAR</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PostlistingCAR</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Size</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Ownership</w:t>
            </w:r>
          </w:p>
          <w:p w:rsidR="001A5DF6" w:rsidRPr="00FF6AA6" w:rsidRDefault="001A5DF6" w:rsidP="003D62C1">
            <w:pPr>
              <w:autoSpaceDE w:val="0"/>
              <w:autoSpaceDN w:val="0"/>
              <w:adjustRightInd w:val="0"/>
              <w:rPr>
                <w:i/>
                <w:color w:val="000000"/>
                <w:kern w:val="0"/>
                <w:sz w:val="20"/>
                <w:szCs w:val="20"/>
              </w:rPr>
            </w:pPr>
            <w:r w:rsidRPr="00FF6AA6">
              <w:rPr>
                <w:i/>
                <w:color w:val="000000"/>
                <w:kern w:val="0"/>
                <w:sz w:val="20"/>
                <w:szCs w:val="20"/>
              </w:rPr>
              <w:t>Dindustry</w:t>
            </w:r>
          </w:p>
          <w:p w:rsidR="001A5DF6" w:rsidRPr="00FF6AA6" w:rsidRDefault="001A5DF6" w:rsidP="003D62C1">
            <w:pPr>
              <w:autoSpaceDE w:val="0"/>
              <w:autoSpaceDN w:val="0"/>
              <w:adjustRightInd w:val="0"/>
              <w:rPr>
                <w:color w:val="000000"/>
                <w:kern w:val="0"/>
                <w:sz w:val="20"/>
                <w:szCs w:val="20"/>
              </w:rPr>
            </w:pPr>
            <w:r w:rsidRPr="00FF6AA6">
              <w:rPr>
                <w:i/>
                <w:color w:val="000000"/>
                <w:kern w:val="0"/>
                <w:sz w:val="20"/>
                <w:szCs w:val="20"/>
              </w:rPr>
              <w:t>LR-</w:t>
            </w:r>
            <w:r w:rsidRPr="00FF6AA6">
              <w:rPr>
                <w:color w:val="000000"/>
                <w:kern w:val="0"/>
                <w:sz w:val="20"/>
                <w:szCs w:val="20"/>
              </w:rPr>
              <w:t xml:space="preserve">statistic </w:t>
            </w:r>
          </w:p>
          <w:p w:rsidR="001A5DF6" w:rsidRPr="00FF6AA6" w:rsidRDefault="001A5DF6" w:rsidP="003D62C1">
            <w:pPr>
              <w:autoSpaceDE w:val="0"/>
              <w:autoSpaceDN w:val="0"/>
              <w:adjustRightInd w:val="0"/>
              <w:rPr>
                <w:color w:val="000000"/>
                <w:kern w:val="0"/>
                <w:sz w:val="20"/>
                <w:szCs w:val="20"/>
              </w:rPr>
            </w:pPr>
            <w:r w:rsidRPr="00FF6AA6">
              <w:rPr>
                <w:i/>
                <w:color w:val="000000"/>
                <w:kern w:val="0"/>
                <w:sz w:val="20"/>
                <w:szCs w:val="20"/>
              </w:rPr>
              <w:t>p</w:t>
            </w:r>
            <w:r w:rsidRPr="00FF6AA6">
              <w:rPr>
                <w:color w:val="000000"/>
                <w:kern w:val="0"/>
                <w:sz w:val="20"/>
                <w:szCs w:val="20"/>
              </w:rPr>
              <w:t>-value</w:t>
            </w:r>
          </w:p>
          <w:p w:rsidR="001A5DF6" w:rsidRPr="00FF6AA6" w:rsidRDefault="001A5DF6" w:rsidP="003D62C1">
            <w:pPr>
              <w:autoSpaceDE w:val="0"/>
              <w:autoSpaceDN w:val="0"/>
              <w:adjustRightInd w:val="0"/>
              <w:rPr>
                <w:color w:val="000000"/>
                <w:kern w:val="0"/>
                <w:sz w:val="20"/>
                <w:szCs w:val="20"/>
              </w:rPr>
            </w:pPr>
            <w:r w:rsidRPr="00FF6AA6">
              <w:rPr>
                <w:i/>
                <w:color w:val="000000"/>
                <w:kern w:val="0"/>
                <w:sz w:val="20"/>
                <w:szCs w:val="20"/>
              </w:rPr>
              <w:t>R</w:t>
            </w:r>
            <w:r w:rsidRPr="00FF6AA6">
              <w:rPr>
                <w:color w:val="000000"/>
                <w:kern w:val="0"/>
                <w:sz w:val="20"/>
                <w:szCs w:val="20"/>
                <w:vertAlign w:val="superscript"/>
              </w:rPr>
              <w:t>2</w:t>
            </w:r>
          </w:p>
          <w:p w:rsidR="001A5DF6" w:rsidRPr="00FF6AA6" w:rsidRDefault="001A5DF6" w:rsidP="003D62C1">
            <w:pPr>
              <w:autoSpaceDE w:val="0"/>
              <w:autoSpaceDN w:val="0"/>
              <w:adjustRightInd w:val="0"/>
              <w:rPr>
                <w:color w:val="000000"/>
                <w:kern w:val="0"/>
                <w:sz w:val="20"/>
                <w:szCs w:val="20"/>
              </w:rPr>
            </w:pPr>
            <w:r w:rsidRPr="00FF6AA6">
              <w:rPr>
                <w:color w:val="000000"/>
                <w:kern w:val="0"/>
                <w:sz w:val="20"/>
                <w:szCs w:val="20"/>
              </w:rPr>
              <w:t xml:space="preserve">Adj. </w:t>
            </w:r>
            <w:r w:rsidRPr="00FF6AA6">
              <w:rPr>
                <w:i/>
                <w:color w:val="000000"/>
                <w:kern w:val="0"/>
                <w:sz w:val="20"/>
                <w:szCs w:val="20"/>
              </w:rPr>
              <w:t>R</w:t>
            </w:r>
            <w:r w:rsidRPr="00FF6AA6">
              <w:rPr>
                <w:color w:val="000000"/>
                <w:kern w:val="0"/>
                <w:sz w:val="20"/>
                <w:szCs w:val="20"/>
                <w:vertAlign w:val="superscript"/>
              </w:rPr>
              <w:t>2</w:t>
            </w:r>
          </w:p>
          <w:p w:rsidR="001A5DF6" w:rsidRPr="00FF6AA6" w:rsidRDefault="001A5DF6" w:rsidP="003D62C1">
            <w:pPr>
              <w:autoSpaceDE w:val="0"/>
              <w:autoSpaceDN w:val="0"/>
              <w:adjustRightInd w:val="0"/>
              <w:rPr>
                <w:color w:val="000000"/>
                <w:kern w:val="0"/>
                <w:sz w:val="20"/>
                <w:szCs w:val="20"/>
              </w:rPr>
            </w:pPr>
            <w:r w:rsidRPr="00FF6AA6">
              <w:rPr>
                <w:color w:val="000000"/>
                <w:kern w:val="0"/>
                <w:sz w:val="20"/>
                <w:szCs w:val="20"/>
              </w:rPr>
              <w:t>Number of observations</w:t>
            </w:r>
          </w:p>
        </w:tc>
        <w:tc>
          <w:tcPr>
            <w:tcW w:w="3960" w:type="dxa"/>
            <w:tcBorders>
              <w:top w:val="single" w:sz="4" w:space="0" w:color="auto"/>
              <w:bottom w:val="single" w:sz="4" w:space="0" w:color="auto"/>
            </w:tcBorders>
          </w:tcPr>
          <w:p w:rsidR="001A5DF6" w:rsidRPr="00FF6AA6" w:rsidRDefault="001A5DF6" w:rsidP="001A5DF6">
            <w:pPr>
              <w:autoSpaceDE w:val="0"/>
              <w:autoSpaceDN w:val="0"/>
              <w:adjustRightInd w:val="0"/>
              <w:ind w:leftChars="330" w:left="31680"/>
              <w:rPr>
                <w:color w:val="000000"/>
                <w:kern w:val="0"/>
                <w:sz w:val="20"/>
                <w:szCs w:val="20"/>
              </w:rPr>
            </w:pPr>
            <w:r w:rsidRPr="00FF6AA6">
              <w:rPr>
                <w:color w:val="000000"/>
                <w:kern w:val="0"/>
                <w:sz w:val="20"/>
                <w:szCs w:val="20"/>
              </w:rPr>
              <w:t>-2.064 (-2.015**)</w:t>
            </w:r>
          </w:p>
          <w:p w:rsidR="001A5DF6" w:rsidRPr="00FF6AA6" w:rsidRDefault="001A5DF6" w:rsidP="001A5DF6">
            <w:pPr>
              <w:autoSpaceDE w:val="0"/>
              <w:autoSpaceDN w:val="0"/>
              <w:adjustRightInd w:val="0"/>
              <w:ind w:leftChars="330" w:left="31680"/>
              <w:rPr>
                <w:color w:val="000000"/>
                <w:kern w:val="0"/>
                <w:sz w:val="20"/>
                <w:szCs w:val="20"/>
              </w:rPr>
            </w:pPr>
            <w:r w:rsidRPr="00FF6AA6">
              <w:rPr>
                <w:color w:val="000000"/>
                <w:kern w:val="0"/>
                <w:sz w:val="20"/>
                <w:szCs w:val="20"/>
              </w:rPr>
              <w:t>-0.0002 (-0.096)</w:t>
            </w:r>
          </w:p>
          <w:p w:rsidR="001A5DF6" w:rsidRPr="00FF6AA6" w:rsidRDefault="001A5DF6" w:rsidP="001A5DF6">
            <w:pPr>
              <w:autoSpaceDE w:val="0"/>
              <w:autoSpaceDN w:val="0"/>
              <w:adjustRightInd w:val="0"/>
              <w:ind w:leftChars="330" w:left="31680"/>
              <w:rPr>
                <w:color w:val="000000"/>
                <w:kern w:val="0"/>
                <w:sz w:val="20"/>
                <w:szCs w:val="20"/>
              </w:rPr>
            </w:pPr>
            <w:r w:rsidRPr="00FF6AA6">
              <w:rPr>
                <w:color w:val="000000"/>
                <w:kern w:val="0"/>
                <w:sz w:val="20"/>
                <w:szCs w:val="20"/>
              </w:rPr>
              <w:t>-0.035 (-1.937*)</w:t>
            </w:r>
          </w:p>
          <w:p w:rsidR="001A5DF6" w:rsidRPr="00FF6AA6" w:rsidRDefault="001A5DF6" w:rsidP="001A5DF6">
            <w:pPr>
              <w:autoSpaceDE w:val="0"/>
              <w:autoSpaceDN w:val="0"/>
              <w:adjustRightInd w:val="0"/>
              <w:ind w:leftChars="330" w:left="31680" w:firstLineChars="50" w:firstLine="31680"/>
              <w:rPr>
                <w:color w:val="000000"/>
                <w:kern w:val="0"/>
                <w:sz w:val="20"/>
                <w:szCs w:val="20"/>
              </w:rPr>
            </w:pPr>
            <w:r w:rsidRPr="00FF6AA6">
              <w:rPr>
                <w:color w:val="000000"/>
                <w:kern w:val="0"/>
                <w:sz w:val="20"/>
                <w:szCs w:val="20"/>
              </w:rPr>
              <w:t>0.337 (3.070***)</w:t>
            </w:r>
          </w:p>
          <w:p w:rsidR="001A5DF6" w:rsidRPr="00FF6AA6" w:rsidRDefault="001A5DF6" w:rsidP="001A5DF6">
            <w:pPr>
              <w:autoSpaceDE w:val="0"/>
              <w:autoSpaceDN w:val="0"/>
              <w:adjustRightInd w:val="0"/>
              <w:ind w:leftChars="330" w:left="31680" w:firstLineChars="50" w:firstLine="31680"/>
              <w:rPr>
                <w:color w:val="000000"/>
                <w:kern w:val="0"/>
                <w:sz w:val="20"/>
                <w:szCs w:val="20"/>
              </w:rPr>
            </w:pPr>
            <w:r w:rsidRPr="00FF6AA6">
              <w:rPr>
                <w:color w:val="000000"/>
                <w:kern w:val="0"/>
                <w:sz w:val="20"/>
                <w:szCs w:val="20"/>
              </w:rPr>
              <w:t>0.007 (0.885)</w:t>
            </w:r>
          </w:p>
          <w:p w:rsidR="001A5DF6" w:rsidRPr="00FF6AA6" w:rsidRDefault="001A5DF6" w:rsidP="001A5DF6">
            <w:pPr>
              <w:autoSpaceDE w:val="0"/>
              <w:autoSpaceDN w:val="0"/>
              <w:adjustRightInd w:val="0"/>
              <w:ind w:leftChars="330" w:left="31680"/>
              <w:rPr>
                <w:color w:val="000000"/>
                <w:kern w:val="0"/>
                <w:sz w:val="20"/>
                <w:szCs w:val="20"/>
              </w:rPr>
            </w:pPr>
            <w:r w:rsidRPr="00FF6AA6">
              <w:rPr>
                <w:color w:val="000000"/>
                <w:kern w:val="0"/>
                <w:sz w:val="20"/>
                <w:szCs w:val="20"/>
              </w:rPr>
              <w:t>-0.442 (-2.011**)</w:t>
            </w:r>
          </w:p>
          <w:p w:rsidR="001A5DF6" w:rsidRPr="00FF6AA6" w:rsidRDefault="001A5DF6" w:rsidP="001A5DF6">
            <w:pPr>
              <w:autoSpaceDE w:val="0"/>
              <w:autoSpaceDN w:val="0"/>
              <w:adjustRightInd w:val="0"/>
              <w:ind w:leftChars="330" w:left="31680" w:firstLineChars="50" w:firstLine="31680"/>
              <w:rPr>
                <w:color w:val="000000"/>
                <w:kern w:val="0"/>
                <w:sz w:val="20"/>
                <w:szCs w:val="20"/>
              </w:rPr>
            </w:pPr>
            <w:r w:rsidRPr="00FF6AA6">
              <w:rPr>
                <w:color w:val="000000"/>
                <w:kern w:val="0"/>
                <w:sz w:val="20"/>
                <w:szCs w:val="20"/>
              </w:rPr>
              <w:t>125.455</w:t>
            </w:r>
          </w:p>
          <w:p w:rsidR="001A5DF6" w:rsidRPr="00FF6AA6" w:rsidRDefault="001A5DF6" w:rsidP="001A5DF6">
            <w:pPr>
              <w:autoSpaceDE w:val="0"/>
              <w:autoSpaceDN w:val="0"/>
              <w:adjustRightInd w:val="0"/>
              <w:ind w:leftChars="330" w:left="31680" w:firstLineChars="50" w:firstLine="31680"/>
              <w:rPr>
                <w:color w:val="000000"/>
                <w:kern w:val="0"/>
                <w:sz w:val="20"/>
                <w:szCs w:val="20"/>
              </w:rPr>
            </w:pPr>
            <w:r w:rsidRPr="00FF6AA6">
              <w:rPr>
                <w:color w:val="000000"/>
                <w:kern w:val="0"/>
                <w:sz w:val="20"/>
                <w:szCs w:val="20"/>
              </w:rPr>
              <w:t>0.000***</w:t>
            </w:r>
          </w:p>
          <w:p w:rsidR="001A5DF6" w:rsidRPr="00FF6AA6" w:rsidRDefault="001A5DF6" w:rsidP="001A5DF6">
            <w:pPr>
              <w:autoSpaceDE w:val="0"/>
              <w:autoSpaceDN w:val="0"/>
              <w:adjustRightInd w:val="0"/>
              <w:ind w:leftChars="330" w:left="31680" w:firstLineChars="50" w:firstLine="31680"/>
              <w:rPr>
                <w:color w:val="000000"/>
                <w:kern w:val="0"/>
                <w:sz w:val="20"/>
                <w:szCs w:val="20"/>
              </w:rPr>
            </w:pPr>
            <w:r w:rsidRPr="00FF6AA6">
              <w:rPr>
                <w:color w:val="000000"/>
                <w:kern w:val="0"/>
                <w:sz w:val="20"/>
                <w:szCs w:val="20"/>
              </w:rPr>
              <w:t>0.081</w:t>
            </w:r>
          </w:p>
          <w:p w:rsidR="001A5DF6" w:rsidRPr="00FF6AA6" w:rsidRDefault="001A5DF6" w:rsidP="001A5DF6">
            <w:pPr>
              <w:autoSpaceDE w:val="0"/>
              <w:autoSpaceDN w:val="0"/>
              <w:adjustRightInd w:val="0"/>
              <w:ind w:leftChars="330" w:left="31680" w:firstLineChars="50" w:firstLine="31680"/>
              <w:rPr>
                <w:color w:val="000000"/>
                <w:kern w:val="0"/>
                <w:sz w:val="20"/>
                <w:szCs w:val="20"/>
              </w:rPr>
            </w:pPr>
            <w:r w:rsidRPr="00FF6AA6">
              <w:rPr>
                <w:color w:val="000000"/>
                <w:kern w:val="0"/>
                <w:sz w:val="20"/>
                <w:szCs w:val="20"/>
              </w:rPr>
              <w:t>0.056</w:t>
            </w:r>
          </w:p>
          <w:p w:rsidR="001A5DF6" w:rsidRPr="00FF6AA6" w:rsidRDefault="001A5DF6" w:rsidP="001A5DF6">
            <w:pPr>
              <w:autoSpaceDE w:val="0"/>
              <w:autoSpaceDN w:val="0"/>
              <w:adjustRightInd w:val="0"/>
              <w:ind w:leftChars="330" w:left="31680" w:firstLineChars="50" w:firstLine="31680"/>
              <w:rPr>
                <w:color w:val="000000"/>
                <w:kern w:val="0"/>
                <w:sz w:val="20"/>
                <w:szCs w:val="20"/>
              </w:rPr>
            </w:pPr>
            <w:r w:rsidRPr="00FF6AA6">
              <w:rPr>
                <w:color w:val="000000"/>
                <w:kern w:val="0"/>
                <w:sz w:val="20"/>
                <w:szCs w:val="20"/>
              </w:rPr>
              <w:t>191</w:t>
            </w:r>
          </w:p>
        </w:tc>
      </w:tr>
    </w:tbl>
    <w:p w:rsidR="001A5DF6" w:rsidRPr="00FF6AA6" w:rsidRDefault="001A5DF6" w:rsidP="002B1221">
      <w:pPr>
        <w:autoSpaceDE w:val="0"/>
        <w:autoSpaceDN w:val="0"/>
        <w:adjustRightInd w:val="0"/>
        <w:spacing w:line="360" w:lineRule="auto"/>
        <w:jc w:val="both"/>
        <w:rPr>
          <w:color w:val="000000"/>
          <w:kern w:val="0"/>
          <w:sz w:val="16"/>
          <w:szCs w:val="16"/>
        </w:rPr>
      </w:pPr>
    </w:p>
    <w:p w:rsidR="001A5DF6" w:rsidRPr="00FF6AA6" w:rsidRDefault="001A5DF6" w:rsidP="002B1221">
      <w:pPr>
        <w:autoSpaceDE w:val="0"/>
        <w:autoSpaceDN w:val="0"/>
        <w:adjustRightInd w:val="0"/>
        <w:spacing w:line="360" w:lineRule="auto"/>
        <w:jc w:val="both"/>
        <w:rPr>
          <w:color w:val="000000"/>
          <w:kern w:val="0"/>
          <w:sz w:val="16"/>
          <w:szCs w:val="16"/>
        </w:rPr>
      </w:pPr>
    </w:p>
    <w:p w:rsidR="001A5DF6" w:rsidRPr="00FF6AA6" w:rsidRDefault="001A5DF6" w:rsidP="002B1221">
      <w:pPr>
        <w:autoSpaceDE w:val="0"/>
        <w:autoSpaceDN w:val="0"/>
        <w:adjustRightInd w:val="0"/>
        <w:spacing w:line="360" w:lineRule="auto"/>
        <w:rPr>
          <w:color w:val="000000"/>
          <w:kern w:val="0"/>
          <w:sz w:val="16"/>
          <w:szCs w:val="16"/>
        </w:rPr>
      </w:pPr>
    </w:p>
    <w:p w:rsidR="001A5DF6" w:rsidRPr="00FF6AA6" w:rsidRDefault="001A5DF6" w:rsidP="002B1221">
      <w:pPr>
        <w:autoSpaceDE w:val="0"/>
        <w:autoSpaceDN w:val="0"/>
        <w:adjustRightInd w:val="0"/>
        <w:spacing w:line="360" w:lineRule="auto"/>
        <w:rPr>
          <w:color w:val="000000"/>
          <w:kern w:val="0"/>
          <w:sz w:val="16"/>
          <w:szCs w:val="16"/>
        </w:rPr>
      </w:pPr>
    </w:p>
    <w:p w:rsidR="001A5DF6" w:rsidRPr="00FF6AA6" w:rsidRDefault="001A5DF6" w:rsidP="003D6633">
      <w:pPr>
        <w:ind w:left="31680" w:hangingChars="180" w:firstLine="31680"/>
        <w:jc w:val="both"/>
        <w:rPr>
          <w:color w:val="000000"/>
          <w:sz w:val="20"/>
          <w:szCs w:val="20"/>
        </w:rPr>
      </w:pPr>
    </w:p>
    <w:sectPr w:rsidR="001A5DF6" w:rsidRPr="00FF6AA6" w:rsidSect="002F3E2E">
      <w:footerReference w:type="even" r:id="rId16"/>
      <w:footerReference w:type="default" r:id="rId17"/>
      <w:pgSz w:w="11906" w:h="16838"/>
      <w:pgMar w:top="1618" w:right="1106" w:bottom="1977" w:left="1622" w:header="851" w:footer="992" w:gutter="0"/>
      <w:pgNumType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DF6" w:rsidRDefault="001A5DF6">
      <w:r>
        <w:separator/>
      </w:r>
    </w:p>
  </w:endnote>
  <w:endnote w:type="continuationSeparator" w:id="1">
    <w:p w:rsidR="001A5DF6" w:rsidRDefault="001A5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dvTT5843c571">
    <w:altName w:val="Times New Roman"/>
    <w:panose1 w:val="00000000000000000000"/>
    <w:charset w:val="00"/>
    <w:family w:val="roman"/>
    <w:notTrueType/>
    <w:pitch w:val="default"/>
    <w:sig w:usb0="00000003" w:usb1="00000000" w:usb2="00000000" w:usb3="00000000" w:csb0="00000001" w:csb1="00000000"/>
  </w:font>
  <w:font w:name="TTE1732260t00">
    <w:altName w:val="Times New Roman"/>
    <w:panose1 w:val="00000000000000000000"/>
    <w:charset w:val="00"/>
    <w:family w:val="auto"/>
    <w:notTrueType/>
    <w:pitch w:val="default"/>
    <w:sig w:usb0="00000003" w:usb1="00000000" w:usb2="00000000" w:usb3="00000000" w:csb0="00000001"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System">
    <w:altName w:val="華康新特黑體(P)"/>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F6" w:rsidRDefault="001A5DF6" w:rsidP="00392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A5DF6" w:rsidRDefault="001A5D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DF6" w:rsidRDefault="001A5DF6" w:rsidP="00392C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1A5DF6" w:rsidRDefault="001A5D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DF6" w:rsidRDefault="001A5DF6">
      <w:r>
        <w:separator/>
      </w:r>
    </w:p>
  </w:footnote>
  <w:footnote w:type="continuationSeparator" w:id="1">
    <w:p w:rsidR="001A5DF6" w:rsidRDefault="001A5DF6">
      <w:r>
        <w:continuationSeparator/>
      </w:r>
    </w:p>
  </w:footnote>
  <w:footnote w:id="2">
    <w:p w:rsidR="001A5DF6" w:rsidRPr="00FE0D5B" w:rsidRDefault="001A5DF6" w:rsidP="00FE0D5B">
      <w:pPr>
        <w:snapToGrid w:val="0"/>
        <w:spacing w:line="160" w:lineRule="atLeast"/>
        <w:jc w:val="both"/>
        <w:rPr>
          <w:sz w:val="20"/>
          <w:szCs w:val="20"/>
        </w:rPr>
      </w:pPr>
      <w:r w:rsidRPr="00FE0D5B">
        <w:rPr>
          <w:rStyle w:val="FootnoteReference"/>
          <w:sz w:val="20"/>
          <w:szCs w:val="20"/>
        </w:rPr>
        <w:t>*</w:t>
      </w:r>
      <w:r w:rsidRPr="00FE0D5B">
        <w:rPr>
          <w:sz w:val="20"/>
          <w:szCs w:val="20"/>
        </w:rPr>
        <w:t xml:space="preserve"> Liao: Department of Finance, </w:t>
      </w:r>
      <w:smartTag w:uri="urn:schemas-microsoft-com:office:smarttags" w:element="place">
        <w:smartTag w:uri="urn:schemas-microsoft-com:office:smarttags" w:element="PlaceName">
          <w:r w:rsidRPr="00FE0D5B">
            <w:rPr>
              <w:sz w:val="20"/>
              <w:szCs w:val="20"/>
            </w:rPr>
            <w:t>Providence</w:t>
          </w:r>
        </w:smartTag>
        <w:r w:rsidRPr="00FE0D5B">
          <w:rPr>
            <w:sz w:val="20"/>
            <w:szCs w:val="20"/>
          </w:rPr>
          <w:t xml:space="preserve"> </w:t>
        </w:r>
        <w:smartTag w:uri="urn:schemas-microsoft-com:office:smarttags" w:element="PlaceType">
          <w:r w:rsidRPr="00FE0D5B">
            <w:rPr>
              <w:sz w:val="20"/>
              <w:szCs w:val="20"/>
            </w:rPr>
            <w:t>University</w:t>
          </w:r>
        </w:smartTag>
      </w:smartTag>
      <w:r w:rsidRPr="00FE0D5B">
        <w:rPr>
          <w:sz w:val="20"/>
          <w:szCs w:val="20"/>
        </w:rPr>
        <w:t xml:space="preserve">, </w:t>
      </w:r>
      <w:smartTag w:uri="urn:schemas-microsoft-com:office:smarttags" w:element="place">
        <w:smartTag w:uri="urn:schemas-microsoft-com:office:smarttags" w:element="City">
          <w:r w:rsidRPr="00FE0D5B">
            <w:rPr>
              <w:sz w:val="20"/>
              <w:szCs w:val="20"/>
            </w:rPr>
            <w:t>Taichung</w:t>
          </w:r>
        </w:smartTag>
        <w:r w:rsidRPr="00FE0D5B">
          <w:rPr>
            <w:sz w:val="20"/>
            <w:szCs w:val="20"/>
          </w:rPr>
          <w:t xml:space="preserve"> </w:t>
        </w:r>
        <w:smartTag w:uri="urn:schemas-microsoft-com:office:smarttags" w:element="PostalCode">
          <w:r w:rsidRPr="00FE0D5B">
            <w:rPr>
              <w:sz w:val="20"/>
              <w:szCs w:val="20"/>
            </w:rPr>
            <w:t>43301</w:t>
          </w:r>
        </w:smartTag>
        <w:r w:rsidRPr="00FE0D5B">
          <w:rPr>
            <w:sz w:val="20"/>
            <w:szCs w:val="20"/>
          </w:rPr>
          <w:t xml:space="preserve">, </w:t>
        </w:r>
        <w:smartTag w:uri="urn:schemas-microsoft-com:office:smarttags" w:element="country-region">
          <w:r w:rsidRPr="00FE0D5B">
            <w:rPr>
              <w:sz w:val="20"/>
              <w:szCs w:val="20"/>
            </w:rPr>
            <w:t>Taiwan</w:t>
          </w:r>
        </w:smartTag>
      </w:smartTag>
      <w:r w:rsidRPr="00FE0D5B">
        <w:rPr>
          <w:sz w:val="20"/>
          <w:szCs w:val="20"/>
        </w:rPr>
        <w:t xml:space="preserve">. Tel.: 886-4-2628001, Fax: 886-4-26311222, Email: tlliao@pu.edu.tw. Yu: Department of Finance, </w:t>
      </w:r>
      <w:smartTag w:uri="urn:schemas-microsoft-com:office:smarttags" w:element="place">
        <w:smartTag w:uri="urn:schemas-microsoft-com:office:smarttags" w:element="PlaceName">
          <w:r w:rsidRPr="00FE0D5B">
            <w:rPr>
              <w:sz w:val="20"/>
              <w:szCs w:val="20"/>
            </w:rPr>
            <w:t>Providence</w:t>
          </w:r>
        </w:smartTag>
        <w:r w:rsidRPr="00FE0D5B">
          <w:rPr>
            <w:sz w:val="20"/>
            <w:szCs w:val="20"/>
          </w:rPr>
          <w:t xml:space="preserve"> </w:t>
        </w:r>
        <w:smartTag w:uri="urn:schemas-microsoft-com:office:smarttags" w:element="PlaceType">
          <w:r w:rsidRPr="00FE0D5B">
            <w:rPr>
              <w:sz w:val="20"/>
              <w:szCs w:val="20"/>
            </w:rPr>
            <w:t>University</w:t>
          </w:r>
        </w:smartTag>
      </w:smartTag>
      <w:r w:rsidRPr="00FE0D5B">
        <w:rPr>
          <w:sz w:val="20"/>
          <w:szCs w:val="20"/>
        </w:rPr>
        <w:t xml:space="preserve">, </w:t>
      </w:r>
      <w:smartTag w:uri="urn:schemas-microsoft-com:office:smarttags" w:element="place">
        <w:smartTag w:uri="urn:schemas-microsoft-com:office:smarttags" w:element="City">
          <w:r w:rsidRPr="00FE0D5B">
            <w:rPr>
              <w:sz w:val="20"/>
              <w:szCs w:val="20"/>
            </w:rPr>
            <w:t>Taichung</w:t>
          </w:r>
        </w:smartTag>
        <w:r w:rsidRPr="00FE0D5B">
          <w:rPr>
            <w:sz w:val="20"/>
            <w:szCs w:val="20"/>
          </w:rPr>
          <w:t xml:space="preserve"> </w:t>
        </w:r>
        <w:smartTag w:uri="urn:schemas-microsoft-com:office:smarttags" w:element="PostalCode">
          <w:r w:rsidRPr="00FE0D5B">
            <w:rPr>
              <w:sz w:val="20"/>
              <w:szCs w:val="20"/>
            </w:rPr>
            <w:t>43301</w:t>
          </w:r>
        </w:smartTag>
        <w:r w:rsidRPr="00FE0D5B">
          <w:rPr>
            <w:sz w:val="20"/>
            <w:szCs w:val="20"/>
          </w:rPr>
          <w:t xml:space="preserve">, </w:t>
        </w:r>
        <w:smartTag w:uri="urn:schemas-microsoft-com:office:smarttags" w:element="country-region">
          <w:r w:rsidRPr="00FE0D5B">
            <w:rPr>
              <w:sz w:val="20"/>
              <w:szCs w:val="20"/>
            </w:rPr>
            <w:t>Taiwan</w:t>
          </w:r>
        </w:smartTag>
      </w:smartTag>
      <w:r w:rsidRPr="00FE0D5B">
        <w:rPr>
          <w:sz w:val="20"/>
          <w:szCs w:val="20"/>
        </w:rPr>
        <w:t xml:space="preserve">. Tel.: 886-4-26310631, Fax: 886-4-26311170, Email: </w:t>
      </w:r>
      <w:hyperlink r:id="rId1" w:history="1">
        <w:r w:rsidRPr="00FE0D5B">
          <w:rPr>
            <w:rStyle w:val="Hyperlink"/>
            <w:color w:val="auto"/>
            <w:sz w:val="20"/>
            <w:szCs w:val="20"/>
            <w:u w:val="none"/>
          </w:rPr>
          <w:t>mtyu@pu.edu.tw</w:t>
        </w:r>
      </w:hyperlink>
      <w:r w:rsidRPr="00FE0D5B">
        <w:rPr>
          <w:sz w:val="20"/>
          <w:szCs w:val="20"/>
        </w:rPr>
        <w:t xml:space="preserve">. The authors acknowledge the funding support provided by the National Science Council, </w:t>
      </w:r>
      <w:smartTag w:uri="urn:schemas-microsoft-com:office:smarttags" w:element="country-region">
        <w:smartTag w:uri="urn:schemas-microsoft-com:office:smarttags" w:element="place">
          <w:r w:rsidRPr="00FE0D5B">
            <w:rPr>
              <w:sz w:val="20"/>
              <w:szCs w:val="20"/>
            </w:rPr>
            <w:t>Taiwan</w:t>
          </w:r>
        </w:smartTag>
      </w:smartTag>
      <w:r w:rsidRPr="00FE0D5B">
        <w:rPr>
          <w:sz w:val="20"/>
          <w:szCs w:val="20"/>
        </w:rPr>
        <w:t xml:space="preserve">. Corresponding author: Yu </w:t>
      </w:r>
    </w:p>
    <w:p w:rsidR="001A5DF6" w:rsidRDefault="001A5DF6" w:rsidP="00FE0D5B">
      <w:pPr>
        <w:snapToGrid w:val="0"/>
        <w:spacing w:line="160" w:lineRule="atLeast"/>
        <w:jc w:val="both"/>
      </w:pPr>
    </w:p>
  </w:footnote>
  <w:footnote w:id="3">
    <w:p w:rsidR="001A5DF6" w:rsidRDefault="001A5DF6" w:rsidP="002B1221">
      <w:pPr>
        <w:pStyle w:val="FootnoteText"/>
        <w:spacing w:line="360" w:lineRule="auto"/>
        <w:jc w:val="both"/>
      </w:pPr>
      <w:r w:rsidRPr="00A508F4">
        <w:rPr>
          <w:rStyle w:val="FootnoteReference"/>
          <w:sz w:val="16"/>
          <w:szCs w:val="16"/>
        </w:rPr>
        <w:footnoteRef/>
      </w:r>
      <w:r w:rsidRPr="00A508F4">
        <w:rPr>
          <w:sz w:val="16"/>
          <w:szCs w:val="16"/>
        </w:rPr>
        <w:t xml:space="preserve"> </w:t>
      </w:r>
      <w:r w:rsidRPr="00A508F4">
        <w:rPr>
          <w:color w:val="000000"/>
          <w:sz w:val="16"/>
          <w:szCs w:val="16"/>
        </w:rPr>
        <w:t xml:space="preserve">See Ying et al. (1977), Grammatikos and Papaioannou </w:t>
      </w:r>
      <w:r>
        <w:rPr>
          <w:color w:val="000000"/>
          <w:sz w:val="16"/>
          <w:szCs w:val="16"/>
        </w:rPr>
        <w:t xml:space="preserve">(1986), </w:t>
      </w:r>
      <w:r w:rsidRPr="00A508F4">
        <w:rPr>
          <w:color w:val="000000"/>
          <w:sz w:val="16"/>
          <w:szCs w:val="16"/>
        </w:rPr>
        <w:t xml:space="preserve">McConnell and Sanger (1987), Edelman and Baker </w:t>
      </w:r>
      <w:r>
        <w:rPr>
          <w:color w:val="000000"/>
          <w:sz w:val="16"/>
          <w:szCs w:val="16"/>
        </w:rPr>
        <w:t xml:space="preserve">(1990, </w:t>
      </w:r>
      <w:r w:rsidRPr="00A508F4">
        <w:rPr>
          <w:color w:val="000000"/>
          <w:sz w:val="16"/>
          <w:szCs w:val="16"/>
        </w:rPr>
        <w:t>1994), Dharan and Ikenberry (1995), and Webb (1999), etc.</w:t>
      </w:r>
    </w:p>
  </w:footnote>
  <w:footnote w:id="4">
    <w:p w:rsidR="001A5DF6" w:rsidRDefault="001A5DF6" w:rsidP="002B1221">
      <w:pPr>
        <w:pStyle w:val="FootnoteText"/>
        <w:spacing w:line="360" w:lineRule="auto"/>
        <w:jc w:val="both"/>
      </w:pPr>
      <w:r w:rsidRPr="00E769D1">
        <w:rPr>
          <w:rStyle w:val="FootnoteReference"/>
          <w:sz w:val="16"/>
          <w:szCs w:val="16"/>
        </w:rPr>
        <w:footnoteRef/>
      </w:r>
      <w:r w:rsidRPr="00E769D1">
        <w:rPr>
          <w:sz w:val="16"/>
          <w:szCs w:val="16"/>
        </w:rPr>
        <w:t xml:space="preserve"> Lamba and Khan (1999) also examine the aggregate trading activities of insiders before exchange listing and delisting and find that insiders exploit their private information by purchasing or postponing the sale of stock before listing. However, they do not empirically analyze the effect of insider sales on the listing day returns and on the post-listing performance as we do here.</w:t>
      </w:r>
    </w:p>
  </w:footnote>
  <w:footnote w:id="5">
    <w:p w:rsidR="001A5DF6" w:rsidRDefault="001A5DF6" w:rsidP="000846F0">
      <w:pPr>
        <w:autoSpaceDE w:val="0"/>
        <w:autoSpaceDN w:val="0"/>
        <w:adjustRightInd w:val="0"/>
      </w:pPr>
      <w:r w:rsidRPr="00AC44D1">
        <w:rPr>
          <w:rStyle w:val="FootnoteReference"/>
          <w:color w:val="0000FF"/>
          <w:sz w:val="16"/>
          <w:szCs w:val="16"/>
        </w:rPr>
        <w:footnoteRef/>
      </w:r>
      <w:r w:rsidRPr="00AC44D1">
        <w:rPr>
          <w:color w:val="0000FF"/>
          <w:sz w:val="16"/>
          <w:szCs w:val="16"/>
        </w:rPr>
        <w:t xml:space="preserve"> </w:t>
      </w:r>
      <w:r w:rsidRPr="00AC44D1">
        <w:rPr>
          <w:color w:val="0000FF"/>
          <w:kern w:val="0"/>
          <w:sz w:val="16"/>
          <w:szCs w:val="16"/>
        </w:rPr>
        <w:t xml:space="preserve">Much of the information in this section has been drawn from </w:t>
      </w:r>
      <w:hyperlink r:id="rId2" w:history="1">
        <w:r w:rsidRPr="00F5425E">
          <w:rPr>
            <w:rStyle w:val="Hyperlink"/>
            <w:kern w:val="0"/>
            <w:sz w:val="16"/>
            <w:szCs w:val="16"/>
          </w:rPr>
          <w:t>www.tse.com.tw</w:t>
        </w:r>
      </w:hyperlink>
      <w:r w:rsidRPr="00CA1F3A">
        <w:rPr>
          <w:color w:val="0000FF"/>
          <w:kern w:val="0"/>
          <w:sz w:val="16"/>
          <w:szCs w:val="16"/>
        </w:rPr>
        <w:t xml:space="preserve">. </w:t>
      </w:r>
    </w:p>
  </w:footnote>
  <w:footnote w:id="6">
    <w:p w:rsidR="001A5DF6" w:rsidRDefault="001A5DF6" w:rsidP="00094D18">
      <w:pPr>
        <w:autoSpaceDE w:val="0"/>
        <w:autoSpaceDN w:val="0"/>
        <w:adjustRightInd w:val="0"/>
      </w:pPr>
      <w:r w:rsidRPr="00094D18">
        <w:rPr>
          <w:rStyle w:val="FootnoteReference"/>
          <w:color w:val="0000FF"/>
          <w:sz w:val="16"/>
          <w:szCs w:val="16"/>
        </w:rPr>
        <w:footnoteRef/>
      </w:r>
      <w:r w:rsidRPr="00094D18">
        <w:rPr>
          <w:color w:val="0000FF"/>
          <w:sz w:val="16"/>
          <w:szCs w:val="16"/>
        </w:rPr>
        <w:t xml:space="preserve"> A search of the </w:t>
      </w:r>
      <w:r w:rsidRPr="00094D18">
        <w:rPr>
          <w:color w:val="0000FF"/>
          <w:kern w:val="0"/>
          <w:sz w:val="16"/>
          <w:szCs w:val="16"/>
        </w:rPr>
        <w:t xml:space="preserve">Taiwan Stock Exchange </w:t>
      </w:r>
      <w:r w:rsidRPr="00094D18">
        <w:rPr>
          <w:color w:val="0000FF"/>
          <w:kern w:val="0"/>
          <w:sz w:val="20"/>
          <w:szCs w:val="20"/>
        </w:rPr>
        <w:t>bulletin</w:t>
      </w:r>
      <w:r w:rsidRPr="00094D18">
        <w:rPr>
          <w:color w:val="0000FF"/>
          <w:kern w:val="0"/>
          <w:sz w:val="16"/>
          <w:szCs w:val="16"/>
        </w:rPr>
        <w:t xml:space="preserve"> over the period 1992 to 2002 reveals no firms that formally applied for an application to transfer from the OTC market to list on the TSEC was rejected.</w:t>
      </w:r>
    </w:p>
  </w:footnote>
  <w:footnote w:id="7">
    <w:p w:rsidR="001A5DF6" w:rsidRDefault="001A5DF6">
      <w:pPr>
        <w:pStyle w:val="FootnoteText"/>
      </w:pPr>
      <w:r w:rsidRPr="00C02744">
        <w:rPr>
          <w:rStyle w:val="FootnoteReference"/>
          <w:color w:val="0000FF"/>
          <w:sz w:val="16"/>
          <w:szCs w:val="16"/>
        </w:rPr>
        <w:footnoteRef/>
      </w:r>
      <w:r w:rsidRPr="00C02744">
        <w:rPr>
          <w:color w:val="0000FF"/>
          <w:sz w:val="16"/>
          <w:szCs w:val="16"/>
        </w:rPr>
        <w:t xml:space="preserve"> In spite of the planned nature of such sales reported by insiders, the fulfilled ratio reaches 85% during our sample period.</w:t>
      </w:r>
    </w:p>
  </w:footnote>
  <w:footnote w:id="8">
    <w:p w:rsidR="001A5DF6" w:rsidRDefault="001A5DF6">
      <w:pPr>
        <w:pStyle w:val="FootnoteText"/>
      </w:pPr>
      <w:r w:rsidRPr="00DC5614">
        <w:rPr>
          <w:rStyle w:val="FootnoteReference"/>
          <w:sz w:val="16"/>
          <w:szCs w:val="16"/>
        </w:rPr>
        <w:footnoteRef/>
      </w:r>
      <w:r w:rsidRPr="00DC5614">
        <w:rPr>
          <w:sz w:val="16"/>
          <w:szCs w:val="16"/>
        </w:rPr>
        <w:t xml:space="preserve"> Electronic firms are defined as firms with two-digit SIC code of 23, 24, 30, 31, 32, 33, 34, 35, 53, 54, 61, 62, and 80.</w:t>
      </w:r>
    </w:p>
  </w:footnote>
  <w:footnote w:id="9">
    <w:p w:rsidR="001A5DF6" w:rsidRDefault="001A5DF6" w:rsidP="00CE5507">
      <w:pPr>
        <w:pStyle w:val="FootnoteText"/>
        <w:spacing w:line="480" w:lineRule="auto"/>
      </w:pPr>
      <w:r w:rsidRPr="00F82C89">
        <w:rPr>
          <w:rStyle w:val="FootnoteReference"/>
          <w:sz w:val="16"/>
          <w:szCs w:val="16"/>
        </w:rPr>
        <w:footnoteRef/>
      </w:r>
      <w:r w:rsidRPr="00F82C89">
        <w:rPr>
          <w:sz w:val="16"/>
          <w:szCs w:val="16"/>
        </w:rPr>
        <w:t xml:space="preserve"> We</w:t>
      </w:r>
      <w:r>
        <w:rPr>
          <w:sz w:val="16"/>
          <w:szCs w:val="16"/>
        </w:rPr>
        <w:t xml:space="preserve"> also use the time interval from t-5 to t+5 to retest the listing day effect, and find similar results.</w:t>
      </w:r>
    </w:p>
  </w:footnote>
  <w:footnote w:id="10">
    <w:p w:rsidR="001A5DF6" w:rsidRDefault="001A5DF6" w:rsidP="00835AD6">
      <w:pPr>
        <w:pStyle w:val="FootnoteText"/>
        <w:jc w:val="both"/>
      </w:pPr>
      <w:r w:rsidRPr="00B20E30">
        <w:rPr>
          <w:rStyle w:val="FootnoteReference"/>
          <w:sz w:val="16"/>
          <w:szCs w:val="16"/>
        </w:rPr>
        <w:footnoteRef/>
      </w:r>
      <w:r w:rsidRPr="00B20E30">
        <w:rPr>
          <w:sz w:val="16"/>
          <w:szCs w:val="16"/>
        </w:rPr>
        <w:t xml:space="preserve"> As the securities ordinance described in Footnote 2 requires insiders to report planned sales and unexecuted trades, if any. We also use the </w:t>
      </w:r>
      <w:r w:rsidRPr="00B20E30">
        <w:rPr>
          <w:i/>
          <w:sz w:val="16"/>
          <w:szCs w:val="16"/>
        </w:rPr>
        <w:t>actual</w:t>
      </w:r>
      <w:r w:rsidRPr="00B20E30">
        <w:rPr>
          <w:sz w:val="16"/>
          <w:szCs w:val="16"/>
        </w:rPr>
        <w:t xml:space="preserve"> insider sales, measured by subtracting unexecuted trades from planned sales reported by insiders, to retest the information effects, and find the results remain robust across control for unfulfilled insider sales that might have confounding impact.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E52"/>
    <w:multiLevelType w:val="hybridMultilevel"/>
    <w:tmpl w:val="1F94F378"/>
    <w:lvl w:ilvl="0" w:tplc="EDEADA38">
      <w:start w:val="1"/>
      <w:numFmt w:val="upperRoman"/>
      <w:pStyle w:val="Heading1"/>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F0C6EA8"/>
    <w:multiLevelType w:val="hybridMultilevel"/>
    <w:tmpl w:val="69624E20"/>
    <w:lvl w:ilvl="0" w:tplc="29784E9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65FD606B"/>
    <w:multiLevelType w:val="hybridMultilevel"/>
    <w:tmpl w:val="9EF6DA94"/>
    <w:lvl w:ilvl="0" w:tplc="B9465640">
      <w:start w:val="1"/>
      <w:numFmt w:val="bullet"/>
      <w:lvlText w:val=""/>
      <w:lvlJc w:val="left"/>
      <w:pPr>
        <w:tabs>
          <w:tab w:val="num" w:pos="520"/>
        </w:tabs>
        <w:ind w:left="520" w:hanging="360"/>
      </w:pPr>
      <w:rPr>
        <w:rFonts w:ascii="Wingdings" w:eastAsia="新細明體" w:hAnsi="Wingdings" w:hint="default"/>
      </w:rPr>
    </w:lvl>
    <w:lvl w:ilvl="1" w:tplc="04090003" w:tentative="1">
      <w:start w:val="1"/>
      <w:numFmt w:val="bullet"/>
      <w:lvlText w:val=""/>
      <w:lvlJc w:val="left"/>
      <w:pPr>
        <w:tabs>
          <w:tab w:val="num" w:pos="1120"/>
        </w:tabs>
        <w:ind w:left="1120" w:hanging="480"/>
      </w:pPr>
      <w:rPr>
        <w:rFonts w:ascii="Wingdings" w:hAnsi="Wingdings" w:hint="default"/>
      </w:rPr>
    </w:lvl>
    <w:lvl w:ilvl="2" w:tplc="04090005" w:tentative="1">
      <w:start w:val="1"/>
      <w:numFmt w:val="bullet"/>
      <w:lvlText w:val=""/>
      <w:lvlJc w:val="left"/>
      <w:pPr>
        <w:tabs>
          <w:tab w:val="num" w:pos="1600"/>
        </w:tabs>
        <w:ind w:left="1600" w:hanging="480"/>
      </w:pPr>
      <w:rPr>
        <w:rFonts w:ascii="Wingdings" w:hAnsi="Wingdings" w:hint="default"/>
      </w:rPr>
    </w:lvl>
    <w:lvl w:ilvl="3" w:tplc="04090001" w:tentative="1">
      <w:start w:val="1"/>
      <w:numFmt w:val="bullet"/>
      <w:lvlText w:val=""/>
      <w:lvlJc w:val="left"/>
      <w:pPr>
        <w:tabs>
          <w:tab w:val="num" w:pos="2080"/>
        </w:tabs>
        <w:ind w:left="2080" w:hanging="480"/>
      </w:pPr>
      <w:rPr>
        <w:rFonts w:ascii="Wingdings" w:hAnsi="Wingdings" w:hint="default"/>
      </w:rPr>
    </w:lvl>
    <w:lvl w:ilvl="4" w:tplc="04090003" w:tentative="1">
      <w:start w:val="1"/>
      <w:numFmt w:val="bullet"/>
      <w:lvlText w:val=""/>
      <w:lvlJc w:val="left"/>
      <w:pPr>
        <w:tabs>
          <w:tab w:val="num" w:pos="2560"/>
        </w:tabs>
        <w:ind w:left="2560" w:hanging="480"/>
      </w:pPr>
      <w:rPr>
        <w:rFonts w:ascii="Wingdings" w:hAnsi="Wingdings" w:hint="default"/>
      </w:rPr>
    </w:lvl>
    <w:lvl w:ilvl="5" w:tplc="04090005" w:tentative="1">
      <w:start w:val="1"/>
      <w:numFmt w:val="bullet"/>
      <w:lvlText w:val=""/>
      <w:lvlJc w:val="left"/>
      <w:pPr>
        <w:tabs>
          <w:tab w:val="num" w:pos="3040"/>
        </w:tabs>
        <w:ind w:left="3040" w:hanging="480"/>
      </w:pPr>
      <w:rPr>
        <w:rFonts w:ascii="Wingdings" w:hAnsi="Wingdings" w:hint="default"/>
      </w:rPr>
    </w:lvl>
    <w:lvl w:ilvl="6" w:tplc="04090001" w:tentative="1">
      <w:start w:val="1"/>
      <w:numFmt w:val="bullet"/>
      <w:lvlText w:val=""/>
      <w:lvlJc w:val="left"/>
      <w:pPr>
        <w:tabs>
          <w:tab w:val="num" w:pos="3520"/>
        </w:tabs>
        <w:ind w:left="3520" w:hanging="480"/>
      </w:pPr>
      <w:rPr>
        <w:rFonts w:ascii="Wingdings" w:hAnsi="Wingdings" w:hint="default"/>
      </w:rPr>
    </w:lvl>
    <w:lvl w:ilvl="7" w:tplc="04090003" w:tentative="1">
      <w:start w:val="1"/>
      <w:numFmt w:val="bullet"/>
      <w:lvlText w:val=""/>
      <w:lvlJc w:val="left"/>
      <w:pPr>
        <w:tabs>
          <w:tab w:val="num" w:pos="4000"/>
        </w:tabs>
        <w:ind w:left="4000" w:hanging="480"/>
      </w:pPr>
      <w:rPr>
        <w:rFonts w:ascii="Wingdings" w:hAnsi="Wingdings" w:hint="default"/>
      </w:rPr>
    </w:lvl>
    <w:lvl w:ilvl="8" w:tplc="04090005" w:tentative="1">
      <w:start w:val="1"/>
      <w:numFmt w:val="bullet"/>
      <w:lvlText w:val=""/>
      <w:lvlJc w:val="left"/>
      <w:pPr>
        <w:tabs>
          <w:tab w:val="num" w:pos="4480"/>
        </w:tabs>
        <w:ind w:left="4480" w:hanging="48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81383"/>
    <w:rsid w:val="00000D19"/>
    <w:rsid w:val="00003503"/>
    <w:rsid w:val="0000491D"/>
    <w:rsid w:val="000053E6"/>
    <w:rsid w:val="000069A3"/>
    <w:rsid w:val="000070AD"/>
    <w:rsid w:val="00012191"/>
    <w:rsid w:val="000123EF"/>
    <w:rsid w:val="000124AC"/>
    <w:rsid w:val="00013C3E"/>
    <w:rsid w:val="000145DF"/>
    <w:rsid w:val="00014A76"/>
    <w:rsid w:val="000154B1"/>
    <w:rsid w:val="000159C7"/>
    <w:rsid w:val="000165C3"/>
    <w:rsid w:val="00017D4D"/>
    <w:rsid w:val="00022781"/>
    <w:rsid w:val="000228BA"/>
    <w:rsid w:val="00022DF3"/>
    <w:rsid w:val="000266A0"/>
    <w:rsid w:val="00027020"/>
    <w:rsid w:val="000275A1"/>
    <w:rsid w:val="0003041B"/>
    <w:rsid w:val="00030D98"/>
    <w:rsid w:val="00031C7F"/>
    <w:rsid w:val="00031C94"/>
    <w:rsid w:val="00031E18"/>
    <w:rsid w:val="00032921"/>
    <w:rsid w:val="00033152"/>
    <w:rsid w:val="00033487"/>
    <w:rsid w:val="000349E4"/>
    <w:rsid w:val="00034C11"/>
    <w:rsid w:val="00034FF2"/>
    <w:rsid w:val="00035E8D"/>
    <w:rsid w:val="00036F9B"/>
    <w:rsid w:val="00036FC5"/>
    <w:rsid w:val="000370FD"/>
    <w:rsid w:val="00037664"/>
    <w:rsid w:val="000407AE"/>
    <w:rsid w:val="000407BF"/>
    <w:rsid w:val="0004177B"/>
    <w:rsid w:val="000417EC"/>
    <w:rsid w:val="00042212"/>
    <w:rsid w:val="0004277D"/>
    <w:rsid w:val="0004297E"/>
    <w:rsid w:val="00042C9B"/>
    <w:rsid w:val="00043184"/>
    <w:rsid w:val="00043D5C"/>
    <w:rsid w:val="00043EA9"/>
    <w:rsid w:val="0004428A"/>
    <w:rsid w:val="0004473C"/>
    <w:rsid w:val="000453EF"/>
    <w:rsid w:val="00045EED"/>
    <w:rsid w:val="00046899"/>
    <w:rsid w:val="00047A06"/>
    <w:rsid w:val="0005057D"/>
    <w:rsid w:val="000542FF"/>
    <w:rsid w:val="00055A45"/>
    <w:rsid w:val="00055E94"/>
    <w:rsid w:val="000600FE"/>
    <w:rsid w:val="00060683"/>
    <w:rsid w:val="0006199E"/>
    <w:rsid w:val="0006278A"/>
    <w:rsid w:val="000629D8"/>
    <w:rsid w:val="00062BE7"/>
    <w:rsid w:val="00064EA1"/>
    <w:rsid w:val="000651C3"/>
    <w:rsid w:val="00066C28"/>
    <w:rsid w:val="00072570"/>
    <w:rsid w:val="000735EB"/>
    <w:rsid w:val="00073AD1"/>
    <w:rsid w:val="00074EE0"/>
    <w:rsid w:val="00075A4A"/>
    <w:rsid w:val="0007603C"/>
    <w:rsid w:val="000761AF"/>
    <w:rsid w:val="00077D52"/>
    <w:rsid w:val="00080A31"/>
    <w:rsid w:val="000819F3"/>
    <w:rsid w:val="0008200F"/>
    <w:rsid w:val="00082030"/>
    <w:rsid w:val="000835E6"/>
    <w:rsid w:val="00084140"/>
    <w:rsid w:val="00084205"/>
    <w:rsid w:val="000846F0"/>
    <w:rsid w:val="000850D2"/>
    <w:rsid w:val="00086076"/>
    <w:rsid w:val="00086210"/>
    <w:rsid w:val="0008755C"/>
    <w:rsid w:val="000908F4"/>
    <w:rsid w:val="00091153"/>
    <w:rsid w:val="00091579"/>
    <w:rsid w:val="00092372"/>
    <w:rsid w:val="0009266B"/>
    <w:rsid w:val="0009405F"/>
    <w:rsid w:val="0009459C"/>
    <w:rsid w:val="00094733"/>
    <w:rsid w:val="00094BFD"/>
    <w:rsid w:val="00094D18"/>
    <w:rsid w:val="00095A73"/>
    <w:rsid w:val="000963FA"/>
    <w:rsid w:val="00097644"/>
    <w:rsid w:val="000A0223"/>
    <w:rsid w:val="000A14FC"/>
    <w:rsid w:val="000A2FD1"/>
    <w:rsid w:val="000A3146"/>
    <w:rsid w:val="000A5989"/>
    <w:rsid w:val="000A7137"/>
    <w:rsid w:val="000B02B7"/>
    <w:rsid w:val="000B1100"/>
    <w:rsid w:val="000B26BD"/>
    <w:rsid w:val="000B5896"/>
    <w:rsid w:val="000B66A6"/>
    <w:rsid w:val="000B6DFB"/>
    <w:rsid w:val="000B7600"/>
    <w:rsid w:val="000B7C1D"/>
    <w:rsid w:val="000C1A24"/>
    <w:rsid w:val="000C35E9"/>
    <w:rsid w:val="000C5366"/>
    <w:rsid w:val="000C5BC3"/>
    <w:rsid w:val="000C5D91"/>
    <w:rsid w:val="000C63EF"/>
    <w:rsid w:val="000C7F88"/>
    <w:rsid w:val="000D0C52"/>
    <w:rsid w:val="000D205B"/>
    <w:rsid w:val="000D352D"/>
    <w:rsid w:val="000D4628"/>
    <w:rsid w:val="000D5CE4"/>
    <w:rsid w:val="000D61CB"/>
    <w:rsid w:val="000D6EB0"/>
    <w:rsid w:val="000E08D4"/>
    <w:rsid w:val="000E1517"/>
    <w:rsid w:val="000E2026"/>
    <w:rsid w:val="000E23BF"/>
    <w:rsid w:val="000E2575"/>
    <w:rsid w:val="000E27FB"/>
    <w:rsid w:val="000E3AEF"/>
    <w:rsid w:val="000E3D46"/>
    <w:rsid w:val="000E4437"/>
    <w:rsid w:val="000E53EB"/>
    <w:rsid w:val="000E5F82"/>
    <w:rsid w:val="000E6C2A"/>
    <w:rsid w:val="000E6F55"/>
    <w:rsid w:val="000F09A5"/>
    <w:rsid w:val="000F1923"/>
    <w:rsid w:val="000F23DC"/>
    <w:rsid w:val="000F3280"/>
    <w:rsid w:val="000F3566"/>
    <w:rsid w:val="000F3B31"/>
    <w:rsid w:val="000F4007"/>
    <w:rsid w:val="000F66CC"/>
    <w:rsid w:val="000F6DAF"/>
    <w:rsid w:val="000F7109"/>
    <w:rsid w:val="00102A2A"/>
    <w:rsid w:val="00102C49"/>
    <w:rsid w:val="00102F39"/>
    <w:rsid w:val="00103D48"/>
    <w:rsid w:val="001053BA"/>
    <w:rsid w:val="0010558D"/>
    <w:rsid w:val="00106089"/>
    <w:rsid w:val="00106AE7"/>
    <w:rsid w:val="001071D9"/>
    <w:rsid w:val="001079F8"/>
    <w:rsid w:val="00107B59"/>
    <w:rsid w:val="00107D0E"/>
    <w:rsid w:val="00110BE6"/>
    <w:rsid w:val="00113B7C"/>
    <w:rsid w:val="00114214"/>
    <w:rsid w:val="00115645"/>
    <w:rsid w:val="00115973"/>
    <w:rsid w:val="00116963"/>
    <w:rsid w:val="00116DD7"/>
    <w:rsid w:val="00117420"/>
    <w:rsid w:val="00120F68"/>
    <w:rsid w:val="0012106F"/>
    <w:rsid w:val="0012134E"/>
    <w:rsid w:val="00121406"/>
    <w:rsid w:val="00122B35"/>
    <w:rsid w:val="001241CF"/>
    <w:rsid w:val="0012542E"/>
    <w:rsid w:val="00125A0B"/>
    <w:rsid w:val="0012619E"/>
    <w:rsid w:val="00126C83"/>
    <w:rsid w:val="00127316"/>
    <w:rsid w:val="001278E4"/>
    <w:rsid w:val="00130277"/>
    <w:rsid w:val="00130935"/>
    <w:rsid w:val="00131497"/>
    <w:rsid w:val="0013308E"/>
    <w:rsid w:val="00133F09"/>
    <w:rsid w:val="00135C18"/>
    <w:rsid w:val="00141947"/>
    <w:rsid w:val="00141B24"/>
    <w:rsid w:val="00142AF3"/>
    <w:rsid w:val="00143511"/>
    <w:rsid w:val="00143582"/>
    <w:rsid w:val="001435CE"/>
    <w:rsid w:val="00144926"/>
    <w:rsid w:val="001461D4"/>
    <w:rsid w:val="0014633D"/>
    <w:rsid w:val="001479D4"/>
    <w:rsid w:val="00147C32"/>
    <w:rsid w:val="00147F1D"/>
    <w:rsid w:val="00150BF5"/>
    <w:rsid w:val="00153723"/>
    <w:rsid w:val="00153A4E"/>
    <w:rsid w:val="00153ACE"/>
    <w:rsid w:val="00153B07"/>
    <w:rsid w:val="00154938"/>
    <w:rsid w:val="0015560F"/>
    <w:rsid w:val="00155B62"/>
    <w:rsid w:val="001560D0"/>
    <w:rsid w:val="00156803"/>
    <w:rsid w:val="00156DBE"/>
    <w:rsid w:val="0016066A"/>
    <w:rsid w:val="00160790"/>
    <w:rsid w:val="00161BFE"/>
    <w:rsid w:val="0016586A"/>
    <w:rsid w:val="00165A33"/>
    <w:rsid w:val="00167831"/>
    <w:rsid w:val="00170054"/>
    <w:rsid w:val="0017209B"/>
    <w:rsid w:val="0017302C"/>
    <w:rsid w:val="00173A87"/>
    <w:rsid w:val="00174CFE"/>
    <w:rsid w:val="0017666B"/>
    <w:rsid w:val="001778A5"/>
    <w:rsid w:val="00177F6B"/>
    <w:rsid w:val="001805A4"/>
    <w:rsid w:val="00181436"/>
    <w:rsid w:val="001816F0"/>
    <w:rsid w:val="00181D52"/>
    <w:rsid w:val="0018224D"/>
    <w:rsid w:val="001833F0"/>
    <w:rsid w:val="00183F37"/>
    <w:rsid w:val="00184C56"/>
    <w:rsid w:val="00185470"/>
    <w:rsid w:val="00185523"/>
    <w:rsid w:val="0018581D"/>
    <w:rsid w:val="00187BFE"/>
    <w:rsid w:val="00187F23"/>
    <w:rsid w:val="00190B9C"/>
    <w:rsid w:val="00190F2B"/>
    <w:rsid w:val="00190FDB"/>
    <w:rsid w:val="00193876"/>
    <w:rsid w:val="001945CC"/>
    <w:rsid w:val="00194608"/>
    <w:rsid w:val="0019467D"/>
    <w:rsid w:val="00195C68"/>
    <w:rsid w:val="001963E5"/>
    <w:rsid w:val="001A03D7"/>
    <w:rsid w:val="001A18DF"/>
    <w:rsid w:val="001A37B8"/>
    <w:rsid w:val="001A3FD1"/>
    <w:rsid w:val="001A4DAA"/>
    <w:rsid w:val="001A5043"/>
    <w:rsid w:val="001A5DF6"/>
    <w:rsid w:val="001A678A"/>
    <w:rsid w:val="001A7201"/>
    <w:rsid w:val="001A7AFA"/>
    <w:rsid w:val="001B01F1"/>
    <w:rsid w:val="001B0B22"/>
    <w:rsid w:val="001B22A9"/>
    <w:rsid w:val="001B3B77"/>
    <w:rsid w:val="001B3F53"/>
    <w:rsid w:val="001B6946"/>
    <w:rsid w:val="001C1252"/>
    <w:rsid w:val="001C1C85"/>
    <w:rsid w:val="001C1FA3"/>
    <w:rsid w:val="001C29B6"/>
    <w:rsid w:val="001C3B42"/>
    <w:rsid w:val="001C3D61"/>
    <w:rsid w:val="001C3FAB"/>
    <w:rsid w:val="001C4162"/>
    <w:rsid w:val="001C53CE"/>
    <w:rsid w:val="001C5C6A"/>
    <w:rsid w:val="001C668C"/>
    <w:rsid w:val="001C7CD0"/>
    <w:rsid w:val="001D0479"/>
    <w:rsid w:val="001D2E5A"/>
    <w:rsid w:val="001D5377"/>
    <w:rsid w:val="001D5398"/>
    <w:rsid w:val="001D55B1"/>
    <w:rsid w:val="001D5699"/>
    <w:rsid w:val="001D6085"/>
    <w:rsid w:val="001D62B0"/>
    <w:rsid w:val="001D7BFA"/>
    <w:rsid w:val="001E225D"/>
    <w:rsid w:val="001E2A41"/>
    <w:rsid w:val="001E3A60"/>
    <w:rsid w:val="001E40E0"/>
    <w:rsid w:val="001E4B7B"/>
    <w:rsid w:val="001F0450"/>
    <w:rsid w:val="001F0828"/>
    <w:rsid w:val="001F095C"/>
    <w:rsid w:val="001F0AF7"/>
    <w:rsid w:val="001F140A"/>
    <w:rsid w:val="001F14E9"/>
    <w:rsid w:val="001F1BB6"/>
    <w:rsid w:val="001F289D"/>
    <w:rsid w:val="001F2D40"/>
    <w:rsid w:val="001F3F36"/>
    <w:rsid w:val="001F4F1B"/>
    <w:rsid w:val="001F5976"/>
    <w:rsid w:val="00200EB9"/>
    <w:rsid w:val="00204CAC"/>
    <w:rsid w:val="002050B3"/>
    <w:rsid w:val="0021264B"/>
    <w:rsid w:val="002147C0"/>
    <w:rsid w:val="00215113"/>
    <w:rsid w:val="0021685E"/>
    <w:rsid w:val="00216BF1"/>
    <w:rsid w:val="00216E06"/>
    <w:rsid w:val="00217F42"/>
    <w:rsid w:val="002201BD"/>
    <w:rsid w:val="0022070F"/>
    <w:rsid w:val="00223205"/>
    <w:rsid w:val="0022427F"/>
    <w:rsid w:val="00224281"/>
    <w:rsid w:val="00225542"/>
    <w:rsid w:val="00226202"/>
    <w:rsid w:val="002277EA"/>
    <w:rsid w:val="002278C3"/>
    <w:rsid w:val="00227A91"/>
    <w:rsid w:val="00227C68"/>
    <w:rsid w:val="002300E8"/>
    <w:rsid w:val="00231325"/>
    <w:rsid w:val="0023171C"/>
    <w:rsid w:val="002329B5"/>
    <w:rsid w:val="00233477"/>
    <w:rsid w:val="002337A5"/>
    <w:rsid w:val="002338CA"/>
    <w:rsid w:val="00233D4F"/>
    <w:rsid w:val="00233D81"/>
    <w:rsid w:val="002343F8"/>
    <w:rsid w:val="00234899"/>
    <w:rsid w:val="00234ED3"/>
    <w:rsid w:val="00235619"/>
    <w:rsid w:val="002356FA"/>
    <w:rsid w:val="002357F2"/>
    <w:rsid w:val="00237EC4"/>
    <w:rsid w:val="00241222"/>
    <w:rsid w:val="002412B8"/>
    <w:rsid w:val="002419BF"/>
    <w:rsid w:val="002426C6"/>
    <w:rsid w:val="00242D78"/>
    <w:rsid w:val="00243AB9"/>
    <w:rsid w:val="00243DD0"/>
    <w:rsid w:val="00243E3C"/>
    <w:rsid w:val="00245F3D"/>
    <w:rsid w:val="00245F45"/>
    <w:rsid w:val="0024632B"/>
    <w:rsid w:val="00246388"/>
    <w:rsid w:val="00246D76"/>
    <w:rsid w:val="00247366"/>
    <w:rsid w:val="00250EAF"/>
    <w:rsid w:val="0025145F"/>
    <w:rsid w:val="00252774"/>
    <w:rsid w:val="0025540B"/>
    <w:rsid w:val="00255D78"/>
    <w:rsid w:val="00255ECF"/>
    <w:rsid w:val="00256447"/>
    <w:rsid w:val="002569E7"/>
    <w:rsid w:val="00256F14"/>
    <w:rsid w:val="002609D0"/>
    <w:rsid w:val="00261828"/>
    <w:rsid w:val="002636C4"/>
    <w:rsid w:val="00263FD6"/>
    <w:rsid w:val="002654E7"/>
    <w:rsid w:val="00267F78"/>
    <w:rsid w:val="00270E93"/>
    <w:rsid w:val="00271AB6"/>
    <w:rsid w:val="00272486"/>
    <w:rsid w:val="00272737"/>
    <w:rsid w:val="00272760"/>
    <w:rsid w:val="002734E0"/>
    <w:rsid w:val="002734EA"/>
    <w:rsid w:val="00273CD9"/>
    <w:rsid w:val="0027404D"/>
    <w:rsid w:val="002741E4"/>
    <w:rsid w:val="00277C37"/>
    <w:rsid w:val="00281028"/>
    <w:rsid w:val="0028103D"/>
    <w:rsid w:val="00282517"/>
    <w:rsid w:val="002837B6"/>
    <w:rsid w:val="00283994"/>
    <w:rsid w:val="002847F8"/>
    <w:rsid w:val="00284A72"/>
    <w:rsid w:val="00284CCA"/>
    <w:rsid w:val="00285762"/>
    <w:rsid w:val="0028607F"/>
    <w:rsid w:val="00286329"/>
    <w:rsid w:val="00286620"/>
    <w:rsid w:val="00291C84"/>
    <w:rsid w:val="00292A3F"/>
    <w:rsid w:val="0029303A"/>
    <w:rsid w:val="00293E6A"/>
    <w:rsid w:val="00293FCA"/>
    <w:rsid w:val="00294052"/>
    <w:rsid w:val="00294073"/>
    <w:rsid w:val="002942C0"/>
    <w:rsid w:val="00297C39"/>
    <w:rsid w:val="002A041A"/>
    <w:rsid w:val="002A1507"/>
    <w:rsid w:val="002A1EB6"/>
    <w:rsid w:val="002A4B25"/>
    <w:rsid w:val="002A4FE3"/>
    <w:rsid w:val="002A4FF1"/>
    <w:rsid w:val="002A5BAB"/>
    <w:rsid w:val="002A5D32"/>
    <w:rsid w:val="002A7C5E"/>
    <w:rsid w:val="002B0BB3"/>
    <w:rsid w:val="002B0BB5"/>
    <w:rsid w:val="002B1221"/>
    <w:rsid w:val="002B1BA9"/>
    <w:rsid w:val="002B2266"/>
    <w:rsid w:val="002B5648"/>
    <w:rsid w:val="002B6249"/>
    <w:rsid w:val="002B72D5"/>
    <w:rsid w:val="002B73ED"/>
    <w:rsid w:val="002B797C"/>
    <w:rsid w:val="002C072B"/>
    <w:rsid w:val="002C0DE8"/>
    <w:rsid w:val="002C21C9"/>
    <w:rsid w:val="002C2226"/>
    <w:rsid w:val="002C3035"/>
    <w:rsid w:val="002C50E4"/>
    <w:rsid w:val="002C56AB"/>
    <w:rsid w:val="002C58F9"/>
    <w:rsid w:val="002C6102"/>
    <w:rsid w:val="002C63BE"/>
    <w:rsid w:val="002C7191"/>
    <w:rsid w:val="002C7317"/>
    <w:rsid w:val="002D2D08"/>
    <w:rsid w:val="002D462D"/>
    <w:rsid w:val="002D5255"/>
    <w:rsid w:val="002D6283"/>
    <w:rsid w:val="002D664A"/>
    <w:rsid w:val="002E0448"/>
    <w:rsid w:val="002E2A95"/>
    <w:rsid w:val="002E3771"/>
    <w:rsid w:val="002E51EA"/>
    <w:rsid w:val="002E5D45"/>
    <w:rsid w:val="002E6A2C"/>
    <w:rsid w:val="002E6BF7"/>
    <w:rsid w:val="002E6F0F"/>
    <w:rsid w:val="002E7CD2"/>
    <w:rsid w:val="002F01C9"/>
    <w:rsid w:val="002F0475"/>
    <w:rsid w:val="002F1891"/>
    <w:rsid w:val="002F1CFD"/>
    <w:rsid w:val="002F342A"/>
    <w:rsid w:val="002F37EE"/>
    <w:rsid w:val="002F3DF5"/>
    <w:rsid w:val="002F3E2E"/>
    <w:rsid w:val="002F52FA"/>
    <w:rsid w:val="002F5569"/>
    <w:rsid w:val="002F55EA"/>
    <w:rsid w:val="002F56D4"/>
    <w:rsid w:val="002F6207"/>
    <w:rsid w:val="002F6BE4"/>
    <w:rsid w:val="002F7824"/>
    <w:rsid w:val="003018D4"/>
    <w:rsid w:val="00302140"/>
    <w:rsid w:val="0030245D"/>
    <w:rsid w:val="00303823"/>
    <w:rsid w:val="00304964"/>
    <w:rsid w:val="00304AAF"/>
    <w:rsid w:val="00304FD0"/>
    <w:rsid w:val="00304FD3"/>
    <w:rsid w:val="0030510C"/>
    <w:rsid w:val="003052F8"/>
    <w:rsid w:val="00305C80"/>
    <w:rsid w:val="00306590"/>
    <w:rsid w:val="00311CCB"/>
    <w:rsid w:val="00313C32"/>
    <w:rsid w:val="00314122"/>
    <w:rsid w:val="003149D4"/>
    <w:rsid w:val="00315CCE"/>
    <w:rsid w:val="00315DDD"/>
    <w:rsid w:val="0032008B"/>
    <w:rsid w:val="00320102"/>
    <w:rsid w:val="003222F1"/>
    <w:rsid w:val="003233FC"/>
    <w:rsid w:val="0032351D"/>
    <w:rsid w:val="003238B4"/>
    <w:rsid w:val="00324333"/>
    <w:rsid w:val="00326C6D"/>
    <w:rsid w:val="00327AB4"/>
    <w:rsid w:val="00327D91"/>
    <w:rsid w:val="00327E94"/>
    <w:rsid w:val="00330801"/>
    <w:rsid w:val="0033227A"/>
    <w:rsid w:val="003326CE"/>
    <w:rsid w:val="00332C35"/>
    <w:rsid w:val="00335063"/>
    <w:rsid w:val="00335095"/>
    <w:rsid w:val="00336FC7"/>
    <w:rsid w:val="0034000F"/>
    <w:rsid w:val="0034044D"/>
    <w:rsid w:val="003407CE"/>
    <w:rsid w:val="00341549"/>
    <w:rsid w:val="00341699"/>
    <w:rsid w:val="003436A9"/>
    <w:rsid w:val="00343BDB"/>
    <w:rsid w:val="00345876"/>
    <w:rsid w:val="00346817"/>
    <w:rsid w:val="00352E1D"/>
    <w:rsid w:val="003539B3"/>
    <w:rsid w:val="00353DB4"/>
    <w:rsid w:val="003548F1"/>
    <w:rsid w:val="00354BDB"/>
    <w:rsid w:val="003554C3"/>
    <w:rsid w:val="003558DA"/>
    <w:rsid w:val="00356805"/>
    <w:rsid w:val="00356E0E"/>
    <w:rsid w:val="00356FBF"/>
    <w:rsid w:val="00357387"/>
    <w:rsid w:val="003574EA"/>
    <w:rsid w:val="00361FF6"/>
    <w:rsid w:val="00362F43"/>
    <w:rsid w:val="00362FE0"/>
    <w:rsid w:val="0036341F"/>
    <w:rsid w:val="00363E0D"/>
    <w:rsid w:val="00363EE9"/>
    <w:rsid w:val="003653ED"/>
    <w:rsid w:val="003669B8"/>
    <w:rsid w:val="00366A5F"/>
    <w:rsid w:val="00367A7B"/>
    <w:rsid w:val="00371D99"/>
    <w:rsid w:val="003742B0"/>
    <w:rsid w:val="003742B6"/>
    <w:rsid w:val="00374BE2"/>
    <w:rsid w:val="003756A4"/>
    <w:rsid w:val="003765BB"/>
    <w:rsid w:val="003765FD"/>
    <w:rsid w:val="00376AA0"/>
    <w:rsid w:val="00377753"/>
    <w:rsid w:val="00380EA4"/>
    <w:rsid w:val="0038128B"/>
    <w:rsid w:val="00381F04"/>
    <w:rsid w:val="00382247"/>
    <w:rsid w:val="00386AC0"/>
    <w:rsid w:val="003875DD"/>
    <w:rsid w:val="00390A44"/>
    <w:rsid w:val="00390A4A"/>
    <w:rsid w:val="00390ACE"/>
    <w:rsid w:val="00391818"/>
    <w:rsid w:val="00391BA7"/>
    <w:rsid w:val="00392C00"/>
    <w:rsid w:val="00393F9F"/>
    <w:rsid w:val="003940A3"/>
    <w:rsid w:val="00394284"/>
    <w:rsid w:val="0039582B"/>
    <w:rsid w:val="00395BC4"/>
    <w:rsid w:val="00395EB0"/>
    <w:rsid w:val="00396EF8"/>
    <w:rsid w:val="003973B5"/>
    <w:rsid w:val="003A1951"/>
    <w:rsid w:val="003A28FF"/>
    <w:rsid w:val="003A2B4B"/>
    <w:rsid w:val="003A3F27"/>
    <w:rsid w:val="003A50D8"/>
    <w:rsid w:val="003A6A88"/>
    <w:rsid w:val="003A6C23"/>
    <w:rsid w:val="003A6D81"/>
    <w:rsid w:val="003B04D5"/>
    <w:rsid w:val="003B056F"/>
    <w:rsid w:val="003B069C"/>
    <w:rsid w:val="003B0C75"/>
    <w:rsid w:val="003B137E"/>
    <w:rsid w:val="003B1C9C"/>
    <w:rsid w:val="003B1F67"/>
    <w:rsid w:val="003B28FC"/>
    <w:rsid w:val="003B2CEE"/>
    <w:rsid w:val="003B3E5A"/>
    <w:rsid w:val="003B4C08"/>
    <w:rsid w:val="003B5AC4"/>
    <w:rsid w:val="003B5B9C"/>
    <w:rsid w:val="003B5F13"/>
    <w:rsid w:val="003B72C6"/>
    <w:rsid w:val="003B7DB5"/>
    <w:rsid w:val="003C024F"/>
    <w:rsid w:val="003C0280"/>
    <w:rsid w:val="003C108D"/>
    <w:rsid w:val="003C1743"/>
    <w:rsid w:val="003C22A0"/>
    <w:rsid w:val="003C246E"/>
    <w:rsid w:val="003C27AB"/>
    <w:rsid w:val="003C49F2"/>
    <w:rsid w:val="003C588C"/>
    <w:rsid w:val="003C59A1"/>
    <w:rsid w:val="003C7B48"/>
    <w:rsid w:val="003D037C"/>
    <w:rsid w:val="003D1224"/>
    <w:rsid w:val="003D156D"/>
    <w:rsid w:val="003D2BC4"/>
    <w:rsid w:val="003D2DC5"/>
    <w:rsid w:val="003D3AFA"/>
    <w:rsid w:val="003D4527"/>
    <w:rsid w:val="003D45E7"/>
    <w:rsid w:val="003D59EC"/>
    <w:rsid w:val="003D62C1"/>
    <w:rsid w:val="003D6528"/>
    <w:rsid w:val="003D6633"/>
    <w:rsid w:val="003D6754"/>
    <w:rsid w:val="003D7793"/>
    <w:rsid w:val="003E0543"/>
    <w:rsid w:val="003E081F"/>
    <w:rsid w:val="003E12C6"/>
    <w:rsid w:val="003E263F"/>
    <w:rsid w:val="003E2EB3"/>
    <w:rsid w:val="003E3559"/>
    <w:rsid w:val="003E3E98"/>
    <w:rsid w:val="003E4406"/>
    <w:rsid w:val="003E7F2F"/>
    <w:rsid w:val="003F04F5"/>
    <w:rsid w:val="003F07E8"/>
    <w:rsid w:val="003F2DAE"/>
    <w:rsid w:val="003F2EEF"/>
    <w:rsid w:val="003F4890"/>
    <w:rsid w:val="003F6B73"/>
    <w:rsid w:val="003F6C7E"/>
    <w:rsid w:val="003F7F3E"/>
    <w:rsid w:val="004010A1"/>
    <w:rsid w:val="004049C7"/>
    <w:rsid w:val="004058D0"/>
    <w:rsid w:val="0040612C"/>
    <w:rsid w:val="004068C4"/>
    <w:rsid w:val="00410AA7"/>
    <w:rsid w:val="00410ABC"/>
    <w:rsid w:val="00412323"/>
    <w:rsid w:val="00413BAF"/>
    <w:rsid w:val="00413DE2"/>
    <w:rsid w:val="00416CD8"/>
    <w:rsid w:val="00416D30"/>
    <w:rsid w:val="00416DF9"/>
    <w:rsid w:val="004170DB"/>
    <w:rsid w:val="00417A42"/>
    <w:rsid w:val="00420A06"/>
    <w:rsid w:val="00421695"/>
    <w:rsid w:val="00421CAA"/>
    <w:rsid w:val="004229FF"/>
    <w:rsid w:val="00424F02"/>
    <w:rsid w:val="00425E32"/>
    <w:rsid w:val="00425FB0"/>
    <w:rsid w:val="00426806"/>
    <w:rsid w:val="00426DCF"/>
    <w:rsid w:val="0042755A"/>
    <w:rsid w:val="00427C76"/>
    <w:rsid w:val="0043254F"/>
    <w:rsid w:val="004330B0"/>
    <w:rsid w:val="00433BF8"/>
    <w:rsid w:val="00434937"/>
    <w:rsid w:val="00434DE6"/>
    <w:rsid w:val="00440483"/>
    <w:rsid w:val="004416CF"/>
    <w:rsid w:val="0044244C"/>
    <w:rsid w:val="004425C1"/>
    <w:rsid w:val="00443C43"/>
    <w:rsid w:val="00443FFB"/>
    <w:rsid w:val="0044437A"/>
    <w:rsid w:val="004445B8"/>
    <w:rsid w:val="004448E6"/>
    <w:rsid w:val="00445923"/>
    <w:rsid w:val="004463F8"/>
    <w:rsid w:val="0045006F"/>
    <w:rsid w:val="004518B6"/>
    <w:rsid w:val="00452E95"/>
    <w:rsid w:val="00452F7F"/>
    <w:rsid w:val="00453392"/>
    <w:rsid w:val="004538FB"/>
    <w:rsid w:val="00454C9D"/>
    <w:rsid w:val="004556CB"/>
    <w:rsid w:val="00456134"/>
    <w:rsid w:val="004566F9"/>
    <w:rsid w:val="00456A3D"/>
    <w:rsid w:val="00457CDC"/>
    <w:rsid w:val="00460A1A"/>
    <w:rsid w:val="00461953"/>
    <w:rsid w:val="00464180"/>
    <w:rsid w:val="00465A9B"/>
    <w:rsid w:val="004663D5"/>
    <w:rsid w:val="00466D41"/>
    <w:rsid w:val="004671F7"/>
    <w:rsid w:val="00471A2C"/>
    <w:rsid w:val="004737B4"/>
    <w:rsid w:val="00477297"/>
    <w:rsid w:val="00477676"/>
    <w:rsid w:val="004778FA"/>
    <w:rsid w:val="0048044A"/>
    <w:rsid w:val="00480BA5"/>
    <w:rsid w:val="004811D7"/>
    <w:rsid w:val="00481929"/>
    <w:rsid w:val="00482472"/>
    <w:rsid w:val="004859AA"/>
    <w:rsid w:val="00485A6C"/>
    <w:rsid w:val="00486623"/>
    <w:rsid w:val="00486B34"/>
    <w:rsid w:val="00486EAA"/>
    <w:rsid w:val="00487017"/>
    <w:rsid w:val="00487796"/>
    <w:rsid w:val="00487FBE"/>
    <w:rsid w:val="004914BB"/>
    <w:rsid w:val="00491AF0"/>
    <w:rsid w:val="00493BF9"/>
    <w:rsid w:val="00493C26"/>
    <w:rsid w:val="00495260"/>
    <w:rsid w:val="00495532"/>
    <w:rsid w:val="00495E26"/>
    <w:rsid w:val="00497556"/>
    <w:rsid w:val="00497C17"/>
    <w:rsid w:val="00497CD0"/>
    <w:rsid w:val="004A0537"/>
    <w:rsid w:val="004A0C4F"/>
    <w:rsid w:val="004A0DD1"/>
    <w:rsid w:val="004A12F4"/>
    <w:rsid w:val="004A1BB2"/>
    <w:rsid w:val="004A396F"/>
    <w:rsid w:val="004A5201"/>
    <w:rsid w:val="004A5675"/>
    <w:rsid w:val="004A63C9"/>
    <w:rsid w:val="004A6D6A"/>
    <w:rsid w:val="004A722F"/>
    <w:rsid w:val="004A7B37"/>
    <w:rsid w:val="004B1E9D"/>
    <w:rsid w:val="004B387A"/>
    <w:rsid w:val="004B4371"/>
    <w:rsid w:val="004B6986"/>
    <w:rsid w:val="004B6F1B"/>
    <w:rsid w:val="004B740D"/>
    <w:rsid w:val="004C1252"/>
    <w:rsid w:val="004C1780"/>
    <w:rsid w:val="004C2011"/>
    <w:rsid w:val="004C2219"/>
    <w:rsid w:val="004C236F"/>
    <w:rsid w:val="004C375C"/>
    <w:rsid w:val="004C3A66"/>
    <w:rsid w:val="004C42FA"/>
    <w:rsid w:val="004C4337"/>
    <w:rsid w:val="004C44AC"/>
    <w:rsid w:val="004C50A9"/>
    <w:rsid w:val="004C612E"/>
    <w:rsid w:val="004D0D9C"/>
    <w:rsid w:val="004D2867"/>
    <w:rsid w:val="004D34A8"/>
    <w:rsid w:val="004D3775"/>
    <w:rsid w:val="004D3CE6"/>
    <w:rsid w:val="004D3FBB"/>
    <w:rsid w:val="004D4A7C"/>
    <w:rsid w:val="004D5090"/>
    <w:rsid w:val="004D5982"/>
    <w:rsid w:val="004E1B09"/>
    <w:rsid w:val="004E4072"/>
    <w:rsid w:val="004E4E53"/>
    <w:rsid w:val="004E5B04"/>
    <w:rsid w:val="004E729D"/>
    <w:rsid w:val="004E75A9"/>
    <w:rsid w:val="004F480C"/>
    <w:rsid w:val="004F4DAE"/>
    <w:rsid w:val="004F5CE7"/>
    <w:rsid w:val="004F616D"/>
    <w:rsid w:val="004F65F8"/>
    <w:rsid w:val="004F7472"/>
    <w:rsid w:val="004F75E9"/>
    <w:rsid w:val="004F7D58"/>
    <w:rsid w:val="00501856"/>
    <w:rsid w:val="0050222F"/>
    <w:rsid w:val="00502821"/>
    <w:rsid w:val="00504EE0"/>
    <w:rsid w:val="00510286"/>
    <w:rsid w:val="00510335"/>
    <w:rsid w:val="00510369"/>
    <w:rsid w:val="0051077C"/>
    <w:rsid w:val="005127FD"/>
    <w:rsid w:val="005158AE"/>
    <w:rsid w:val="00515E52"/>
    <w:rsid w:val="00517E3E"/>
    <w:rsid w:val="00521E7C"/>
    <w:rsid w:val="0052274F"/>
    <w:rsid w:val="00523093"/>
    <w:rsid w:val="005235B6"/>
    <w:rsid w:val="00524987"/>
    <w:rsid w:val="005251B1"/>
    <w:rsid w:val="00526361"/>
    <w:rsid w:val="00527CDC"/>
    <w:rsid w:val="00530015"/>
    <w:rsid w:val="00531BF1"/>
    <w:rsid w:val="005326BA"/>
    <w:rsid w:val="00534186"/>
    <w:rsid w:val="00536C9F"/>
    <w:rsid w:val="005374DB"/>
    <w:rsid w:val="005402D9"/>
    <w:rsid w:val="0054187C"/>
    <w:rsid w:val="00541AD5"/>
    <w:rsid w:val="005421D8"/>
    <w:rsid w:val="00543C6E"/>
    <w:rsid w:val="00543C8E"/>
    <w:rsid w:val="00545DD7"/>
    <w:rsid w:val="00546132"/>
    <w:rsid w:val="00546F86"/>
    <w:rsid w:val="00550DEA"/>
    <w:rsid w:val="0055276B"/>
    <w:rsid w:val="0055345B"/>
    <w:rsid w:val="00554610"/>
    <w:rsid w:val="00555A1F"/>
    <w:rsid w:val="00555B25"/>
    <w:rsid w:val="00557694"/>
    <w:rsid w:val="005576C9"/>
    <w:rsid w:val="00561148"/>
    <w:rsid w:val="00561B17"/>
    <w:rsid w:val="0056213C"/>
    <w:rsid w:val="0056261B"/>
    <w:rsid w:val="005629ED"/>
    <w:rsid w:val="00562A06"/>
    <w:rsid w:val="00563071"/>
    <w:rsid w:val="005643B3"/>
    <w:rsid w:val="00564B41"/>
    <w:rsid w:val="00565671"/>
    <w:rsid w:val="00565931"/>
    <w:rsid w:val="005659CC"/>
    <w:rsid w:val="00565F0B"/>
    <w:rsid w:val="0056622C"/>
    <w:rsid w:val="0056694D"/>
    <w:rsid w:val="00567C16"/>
    <w:rsid w:val="00570305"/>
    <w:rsid w:val="0057086F"/>
    <w:rsid w:val="0057149B"/>
    <w:rsid w:val="0057229E"/>
    <w:rsid w:val="005723D6"/>
    <w:rsid w:val="0057306F"/>
    <w:rsid w:val="00574588"/>
    <w:rsid w:val="00574A94"/>
    <w:rsid w:val="005750E8"/>
    <w:rsid w:val="00575213"/>
    <w:rsid w:val="00575666"/>
    <w:rsid w:val="0057574B"/>
    <w:rsid w:val="005762AF"/>
    <w:rsid w:val="005772ED"/>
    <w:rsid w:val="005776AA"/>
    <w:rsid w:val="00577CBA"/>
    <w:rsid w:val="00582136"/>
    <w:rsid w:val="005830F5"/>
    <w:rsid w:val="005837D0"/>
    <w:rsid w:val="0058613A"/>
    <w:rsid w:val="00586751"/>
    <w:rsid w:val="0058705F"/>
    <w:rsid w:val="005872FF"/>
    <w:rsid w:val="00592C4E"/>
    <w:rsid w:val="00593281"/>
    <w:rsid w:val="0059365C"/>
    <w:rsid w:val="00594593"/>
    <w:rsid w:val="00596D5F"/>
    <w:rsid w:val="00597DB0"/>
    <w:rsid w:val="005A0688"/>
    <w:rsid w:val="005A06C7"/>
    <w:rsid w:val="005A0E83"/>
    <w:rsid w:val="005A1DA6"/>
    <w:rsid w:val="005A2302"/>
    <w:rsid w:val="005A2EF0"/>
    <w:rsid w:val="005A412B"/>
    <w:rsid w:val="005A5521"/>
    <w:rsid w:val="005A5E06"/>
    <w:rsid w:val="005A7268"/>
    <w:rsid w:val="005A7441"/>
    <w:rsid w:val="005B0F6C"/>
    <w:rsid w:val="005B1872"/>
    <w:rsid w:val="005B39CB"/>
    <w:rsid w:val="005B41A1"/>
    <w:rsid w:val="005B54D9"/>
    <w:rsid w:val="005B64D2"/>
    <w:rsid w:val="005B7293"/>
    <w:rsid w:val="005C0CFC"/>
    <w:rsid w:val="005C121C"/>
    <w:rsid w:val="005C2564"/>
    <w:rsid w:val="005C28E1"/>
    <w:rsid w:val="005C2A22"/>
    <w:rsid w:val="005C3F4D"/>
    <w:rsid w:val="005C49E6"/>
    <w:rsid w:val="005C4D6C"/>
    <w:rsid w:val="005C5F97"/>
    <w:rsid w:val="005C618A"/>
    <w:rsid w:val="005D2750"/>
    <w:rsid w:val="005D5027"/>
    <w:rsid w:val="005D62F2"/>
    <w:rsid w:val="005D771F"/>
    <w:rsid w:val="005D7E30"/>
    <w:rsid w:val="005E0438"/>
    <w:rsid w:val="005E1F53"/>
    <w:rsid w:val="005E20B5"/>
    <w:rsid w:val="005E3109"/>
    <w:rsid w:val="005E3EB0"/>
    <w:rsid w:val="005E4480"/>
    <w:rsid w:val="005E52C6"/>
    <w:rsid w:val="005E654B"/>
    <w:rsid w:val="005E68DA"/>
    <w:rsid w:val="005E7D7B"/>
    <w:rsid w:val="005F0A65"/>
    <w:rsid w:val="005F0A97"/>
    <w:rsid w:val="005F198C"/>
    <w:rsid w:val="005F1C86"/>
    <w:rsid w:val="005F20D8"/>
    <w:rsid w:val="005F290C"/>
    <w:rsid w:val="005F3155"/>
    <w:rsid w:val="005F32FB"/>
    <w:rsid w:val="005F513D"/>
    <w:rsid w:val="005F6CE5"/>
    <w:rsid w:val="006003A4"/>
    <w:rsid w:val="006011D2"/>
    <w:rsid w:val="0060246D"/>
    <w:rsid w:val="00602A6B"/>
    <w:rsid w:val="006039F9"/>
    <w:rsid w:val="00605AD3"/>
    <w:rsid w:val="00605E0F"/>
    <w:rsid w:val="0060647A"/>
    <w:rsid w:val="0060694A"/>
    <w:rsid w:val="00606CE4"/>
    <w:rsid w:val="0060730E"/>
    <w:rsid w:val="00610E28"/>
    <w:rsid w:val="006111F9"/>
    <w:rsid w:val="00613654"/>
    <w:rsid w:val="0061511E"/>
    <w:rsid w:val="00621174"/>
    <w:rsid w:val="00621214"/>
    <w:rsid w:val="0062192A"/>
    <w:rsid w:val="00621DF5"/>
    <w:rsid w:val="00622233"/>
    <w:rsid w:val="00623998"/>
    <w:rsid w:val="006241E2"/>
    <w:rsid w:val="00624D02"/>
    <w:rsid w:val="00625494"/>
    <w:rsid w:val="006257C6"/>
    <w:rsid w:val="0062589D"/>
    <w:rsid w:val="00625CA4"/>
    <w:rsid w:val="00625FB2"/>
    <w:rsid w:val="0062606B"/>
    <w:rsid w:val="00630649"/>
    <w:rsid w:val="00631B37"/>
    <w:rsid w:val="00633169"/>
    <w:rsid w:val="00633CD4"/>
    <w:rsid w:val="00633D81"/>
    <w:rsid w:val="006422A2"/>
    <w:rsid w:val="00644503"/>
    <w:rsid w:val="00644B60"/>
    <w:rsid w:val="006458A8"/>
    <w:rsid w:val="00646966"/>
    <w:rsid w:val="00646A72"/>
    <w:rsid w:val="006513E8"/>
    <w:rsid w:val="00651842"/>
    <w:rsid w:val="00651982"/>
    <w:rsid w:val="00651AD2"/>
    <w:rsid w:val="00651EDB"/>
    <w:rsid w:val="00652C45"/>
    <w:rsid w:val="0065373A"/>
    <w:rsid w:val="006538BA"/>
    <w:rsid w:val="00653A8F"/>
    <w:rsid w:val="00654757"/>
    <w:rsid w:val="00655729"/>
    <w:rsid w:val="00655D5A"/>
    <w:rsid w:val="00655D9C"/>
    <w:rsid w:val="00656293"/>
    <w:rsid w:val="00656FA9"/>
    <w:rsid w:val="006601FD"/>
    <w:rsid w:val="00660F7D"/>
    <w:rsid w:val="00661936"/>
    <w:rsid w:val="00662E86"/>
    <w:rsid w:val="00663249"/>
    <w:rsid w:val="006637D6"/>
    <w:rsid w:val="006650E8"/>
    <w:rsid w:val="00666A3E"/>
    <w:rsid w:val="00666AA9"/>
    <w:rsid w:val="00670C69"/>
    <w:rsid w:val="00671C48"/>
    <w:rsid w:val="0067264A"/>
    <w:rsid w:val="00673B6D"/>
    <w:rsid w:val="00673DE4"/>
    <w:rsid w:val="00674566"/>
    <w:rsid w:val="00674605"/>
    <w:rsid w:val="00675CDB"/>
    <w:rsid w:val="006769E6"/>
    <w:rsid w:val="00676E16"/>
    <w:rsid w:val="006803FA"/>
    <w:rsid w:val="00680453"/>
    <w:rsid w:val="00681383"/>
    <w:rsid w:val="00681BE7"/>
    <w:rsid w:val="00682F1E"/>
    <w:rsid w:val="0068309F"/>
    <w:rsid w:val="006834E0"/>
    <w:rsid w:val="00683834"/>
    <w:rsid w:val="006846C8"/>
    <w:rsid w:val="00685B8D"/>
    <w:rsid w:val="006866CF"/>
    <w:rsid w:val="00686DA4"/>
    <w:rsid w:val="00687165"/>
    <w:rsid w:val="00687F18"/>
    <w:rsid w:val="0069041A"/>
    <w:rsid w:val="00690931"/>
    <w:rsid w:val="006911E1"/>
    <w:rsid w:val="00691568"/>
    <w:rsid w:val="006915BA"/>
    <w:rsid w:val="00692C2C"/>
    <w:rsid w:val="00693737"/>
    <w:rsid w:val="006938EF"/>
    <w:rsid w:val="006948AA"/>
    <w:rsid w:val="00697212"/>
    <w:rsid w:val="006972C5"/>
    <w:rsid w:val="00697647"/>
    <w:rsid w:val="006A0C4F"/>
    <w:rsid w:val="006A1113"/>
    <w:rsid w:val="006A1973"/>
    <w:rsid w:val="006A26B2"/>
    <w:rsid w:val="006A32F7"/>
    <w:rsid w:val="006A3D38"/>
    <w:rsid w:val="006A3D83"/>
    <w:rsid w:val="006A3D9B"/>
    <w:rsid w:val="006A49F6"/>
    <w:rsid w:val="006A53E9"/>
    <w:rsid w:val="006A5948"/>
    <w:rsid w:val="006A6798"/>
    <w:rsid w:val="006A6A8F"/>
    <w:rsid w:val="006A6EFB"/>
    <w:rsid w:val="006A739E"/>
    <w:rsid w:val="006A75E1"/>
    <w:rsid w:val="006B0234"/>
    <w:rsid w:val="006B0646"/>
    <w:rsid w:val="006B06C8"/>
    <w:rsid w:val="006B0AC4"/>
    <w:rsid w:val="006B3749"/>
    <w:rsid w:val="006B3D2F"/>
    <w:rsid w:val="006B7DE9"/>
    <w:rsid w:val="006C0324"/>
    <w:rsid w:val="006C0B91"/>
    <w:rsid w:val="006C0F52"/>
    <w:rsid w:val="006C1A51"/>
    <w:rsid w:val="006C2A09"/>
    <w:rsid w:val="006C54CA"/>
    <w:rsid w:val="006D185F"/>
    <w:rsid w:val="006D1D44"/>
    <w:rsid w:val="006D38AC"/>
    <w:rsid w:val="006D6382"/>
    <w:rsid w:val="006D672D"/>
    <w:rsid w:val="006D70E7"/>
    <w:rsid w:val="006D7C96"/>
    <w:rsid w:val="006E022B"/>
    <w:rsid w:val="006E0E79"/>
    <w:rsid w:val="006E0ECA"/>
    <w:rsid w:val="006E0F1D"/>
    <w:rsid w:val="006E1291"/>
    <w:rsid w:val="006E1D4C"/>
    <w:rsid w:val="006E3247"/>
    <w:rsid w:val="006E4633"/>
    <w:rsid w:val="006E554F"/>
    <w:rsid w:val="006E565A"/>
    <w:rsid w:val="006E6221"/>
    <w:rsid w:val="006E6712"/>
    <w:rsid w:val="006E7ACE"/>
    <w:rsid w:val="006F0510"/>
    <w:rsid w:val="006F1B29"/>
    <w:rsid w:val="006F2633"/>
    <w:rsid w:val="006F3311"/>
    <w:rsid w:val="006F3B29"/>
    <w:rsid w:val="006F3C41"/>
    <w:rsid w:val="006F3D7A"/>
    <w:rsid w:val="006F451D"/>
    <w:rsid w:val="006F5096"/>
    <w:rsid w:val="006F5288"/>
    <w:rsid w:val="006F5BA2"/>
    <w:rsid w:val="006F5DAF"/>
    <w:rsid w:val="006F6E3B"/>
    <w:rsid w:val="006F71A4"/>
    <w:rsid w:val="00701041"/>
    <w:rsid w:val="0070172D"/>
    <w:rsid w:val="00703113"/>
    <w:rsid w:val="007033CE"/>
    <w:rsid w:val="0070377A"/>
    <w:rsid w:val="00703ED3"/>
    <w:rsid w:val="00704EC5"/>
    <w:rsid w:val="007066CB"/>
    <w:rsid w:val="00706D5C"/>
    <w:rsid w:val="0070762A"/>
    <w:rsid w:val="00707979"/>
    <w:rsid w:val="00710784"/>
    <w:rsid w:val="007113A0"/>
    <w:rsid w:val="00711405"/>
    <w:rsid w:val="0071445B"/>
    <w:rsid w:val="007144A7"/>
    <w:rsid w:val="00716710"/>
    <w:rsid w:val="00716A41"/>
    <w:rsid w:val="00717419"/>
    <w:rsid w:val="00717BEA"/>
    <w:rsid w:val="00717DD4"/>
    <w:rsid w:val="00717EE1"/>
    <w:rsid w:val="007208A8"/>
    <w:rsid w:val="007220D9"/>
    <w:rsid w:val="00725877"/>
    <w:rsid w:val="007279A5"/>
    <w:rsid w:val="007306C7"/>
    <w:rsid w:val="00732DB0"/>
    <w:rsid w:val="00734DEB"/>
    <w:rsid w:val="00735D71"/>
    <w:rsid w:val="0073604A"/>
    <w:rsid w:val="00737279"/>
    <w:rsid w:val="00740070"/>
    <w:rsid w:val="007406A6"/>
    <w:rsid w:val="00740C07"/>
    <w:rsid w:val="007412AC"/>
    <w:rsid w:val="007429F9"/>
    <w:rsid w:val="00743071"/>
    <w:rsid w:val="00743BDE"/>
    <w:rsid w:val="00743EBC"/>
    <w:rsid w:val="007440AE"/>
    <w:rsid w:val="00744FD5"/>
    <w:rsid w:val="00745094"/>
    <w:rsid w:val="00745661"/>
    <w:rsid w:val="00745CB8"/>
    <w:rsid w:val="00751768"/>
    <w:rsid w:val="007521C5"/>
    <w:rsid w:val="00752EA4"/>
    <w:rsid w:val="00753190"/>
    <w:rsid w:val="00753FAC"/>
    <w:rsid w:val="0075467E"/>
    <w:rsid w:val="00754910"/>
    <w:rsid w:val="00755850"/>
    <w:rsid w:val="00755A36"/>
    <w:rsid w:val="00756145"/>
    <w:rsid w:val="007565DD"/>
    <w:rsid w:val="00760047"/>
    <w:rsid w:val="0076054E"/>
    <w:rsid w:val="00760F97"/>
    <w:rsid w:val="00761DE6"/>
    <w:rsid w:val="00762EBA"/>
    <w:rsid w:val="00763CB3"/>
    <w:rsid w:val="00764C38"/>
    <w:rsid w:val="00764DB4"/>
    <w:rsid w:val="007666BB"/>
    <w:rsid w:val="00766A61"/>
    <w:rsid w:val="007674B4"/>
    <w:rsid w:val="0076787A"/>
    <w:rsid w:val="00767C6B"/>
    <w:rsid w:val="0077155E"/>
    <w:rsid w:val="00772249"/>
    <w:rsid w:val="00772ACB"/>
    <w:rsid w:val="00772C26"/>
    <w:rsid w:val="00773EB4"/>
    <w:rsid w:val="00774434"/>
    <w:rsid w:val="00774FCB"/>
    <w:rsid w:val="007805F0"/>
    <w:rsid w:val="00780B16"/>
    <w:rsid w:val="00780B32"/>
    <w:rsid w:val="0078209E"/>
    <w:rsid w:val="00783FE2"/>
    <w:rsid w:val="007911C2"/>
    <w:rsid w:val="00791C02"/>
    <w:rsid w:val="007922FB"/>
    <w:rsid w:val="00792A2A"/>
    <w:rsid w:val="00792DE6"/>
    <w:rsid w:val="00793998"/>
    <w:rsid w:val="007941EF"/>
    <w:rsid w:val="00794C54"/>
    <w:rsid w:val="007A0546"/>
    <w:rsid w:val="007A0B1A"/>
    <w:rsid w:val="007A28CB"/>
    <w:rsid w:val="007A369B"/>
    <w:rsid w:val="007A3885"/>
    <w:rsid w:val="007A41CF"/>
    <w:rsid w:val="007A5128"/>
    <w:rsid w:val="007A5599"/>
    <w:rsid w:val="007A6A98"/>
    <w:rsid w:val="007A7A40"/>
    <w:rsid w:val="007A7B08"/>
    <w:rsid w:val="007B2D40"/>
    <w:rsid w:val="007B4686"/>
    <w:rsid w:val="007B49C8"/>
    <w:rsid w:val="007B5A60"/>
    <w:rsid w:val="007B5D2E"/>
    <w:rsid w:val="007B7BB7"/>
    <w:rsid w:val="007B7FAB"/>
    <w:rsid w:val="007C2528"/>
    <w:rsid w:val="007C4197"/>
    <w:rsid w:val="007C67B2"/>
    <w:rsid w:val="007C6849"/>
    <w:rsid w:val="007C79FB"/>
    <w:rsid w:val="007D0637"/>
    <w:rsid w:val="007D07A6"/>
    <w:rsid w:val="007D109B"/>
    <w:rsid w:val="007D3410"/>
    <w:rsid w:val="007D43C5"/>
    <w:rsid w:val="007D661C"/>
    <w:rsid w:val="007D6A6D"/>
    <w:rsid w:val="007D70E7"/>
    <w:rsid w:val="007E0C7A"/>
    <w:rsid w:val="007E18AB"/>
    <w:rsid w:val="007E1E7E"/>
    <w:rsid w:val="007E28E7"/>
    <w:rsid w:val="007E318F"/>
    <w:rsid w:val="007E418D"/>
    <w:rsid w:val="007E4D12"/>
    <w:rsid w:val="007E4D2B"/>
    <w:rsid w:val="007E57BE"/>
    <w:rsid w:val="007E702D"/>
    <w:rsid w:val="007E7E9C"/>
    <w:rsid w:val="007E7FA8"/>
    <w:rsid w:val="007F0159"/>
    <w:rsid w:val="007F02E5"/>
    <w:rsid w:val="007F0EE7"/>
    <w:rsid w:val="007F1A44"/>
    <w:rsid w:val="007F2ACF"/>
    <w:rsid w:val="007F2B09"/>
    <w:rsid w:val="007F2D47"/>
    <w:rsid w:val="007F2D51"/>
    <w:rsid w:val="007F36CA"/>
    <w:rsid w:val="007F3968"/>
    <w:rsid w:val="007F3D51"/>
    <w:rsid w:val="007F47AF"/>
    <w:rsid w:val="007F6B32"/>
    <w:rsid w:val="007F7104"/>
    <w:rsid w:val="007F79E1"/>
    <w:rsid w:val="00800844"/>
    <w:rsid w:val="008014EE"/>
    <w:rsid w:val="00801F5F"/>
    <w:rsid w:val="00802664"/>
    <w:rsid w:val="00803263"/>
    <w:rsid w:val="00803286"/>
    <w:rsid w:val="008043DD"/>
    <w:rsid w:val="0080685C"/>
    <w:rsid w:val="0080729A"/>
    <w:rsid w:val="008075A9"/>
    <w:rsid w:val="00807B37"/>
    <w:rsid w:val="008104CD"/>
    <w:rsid w:val="00810F93"/>
    <w:rsid w:val="00811DA4"/>
    <w:rsid w:val="0081235B"/>
    <w:rsid w:val="00813AF6"/>
    <w:rsid w:val="00813FA3"/>
    <w:rsid w:val="00821621"/>
    <w:rsid w:val="00821A10"/>
    <w:rsid w:val="00825333"/>
    <w:rsid w:val="008268A0"/>
    <w:rsid w:val="0082748E"/>
    <w:rsid w:val="0083053C"/>
    <w:rsid w:val="00830A6D"/>
    <w:rsid w:val="008330E2"/>
    <w:rsid w:val="008336FF"/>
    <w:rsid w:val="008349F6"/>
    <w:rsid w:val="008353E7"/>
    <w:rsid w:val="008359F9"/>
    <w:rsid w:val="00835AD6"/>
    <w:rsid w:val="008379C4"/>
    <w:rsid w:val="008402AF"/>
    <w:rsid w:val="00841371"/>
    <w:rsid w:val="00841F6F"/>
    <w:rsid w:val="008424A7"/>
    <w:rsid w:val="0084294E"/>
    <w:rsid w:val="00842CB6"/>
    <w:rsid w:val="00844CE1"/>
    <w:rsid w:val="00845608"/>
    <w:rsid w:val="008456CC"/>
    <w:rsid w:val="00845A17"/>
    <w:rsid w:val="00847BCE"/>
    <w:rsid w:val="008509FF"/>
    <w:rsid w:val="0085264C"/>
    <w:rsid w:val="00852953"/>
    <w:rsid w:val="00852A80"/>
    <w:rsid w:val="008546A6"/>
    <w:rsid w:val="00854A89"/>
    <w:rsid w:val="00855F05"/>
    <w:rsid w:val="00857F54"/>
    <w:rsid w:val="00857F8D"/>
    <w:rsid w:val="0086011F"/>
    <w:rsid w:val="00860FE6"/>
    <w:rsid w:val="008624F3"/>
    <w:rsid w:val="00862D34"/>
    <w:rsid w:val="00862D3D"/>
    <w:rsid w:val="008634C1"/>
    <w:rsid w:val="008635A2"/>
    <w:rsid w:val="00863DF9"/>
    <w:rsid w:val="00865B22"/>
    <w:rsid w:val="008663A6"/>
    <w:rsid w:val="0087060D"/>
    <w:rsid w:val="0087118A"/>
    <w:rsid w:val="0087126D"/>
    <w:rsid w:val="00871D75"/>
    <w:rsid w:val="008727EA"/>
    <w:rsid w:val="00872F93"/>
    <w:rsid w:val="008737AA"/>
    <w:rsid w:val="00874C07"/>
    <w:rsid w:val="00875B8A"/>
    <w:rsid w:val="0087667D"/>
    <w:rsid w:val="008768A0"/>
    <w:rsid w:val="00880348"/>
    <w:rsid w:val="00881537"/>
    <w:rsid w:val="00881789"/>
    <w:rsid w:val="00883E1F"/>
    <w:rsid w:val="008853EF"/>
    <w:rsid w:val="00886083"/>
    <w:rsid w:val="0088638A"/>
    <w:rsid w:val="00890642"/>
    <w:rsid w:val="0089072A"/>
    <w:rsid w:val="00890976"/>
    <w:rsid w:val="008938B0"/>
    <w:rsid w:val="00893CBB"/>
    <w:rsid w:val="00895C6C"/>
    <w:rsid w:val="00896C3F"/>
    <w:rsid w:val="00897A9C"/>
    <w:rsid w:val="008A066F"/>
    <w:rsid w:val="008A1147"/>
    <w:rsid w:val="008A1FB5"/>
    <w:rsid w:val="008A25D6"/>
    <w:rsid w:val="008A29A0"/>
    <w:rsid w:val="008A34F6"/>
    <w:rsid w:val="008A49D1"/>
    <w:rsid w:val="008A4BCE"/>
    <w:rsid w:val="008A5CA6"/>
    <w:rsid w:val="008A6B68"/>
    <w:rsid w:val="008A6E3D"/>
    <w:rsid w:val="008A70DC"/>
    <w:rsid w:val="008B0B14"/>
    <w:rsid w:val="008B2C31"/>
    <w:rsid w:val="008B345F"/>
    <w:rsid w:val="008B34B0"/>
    <w:rsid w:val="008B4686"/>
    <w:rsid w:val="008B4B3E"/>
    <w:rsid w:val="008B600E"/>
    <w:rsid w:val="008B6A3B"/>
    <w:rsid w:val="008B6C2E"/>
    <w:rsid w:val="008B6D94"/>
    <w:rsid w:val="008B7BA5"/>
    <w:rsid w:val="008B7DB0"/>
    <w:rsid w:val="008C039A"/>
    <w:rsid w:val="008C03DE"/>
    <w:rsid w:val="008C0A78"/>
    <w:rsid w:val="008C124E"/>
    <w:rsid w:val="008C28D9"/>
    <w:rsid w:val="008C3381"/>
    <w:rsid w:val="008C3745"/>
    <w:rsid w:val="008C4BC2"/>
    <w:rsid w:val="008C4F32"/>
    <w:rsid w:val="008C5853"/>
    <w:rsid w:val="008C5A70"/>
    <w:rsid w:val="008C70F3"/>
    <w:rsid w:val="008D078C"/>
    <w:rsid w:val="008D0C58"/>
    <w:rsid w:val="008D1BB7"/>
    <w:rsid w:val="008D293C"/>
    <w:rsid w:val="008D30EA"/>
    <w:rsid w:val="008D3EB7"/>
    <w:rsid w:val="008D7066"/>
    <w:rsid w:val="008D78CD"/>
    <w:rsid w:val="008E1468"/>
    <w:rsid w:val="008E1C60"/>
    <w:rsid w:val="008E25AB"/>
    <w:rsid w:val="008E33CF"/>
    <w:rsid w:val="008E3B7C"/>
    <w:rsid w:val="008E5353"/>
    <w:rsid w:val="008E6250"/>
    <w:rsid w:val="008E6266"/>
    <w:rsid w:val="008E7400"/>
    <w:rsid w:val="008E77C0"/>
    <w:rsid w:val="008F00F6"/>
    <w:rsid w:val="008F09B7"/>
    <w:rsid w:val="008F2CEE"/>
    <w:rsid w:val="008F3093"/>
    <w:rsid w:val="008F3D03"/>
    <w:rsid w:val="008F3E28"/>
    <w:rsid w:val="008F6411"/>
    <w:rsid w:val="008F678D"/>
    <w:rsid w:val="008F6938"/>
    <w:rsid w:val="0090146F"/>
    <w:rsid w:val="00903605"/>
    <w:rsid w:val="009037CE"/>
    <w:rsid w:val="0090419C"/>
    <w:rsid w:val="00904821"/>
    <w:rsid w:val="009056E5"/>
    <w:rsid w:val="0090591B"/>
    <w:rsid w:val="00906959"/>
    <w:rsid w:val="00912366"/>
    <w:rsid w:val="00913CD9"/>
    <w:rsid w:val="00913F43"/>
    <w:rsid w:val="0091582A"/>
    <w:rsid w:val="00915A81"/>
    <w:rsid w:val="0091632C"/>
    <w:rsid w:val="0091731A"/>
    <w:rsid w:val="00920F9D"/>
    <w:rsid w:val="009228F4"/>
    <w:rsid w:val="00923AE9"/>
    <w:rsid w:val="0092730F"/>
    <w:rsid w:val="00930858"/>
    <w:rsid w:val="00931E7A"/>
    <w:rsid w:val="00932BA4"/>
    <w:rsid w:val="00933568"/>
    <w:rsid w:val="009348C8"/>
    <w:rsid w:val="00936236"/>
    <w:rsid w:val="009369A7"/>
    <w:rsid w:val="00936A50"/>
    <w:rsid w:val="009379B7"/>
    <w:rsid w:val="00937A47"/>
    <w:rsid w:val="009409BF"/>
    <w:rsid w:val="00941A5B"/>
    <w:rsid w:val="0094229F"/>
    <w:rsid w:val="00942C6C"/>
    <w:rsid w:val="009432B7"/>
    <w:rsid w:val="0094497B"/>
    <w:rsid w:val="00950632"/>
    <w:rsid w:val="009510EC"/>
    <w:rsid w:val="0095410C"/>
    <w:rsid w:val="0095690B"/>
    <w:rsid w:val="0096116C"/>
    <w:rsid w:val="00961531"/>
    <w:rsid w:val="00963095"/>
    <w:rsid w:val="009642A5"/>
    <w:rsid w:val="00965946"/>
    <w:rsid w:val="009664CB"/>
    <w:rsid w:val="00967A0A"/>
    <w:rsid w:val="0097113C"/>
    <w:rsid w:val="009720BF"/>
    <w:rsid w:val="00972BAC"/>
    <w:rsid w:val="00974B15"/>
    <w:rsid w:val="0097538B"/>
    <w:rsid w:val="009753D8"/>
    <w:rsid w:val="00975B32"/>
    <w:rsid w:val="00975BA7"/>
    <w:rsid w:val="009760A8"/>
    <w:rsid w:val="009805C9"/>
    <w:rsid w:val="00980E68"/>
    <w:rsid w:val="00981274"/>
    <w:rsid w:val="00981F1A"/>
    <w:rsid w:val="00981F54"/>
    <w:rsid w:val="009834E1"/>
    <w:rsid w:val="00983C0D"/>
    <w:rsid w:val="00984C1F"/>
    <w:rsid w:val="009850AF"/>
    <w:rsid w:val="00986CE1"/>
    <w:rsid w:val="00992FF2"/>
    <w:rsid w:val="009947CC"/>
    <w:rsid w:val="00994A31"/>
    <w:rsid w:val="00995220"/>
    <w:rsid w:val="00996049"/>
    <w:rsid w:val="009968B9"/>
    <w:rsid w:val="009977DC"/>
    <w:rsid w:val="00997E17"/>
    <w:rsid w:val="009A1822"/>
    <w:rsid w:val="009A33A7"/>
    <w:rsid w:val="009A42C5"/>
    <w:rsid w:val="009A4D9D"/>
    <w:rsid w:val="009A6B16"/>
    <w:rsid w:val="009B127C"/>
    <w:rsid w:val="009B29AA"/>
    <w:rsid w:val="009B37DA"/>
    <w:rsid w:val="009B3E7E"/>
    <w:rsid w:val="009B4C26"/>
    <w:rsid w:val="009B4C65"/>
    <w:rsid w:val="009B56DD"/>
    <w:rsid w:val="009B5921"/>
    <w:rsid w:val="009B60FA"/>
    <w:rsid w:val="009B72CE"/>
    <w:rsid w:val="009C03F4"/>
    <w:rsid w:val="009C1572"/>
    <w:rsid w:val="009C2C86"/>
    <w:rsid w:val="009C2FCA"/>
    <w:rsid w:val="009C3465"/>
    <w:rsid w:val="009C4E38"/>
    <w:rsid w:val="009C7A90"/>
    <w:rsid w:val="009C7E9A"/>
    <w:rsid w:val="009D2AB1"/>
    <w:rsid w:val="009D3242"/>
    <w:rsid w:val="009D4271"/>
    <w:rsid w:val="009D46A9"/>
    <w:rsid w:val="009D6966"/>
    <w:rsid w:val="009E04FD"/>
    <w:rsid w:val="009E071A"/>
    <w:rsid w:val="009E079A"/>
    <w:rsid w:val="009E2B36"/>
    <w:rsid w:val="009E3F42"/>
    <w:rsid w:val="009E44B8"/>
    <w:rsid w:val="009E4C35"/>
    <w:rsid w:val="009E4E66"/>
    <w:rsid w:val="009E5AB7"/>
    <w:rsid w:val="009E68B2"/>
    <w:rsid w:val="009E73A0"/>
    <w:rsid w:val="009F0F97"/>
    <w:rsid w:val="009F123B"/>
    <w:rsid w:val="009F2871"/>
    <w:rsid w:val="009F2B99"/>
    <w:rsid w:val="009F40DB"/>
    <w:rsid w:val="009F4998"/>
    <w:rsid w:val="009F5673"/>
    <w:rsid w:val="009F5DBF"/>
    <w:rsid w:val="009F62D2"/>
    <w:rsid w:val="009F79D0"/>
    <w:rsid w:val="00A00FE5"/>
    <w:rsid w:val="00A021AC"/>
    <w:rsid w:val="00A0260E"/>
    <w:rsid w:val="00A03DAA"/>
    <w:rsid w:val="00A0458C"/>
    <w:rsid w:val="00A06A8C"/>
    <w:rsid w:val="00A07516"/>
    <w:rsid w:val="00A11428"/>
    <w:rsid w:val="00A1295F"/>
    <w:rsid w:val="00A12E69"/>
    <w:rsid w:val="00A1395A"/>
    <w:rsid w:val="00A1510A"/>
    <w:rsid w:val="00A15996"/>
    <w:rsid w:val="00A20ECF"/>
    <w:rsid w:val="00A216CE"/>
    <w:rsid w:val="00A2201B"/>
    <w:rsid w:val="00A232AE"/>
    <w:rsid w:val="00A237DC"/>
    <w:rsid w:val="00A23910"/>
    <w:rsid w:val="00A24241"/>
    <w:rsid w:val="00A2445A"/>
    <w:rsid w:val="00A24CF9"/>
    <w:rsid w:val="00A250AD"/>
    <w:rsid w:val="00A25481"/>
    <w:rsid w:val="00A26CAC"/>
    <w:rsid w:val="00A26D1F"/>
    <w:rsid w:val="00A275D9"/>
    <w:rsid w:val="00A30EAF"/>
    <w:rsid w:val="00A311A5"/>
    <w:rsid w:val="00A31218"/>
    <w:rsid w:val="00A32800"/>
    <w:rsid w:val="00A33348"/>
    <w:rsid w:val="00A33351"/>
    <w:rsid w:val="00A33406"/>
    <w:rsid w:val="00A3375E"/>
    <w:rsid w:val="00A35E2D"/>
    <w:rsid w:val="00A376AB"/>
    <w:rsid w:val="00A37C25"/>
    <w:rsid w:val="00A417ED"/>
    <w:rsid w:val="00A4188A"/>
    <w:rsid w:val="00A41CAF"/>
    <w:rsid w:val="00A438FC"/>
    <w:rsid w:val="00A443E3"/>
    <w:rsid w:val="00A45351"/>
    <w:rsid w:val="00A464A7"/>
    <w:rsid w:val="00A46E39"/>
    <w:rsid w:val="00A47377"/>
    <w:rsid w:val="00A476D9"/>
    <w:rsid w:val="00A5035E"/>
    <w:rsid w:val="00A508F4"/>
    <w:rsid w:val="00A50B38"/>
    <w:rsid w:val="00A516C3"/>
    <w:rsid w:val="00A53339"/>
    <w:rsid w:val="00A547C3"/>
    <w:rsid w:val="00A55058"/>
    <w:rsid w:val="00A57B92"/>
    <w:rsid w:val="00A60008"/>
    <w:rsid w:val="00A61388"/>
    <w:rsid w:val="00A61FE1"/>
    <w:rsid w:val="00A6260D"/>
    <w:rsid w:val="00A62C12"/>
    <w:rsid w:val="00A6368F"/>
    <w:rsid w:val="00A64736"/>
    <w:rsid w:val="00A65373"/>
    <w:rsid w:val="00A667C8"/>
    <w:rsid w:val="00A669CC"/>
    <w:rsid w:val="00A679A2"/>
    <w:rsid w:val="00A67CC9"/>
    <w:rsid w:val="00A67EC4"/>
    <w:rsid w:val="00A70BA1"/>
    <w:rsid w:val="00A72DBD"/>
    <w:rsid w:val="00A731B7"/>
    <w:rsid w:val="00A73286"/>
    <w:rsid w:val="00A74219"/>
    <w:rsid w:val="00A7474C"/>
    <w:rsid w:val="00A74CB9"/>
    <w:rsid w:val="00A75428"/>
    <w:rsid w:val="00A771B2"/>
    <w:rsid w:val="00A77506"/>
    <w:rsid w:val="00A77857"/>
    <w:rsid w:val="00A77E17"/>
    <w:rsid w:val="00A81335"/>
    <w:rsid w:val="00A81EF2"/>
    <w:rsid w:val="00A84664"/>
    <w:rsid w:val="00A8501C"/>
    <w:rsid w:val="00A85BD3"/>
    <w:rsid w:val="00A871EE"/>
    <w:rsid w:val="00A87AEA"/>
    <w:rsid w:val="00A90AE8"/>
    <w:rsid w:val="00A90F10"/>
    <w:rsid w:val="00A91B70"/>
    <w:rsid w:val="00A91CC9"/>
    <w:rsid w:val="00A94071"/>
    <w:rsid w:val="00A95ACB"/>
    <w:rsid w:val="00A95CF8"/>
    <w:rsid w:val="00A972B3"/>
    <w:rsid w:val="00AA0EC3"/>
    <w:rsid w:val="00AA1B58"/>
    <w:rsid w:val="00AA2266"/>
    <w:rsid w:val="00AA50E8"/>
    <w:rsid w:val="00AA523D"/>
    <w:rsid w:val="00AA6C15"/>
    <w:rsid w:val="00AB02B2"/>
    <w:rsid w:val="00AB0EF5"/>
    <w:rsid w:val="00AB1754"/>
    <w:rsid w:val="00AB2ACA"/>
    <w:rsid w:val="00AB39C6"/>
    <w:rsid w:val="00AB4009"/>
    <w:rsid w:val="00AB4F21"/>
    <w:rsid w:val="00AB58AE"/>
    <w:rsid w:val="00AB5ACA"/>
    <w:rsid w:val="00AB617C"/>
    <w:rsid w:val="00AB693E"/>
    <w:rsid w:val="00AC09D9"/>
    <w:rsid w:val="00AC2FAC"/>
    <w:rsid w:val="00AC2FC9"/>
    <w:rsid w:val="00AC3549"/>
    <w:rsid w:val="00AC44D1"/>
    <w:rsid w:val="00AC5142"/>
    <w:rsid w:val="00AC5B2F"/>
    <w:rsid w:val="00AC65EB"/>
    <w:rsid w:val="00AD272C"/>
    <w:rsid w:val="00AD2785"/>
    <w:rsid w:val="00AD4652"/>
    <w:rsid w:val="00AD605E"/>
    <w:rsid w:val="00AD62C3"/>
    <w:rsid w:val="00AD653E"/>
    <w:rsid w:val="00AE09B9"/>
    <w:rsid w:val="00AE0B6E"/>
    <w:rsid w:val="00AE1539"/>
    <w:rsid w:val="00AE201B"/>
    <w:rsid w:val="00AE2D80"/>
    <w:rsid w:val="00AE37AB"/>
    <w:rsid w:val="00AE3C76"/>
    <w:rsid w:val="00AE46AA"/>
    <w:rsid w:val="00AE55AC"/>
    <w:rsid w:val="00AE6052"/>
    <w:rsid w:val="00AE6462"/>
    <w:rsid w:val="00AF128D"/>
    <w:rsid w:val="00AF29AE"/>
    <w:rsid w:val="00AF2CCC"/>
    <w:rsid w:val="00AF42B5"/>
    <w:rsid w:val="00AF5C16"/>
    <w:rsid w:val="00AF6C99"/>
    <w:rsid w:val="00B0128B"/>
    <w:rsid w:val="00B05625"/>
    <w:rsid w:val="00B062E6"/>
    <w:rsid w:val="00B06390"/>
    <w:rsid w:val="00B07EEB"/>
    <w:rsid w:val="00B1025F"/>
    <w:rsid w:val="00B107D4"/>
    <w:rsid w:val="00B10CB6"/>
    <w:rsid w:val="00B10EEF"/>
    <w:rsid w:val="00B11130"/>
    <w:rsid w:val="00B121C7"/>
    <w:rsid w:val="00B125EE"/>
    <w:rsid w:val="00B12B45"/>
    <w:rsid w:val="00B1314B"/>
    <w:rsid w:val="00B14CCF"/>
    <w:rsid w:val="00B15925"/>
    <w:rsid w:val="00B1615D"/>
    <w:rsid w:val="00B166E7"/>
    <w:rsid w:val="00B17F3B"/>
    <w:rsid w:val="00B20E30"/>
    <w:rsid w:val="00B20F75"/>
    <w:rsid w:val="00B21091"/>
    <w:rsid w:val="00B21263"/>
    <w:rsid w:val="00B21C94"/>
    <w:rsid w:val="00B223D7"/>
    <w:rsid w:val="00B24F9D"/>
    <w:rsid w:val="00B25C6C"/>
    <w:rsid w:val="00B25CCB"/>
    <w:rsid w:val="00B26768"/>
    <w:rsid w:val="00B26F49"/>
    <w:rsid w:val="00B2771B"/>
    <w:rsid w:val="00B305F4"/>
    <w:rsid w:val="00B35D54"/>
    <w:rsid w:val="00B362CB"/>
    <w:rsid w:val="00B36474"/>
    <w:rsid w:val="00B37CAF"/>
    <w:rsid w:val="00B40C45"/>
    <w:rsid w:val="00B410AD"/>
    <w:rsid w:val="00B435B2"/>
    <w:rsid w:val="00B44512"/>
    <w:rsid w:val="00B4569F"/>
    <w:rsid w:val="00B45C27"/>
    <w:rsid w:val="00B46B01"/>
    <w:rsid w:val="00B50EA2"/>
    <w:rsid w:val="00B515DE"/>
    <w:rsid w:val="00B51F84"/>
    <w:rsid w:val="00B531A3"/>
    <w:rsid w:val="00B54AA7"/>
    <w:rsid w:val="00B5545D"/>
    <w:rsid w:val="00B5650A"/>
    <w:rsid w:val="00B56B1D"/>
    <w:rsid w:val="00B6142A"/>
    <w:rsid w:val="00B63D6D"/>
    <w:rsid w:val="00B65A87"/>
    <w:rsid w:val="00B664C0"/>
    <w:rsid w:val="00B664D4"/>
    <w:rsid w:val="00B66FC3"/>
    <w:rsid w:val="00B709E2"/>
    <w:rsid w:val="00B7212E"/>
    <w:rsid w:val="00B73702"/>
    <w:rsid w:val="00B73EAC"/>
    <w:rsid w:val="00B74555"/>
    <w:rsid w:val="00B75362"/>
    <w:rsid w:val="00B80827"/>
    <w:rsid w:val="00B818C0"/>
    <w:rsid w:val="00B83079"/>
    <w:rsid w:val="00B8490E"/>
    <w:rsid w:val="00B854D2"/>
    <w:rsid w:val="00B86C3C"/>
    <w:rsid w:val="00B87241"/>
    <w:rsid w:val="00B90787"/>
    <w:rsid w:val="00B9209A"/>
    <w:rsid w:val="00B925F5"/>
    <w:rsid w:val="00B96A6F"/>
    <w:rsid w:val="00B9704E"/>
    <w:rsid w:val="00BA086E"/>
    <w:rsid w:val="00BA174C"/>
    <w:rsid w:val="00BA1BCD"/>
    <w:rsid w:val="00BA1E0C"/>
    <w:rsid w:val="00BA4230"/>
    <w:rsid w:val="00BA6894"/>
    <w:rsid w:val="00BA733F"/>
    <w:rsid w:val="00BA79CF"/>
    <w:rsid w:val="00BA7C90"/>
    <w:rsid w:val="00BB11B4"/>
    <w:rsid w:val="00BB2921"/>
    <w:rsid w:val="00BB5F10"/>
    <w:rsid w:val="00BB6AAA"/>
    <w:rsid w:val="00BB726A"/>
    <w:rsid w:val="00BB7F9F"/>
    <w:rsid w:val="00BC0780"/>
    <w:rsid w:val="00BC0D2A"/>
    <w:rsid w:val="00BC1D3C"/>
    <w:rsid w:val="00BC373D"/>
    <w:rsid w:val="00BC4609"/>
    <w:rsid w:val="00BC5420"/>
    <w:rsid w:val="00BC5C67"/>
    <w:rsid w:val="00BC5EAF"/>
    <w:rsid w:val="00BC66D1"/>
    <w:rsid w:val="00BC6A0C"/>
    <w:rsid w:val="00BC6E55"/>
    <w:rsid w:val="00BC6F4B"/>
    <w:rsid w:val="00BD11F0"/>
    <w:rsid w:val="00BD2AD8"/>
    <w:rsid w:val="00BD2C0F"/>
    <w:rsid w:val="00BD2E2B"/>
    <w:rsid w:val="00BD37F4"/>
    <w:rsid w:val="00BD4324"/>
    <w:rsid w:val="00BD4CEB"/>
    <w:rsid w:val="00BD5D91"/>
    <w:rsid w:val="00BD5DF3"/>
    <w:rsid w:val="00BD71B2"/>
    <w:rsid w:val="00BD7359"/>
    <w:rsid w:val="00BE05B0"/>
    <w:rsid w:val="00BE0ACA"/>
    <w:rsid w:val="00BE1284"/>
    <w:rsid w:val="00BE13F2"/>
    <w:rsid w:val="00BE1B19"/>
    <w:rsid w:val="00BE262D"/>
    <w:rsid w:val="00BE4032"/>
    <w:rsid w:val="00BE4E03"/>
    <w:rsid w:val="00BE5F5C"/>
    <w:rsid w:val="00BE7684"/>
    <w:rsid w:val="00BE7BDC"/>
    <w:rsid w:val="00BF055C"/>
    <w:rsid w:val="00BF1455"/>
    <w:rsid w:val="00BF1861"/>
    <w:rsid w:val="00BF1A93"/>
    <w:rsid w:val="00BF2A4C"/>
    <w:rsid w:val="00BF2C38"/>
    <w:rsid w:val="00BF4549"/>
    <w:rsid w:val="00BF5501"/>
    <w:rsid w:val="00BF5BFD"/>
    <w:rsid w:val="00BF5D42"/>
    <w:rsid w:val="00C00B63"/>
    <w:rsid w:val="00C016E6"/>
    <w:rsid w:val="00C018D1"/>
    <w:rsid w:val="00C01B06"/>
    <w:rsid w:val="00C01C2B"/>
    <w:rsid w:val="00C02334"/>
    <w:rsid w:val="00C02653"/>
    <w:rsid w:val="00C02744"/>
    <w:rsid w:val="00C02CF0"/>
    <w:rsid w:val="00C03183"/>
    <w:rsid w:val="00C033D8"/>
    <w:rsid w:val="00C03A1E"/>
    <w:rsid w:val="00C03D81"/>
    <w:rsid w:val="00C03FDD"/>
    <w:rsid w:val="00C0562E"/>
    <w:rsid w:val="00C05D7E"/>
    <w:rsid w:val="00C06B63"/>
    <w:rsid w:val="00C07910"/>
    <w:rsid w:val="00C11E52"/>
    <w:rsid w:val="00C1231A"/>
    <w:rsid w:val="00C13660"/>
    <w:rsid w:val="00C13890"/>
    <w:rsid w:val="00C13D06"/>
    <w:rsid w:val="00C14C06"/>
    <w:rsid w:val="00C1580B"/>
    <w:rsid w:val="00C170B7"/>
    <w:rsid w:val="00C175AD"/>
    <w:rsid w:val="00C20A2A"/>
    <w:rsid w:val="00C22595"/>
    <w:rsid w:val="00C22776"/>
    <w:rsid w:val="00C22918"/>
    <w:rsid w:val="00C2331F"/>
    <w:rsid w:val="00C23F8C"/>
    <w:rsid w:val="00C25C73"/>
    <w:rsid w:val="00C265EA"/>
    <w:rsid w:val="00C27A99"/>
    <w:rsid w:val="00C30EB7"/>
    <w:rsid w:val="00C33BE1"/>
    <w:rsid w:val="00C359DC"/>
    <w:rsid w:val="00C370B0"/>
    <w:rsid w:val="00C409E7"/>
    <w:rsid w:val="00C40B75"/>
    <w:rsid w:val="00C40F55"/>
    <w:rsid w:val="00C41539"/>
    <w:rsid w:val="00C41986"/>
    <w:rsid w:val="00C41B1D"/>
    <w:rsid w:val="00C427A8"/>
    <w:rsid w:val="00C4322F"/>
    <w:rsid w:val="00C4407A"/>
    <w:rsid w:val="00C44756"/>
    <w:rsid w:val="00C456EF"/>
    <w:rsid w:val="00C45E11"/>
    <w:rsid w:val="00C460C5"/>
    <w:rsid w:val="00C475DC"/>
    <w:rsid w:val="00C525C8"/>
    <w:rsid w:val="00C53054"/>
    <w:rsid w:val="00C5313F"/>
    <w:rsid w:val="00C55850"/>
    <w:rsid w:val="00C56B35"/>
    <w:rsid w:val="00C602C0"/>
    <w:rsid w:val="00C62705"/>
    <w:rsid w:val="00C62FE0"/>
    <w:rsid w:val="00C64974"/>
    <w:rsid w:val="00C702C7"/>
    <w:rsid w:val="00C7095D"/>
    <w:rsid w:val="00C7102B"/>
    <w:rsid w:val="00C715C1"/>
    <w:rsid w:val="00C71E4C"/>
    <w:rsid w:val="00C7286F"/>
    <w:rsid w:val="00C72EEE"/>
    <w:rsid w:val="00C73B04"/>
    <w:rsid w:val="00C73B3A"/>
    <w:rsid w:val="00C7439C"/>
    <w:rsid w:val="00C7498C"/>
    <w:rsid w:val="00C74BBA"/>
    <w:rsid w:val="00C75136"/>
    <w:rsid w:val="00C75349"/>
    <w:rsid w:val="00C76B2F"/>
    <w:rsid w:val="00C76CC9"/>
    <w:rsid w:val="00C77665"/>
    <w:rsid w:val="00C80314"/>
    <w:rsid w:val="00C821B8"/>
    <w:rsid w:val="00C82AD0"/>
    <w:rsid w:val="00C82FEF"/>
    <w:rsid w:val="00C836C1"/>
    <w:rsid w:val="00C8401E"/>
    <w:rsid w:val="00C850E3"/>
    <w:rsid w:val="00C8594F"/>
    <w:rsid w:val="00C85E17"/>
    <w:rsid w:val="00C85FE3"/>
    <w:rsid w:val="00C862C7"/>
    <w:rsid w:val="00C90079"/>
    <w:rsid w:val="00C90128"/>
    <w:rsid w:val="00C912D2"/>
    <w:rsid w:val="00C91C48"/>
    <w:rsid w:val="00C92249"/>
    <w:rsid w:val="00C93316"/>
    <w:rsid w:val="00C938E7"/>
    <w:rsid w:val="00C95FD8"/>
    <w:rsid w:val="00C96438"/>
    <w:rsid w:val="00C96C31"/>
    <w:rsid w:val="00CA0104"/>
    <w:rsid w:val="00CA0DAB"/>
    <w:rsid w:val="00CA12FC"/>
    <w:rsid w:val="00CA1F3A"/>
    <w:rsid w:val="00CA395D"/>
    <w:rsid w:val="00CA3D2C"/>
    <w:rsid w:val="00CA5724"/>
    <w:rsid w:val="00CB0635"/>
    <w:rsid w:val="00CB1BAA"/>
    <w:rsid w:val="00CB32B8"/>
    <w:rsid w:val="00CB3FB6"/>
    <w:rsid w:val="00CB4234"/>
    <w:rsid w:val="00CB4E20"/>
    <w:rsid w:val="00CB6EAE"/>
    <w:rsid w:val="00CB750C"/>
    <w:rsid w:val="00CB7998"/>
    <w:rsid w:val="00CB7BD2"/>
    <w:rsid w:val="00CC106B"/>
    <w:rsid w:val="00CC177F"/>
    <w:rsid w:val="00CC17B6"/>
    <w:rsid w:val="00CC194D"/>
    <w:rsid w:val="00CC3E1A"/>
    <w:rsid w:val="00CC45C8"/>
    <w:rsid w:val="00CC4989"/>
    <w:rsid w:val="00CC501C"/>
    <w:rsid w:val="00CC6085"/>
    <w:rsid w:val="00CC6AB5"/>
    <w:rsid w:val="00CD15A0"/>
    <w:rsid w:val="00CD15C9"/>
    <w:rsid w:val="00CD2EBA"/>
    <w:rsid w:val="00CD304D"/>
    <w:rsid w:val="00CD3A19"/>
    <w:rsid w:val="00CD6A83"/>
    <w:rsid w:val="00CD7724"/>
    <w:rsid w:val="00CE007D"/>
    <w:rsid w:val="00CE098A"/>
    <w:rsid w:val="00CE1C7E"/>
    <w:rsid w:val="00CE1E1E"/>
    <w:rsid w:val="00CE329F"/>
    <w:rsid w:val="00CE4683"/>
    <w:rsid w:val="00CE4936"/>
    <w:rsid w:val="00CE5362"/>
    <w:rsid w:val="00CE5507"/>
    <w:rsid w:val="00CE565F"/>
    <w:rsid w:val="00CE7612"/>
    <w:rsid w:val="00CF002A"/>
    <w:rsid w:val="00CF0B9C"/>
    <w:rsid w:val="00CF15B0"/>
    <w:rsid w:val="00CF1906"/>
    <w:rsid w:val="00CF39C8"/>
    <w:rsid w:val="00CF4346"/>
    <w:rsid w:val="00CF53CD"/>
    <w:rsid w:val="00CF5FC8"/>
    <w:rsid w:val="00CF7356"/>
    <w:rsid w:val="00CF743F"/>
    <w:rsid w:val="00D01269"/>
    <w:rsid w:val="00D02F40"/>
    <w:rsid w:val="00D051E6"/>
    <w:rsid w:val="00D064FD"/>
    <w:rsid w:val="00D06548"/>
    <w:rsid w:val="00D07656"/>
    <w:rsid w:val="00D07F2E"/>
    <w:rsid w:val="00D12662"/>
    <w:rsid w:val="00D12D66"/>
    <w:rsid w:val="00D13177"/>
    <w:rsid w:val="00D13650"/>
    <w:rsid w:val="00D148B7"/>
    <w:rsid w:val="00D15AE7"/>
    <w:rsid w:val="00D164AF"/>
    <w:rsid w:val="00D166E7"/>
    <w:rsid w:val="00D16756"/>
    <w:rsid w:val="00D17652"/>
    <w:rsid w:val="00D17AC2"/>
    <w:rsid w:val="00D17BA9"/>
    <w:rsid w:val="00D20192"/>
    <w:rsid w:val="00D23A46"/>
    <w:rsid w:val="00D30CE5"/>
    <w:rsid w:val="00D31951"/>
    <w:rsid w:val="00D31AF1"/>
    <w:rsid w:val="00D31FA1"/>
    <w:rsid w:val="00D32CA0"/>
    <w:rsid w:val="00D335E2"/>
    <w:rsid w:val="00D339D5"/>
    <w:rsid w:val="00D344EE"/>
    <w:rsid w:val="00D3471C"/>
    <w:rsid w:val="00D34728"/>
    <w:rsid w:val="00D349E6"/>
    <w:rsid w:val="00D3558A"/>
    <w:rsid w:val="00D364A9"/>
    <w:rsid w:val="00D366F0"/>
    <w:rsid w:val="00D36EBF"/>
    <w:rsid w:val="00D37605"/>
    <w:rsid w:val="00D3786C"/>
    <w:rsid w:val="00D37AB6"/>
    <w:rsid w:val="00D37EA8"/>
    <w:rsid w:val="00D4028E"/>
    <w:rsid w:val="00D40EB4"/>
    <w:rsid w:val="00D459E5"/>
    <w:rsid w:val="00D50D3B"/>
    <w:rsid w:val="00D52FC0"/>
    <w:rsid w:val="00D5371C"/>
    <w:rsid w:val="00D54847"/>
    <w:rsid w:val="00D56C4F"/>
    <w:rsid w:val="00D570DB"/>
    <w:rsid w:val="00D576B7"/>
    <w:rsid w:val="00D57A30"/>
    <w:rsid w:val="00D623C4"/>
    <w:rsid w:val="00D628E5"/>
    <w:rsid w:val="00D63B81"/>
    <w:rsid w:val="00D66938"/>
    <w:rsid w:val="00D679E5"/>
    <w:rsid w:val="00D67E08"/>
    <w:rsid w:val="00D70DF5"/>
    <w:rsid w:val="00D71A2E"/>
    <w:rsid w:val="00D72545"/>
    <w:rsid w:val="00D73138"/>
    <w:rsid w:val="00D73317"/>
    <w:rsid w:val="00D749BC"/>
    <w:rsid w:val="00D74AEE"/>
    <w:rsid w:val="00D75DA3"/>
    <w:rsid w:val="00D75DF7"/>
    <w:rsid w:val="00D75FDF"/>
    <w:rsid w:val="00D76C70"/>
    <w:rsid w:val="00D76E51"/>
    <w:rsid w:val="00D76EB5"/>
    <w:rsid w:val="00D76FEC"/>
    <w:rsid w:val="00D77AA2"/>
    <w:rsid w:val="00D8198D"/>
    <w:rsid w:val="00D82EF9"/>
    <w:rsid w:val="00D83CE8"/>
    <w:rsid w:val="00D850AD"/>
    <w:rsid w:val="00D8682C"/>
    <w:rsid w:val="00D869C4"/>
    <w:rsid w:val="00D870F9"/>
    <w:rsid w:val="00D9013C"/>
    <w:rsid w:val="00D90F15"/>
    <w:rsid w:val="00D92662"/>
    <w:rsid w:val="00D93242"/>
    <w:rsid w:val="00D933CB"/>
    <w:rsid w:val="00D93B3E"/>
    <w:rsid w:val="00D9531B"/>
    <w:rsid w:val="00D96B4C"/>
    <w:rsid w:val="00D97F3A"/>
    <w:rsid w:val="00DA0AEF"/>
    <w:rsid w:val="00DA2754"/>
    <w:rsid w:val="00DA3795"/>
    <w:rsid w:val="00DA3DA8"/>
    <w:rsid w:val="00DA4577"/>
    <w:rsid w:val="00DA46D8"/>
    <w:rsid w:val="00DA4CCB"/>
    <w:rsid w:val="00DA53F1"/>
    <w:rsid w:val="00DA5460"/>
    <w:rsid w:val="00DA71D0"/>
    <w:rsid w:val="00DA7279"/>
    <w:rsid w:val="00DA7342"/>
    <w:rsid w:val="00DB1489"/>
    <w:rsid w:val="00DB1FE3"/>
    <w:rsid w:val="00DB248B"/>
    <w:rsid w:val="00DB3DBF"/>
    <w:rsid w:val="00DB4643"/>
    <w:rsid w:val="00DB4E0F"/>
    <w:rsid w:val="00DB56E2"/>
    <w:rsid w:val="00DB5BC3"/>
    <w:rsid w:val="00DB6499"/>
    <w:rsid w:val="00DB6A99"/>
    <w:rsid w:val="00DC0E16"/>
    <w:rsid w:val="00DC2126"/>
    <w:rsid w:val="00DC4A16"/>
    <w:rsid w:val="00DC4DA9"/>
    <w:rsid w:val="00DC5614"/>
    <w:rsid w:val="00DC5F05"/>
    <w:rsid w:val="00DD07FF"/>
    <w:rsid w:val="00DD08E7"/>
    <w:rsid w:val="00DD2334"/>
    <w:rsid w:val="00DD2732"/>
    <w:rsid w:val="00DD39F7"/>
    <w:rsid w:val="00DD46AE"/>
    <w:rsid w:val="00DD4983"/>
    <w:rsid w:val="00DD4BC9"/>
    <w:rsid w:val="00DD4C1E"/>
    <w:rsid w:val="00DD5256"/>
    <w:rsid w:val="00DD6DB9"/>
    <w:rsid w:val="00DD7242"/>
    <w:rsid w:val="00DD75EA"/>
    <w:rsid w:val="00DD7F96"/>
    <w:rsid w:val="00DE0E09"/>
    <w:rsid w:val="00DE24AE"/>
    <w:rsid w:val="00DE2704"/>
    <w:rsid w:val="00DE6ADD"/>
    <w:rsid w:val="00DE6F57"/>
    <w:rsid w:val="00DE7655"/>
    <w:rsid w:val="00DF0389"/>
    <w:rsid w:val="00DF1396"/>
    <w:rsid w:val="00DF1F67"/>
    <w:rsid w:val="00DF2767"/>
    <w:rsid w:val="00DF5C8A"/>
    <w:rsid w:val="00DF659B"/>
    <w:rsid w:val="00DF65CA"/>
    <w:rsid w:val="00DF6D09"/>
    <w:rsid w:val="00DF7308"/>
    <w:rsid w:val="00DF7DB0"/>
    <w:rsid w:val="00DF7DE5"/>
    <w:rsid w:val="00E01399"/>
    <w:rsid w:val="00E016A9"/>
    <w:rsid w:val="00E03341"/>
    <w:rsid w:val="00E044E5"/>
    <w:rsid w:val="00E04F64"/>
    <w:rsid w:val="00E05BA1"/>
    <w:rsid w:val="00E0673E"/>
    <w:rsid w:val="00E11A45"/>
    <w:rsid w:val="00E11FED"/>
    <w:rsid w:val="00E1265D"/>
    <w:rsid w:val="00E12C7A"/>
    <w:rsid w:val="00E12FB7"/>
    <w:rsid w:val="00E15B5F"/>
    <w:rsid w:val="00E160C9"/>
    <w:rsid w:val="00E17463"/>
    <w:rsid w:val="00E1776B"/>
    <w:rsid w:val="00E21028"/>
    <w:rsid w:val="00E23106"/>
    <w:rsid w:val="00E23A2D"/>
    <w:rsid w:val="00E24949"/>
    <w:rsid w:val="00E25D67"/>
    <w:rsid w:val="00E25E7B"/>
    <w:rsid w:val="00E25FCC"/>
    <w:rsid w:val="00E274DA"/>
    <w:rsid w:val="00E27BC9"/>
    <w:rsid w:val="00E31B01"/>
    <w:rsid w:val="00E31EEA"/>
    <w:rsid w:val="00E326BB"/>
    <w:rsid w:val="00E32BB4"/>
    <w:rsid w:val="00E33CE3"/>
    <w:rsid w:val="00E35552"/>
    <w:rsid w:val="00E3787E"/>
    <w:rsid w:val="00E43DBB"/>
    <w:rsid w:val="00E43F24"/>
    <w:rsid w:val="00E44070"/>
    <w:rsid w:val="00E445C4"/>
    <w:rsid w:val="00E4589E"/>
    <w:rsid w:val="00E459AA"/>
    <w:rsid w:val="00E46214"/>
    <w:rsid w:val="00E502C9"/>
    <w:rsid w:val="00E50ED9"/>
    <w:rsid w:val="00E53E53"/>
    <w:rsid w:val="00E54272"/>
    <w:rsid w:val="00E54AAF"/>
    <w:rsid w:val="00E5510D"/>
    <w:rsid w:val="00E55C15"/>
    <w:rsid w:val="00E55D7F"/>
    <w:rsid w:val="00E56608"/>
    <w:rsid w:val="00E566E0"/>
    <w:rsid w:val="00E56F38"/>
    <w:rsid w:val="00E60683"/>
    <w:rsid w:val="00E61468"/>
    <w:rsid w:val="00E6170A"/>
    <w:rsid w:val="00E61C29"/>
    <w:rsid w:val="00E63061"/>
    <w:rsid w:val="00E6312B"/>
    <w:rsid w:val="00E632EE"/>
    <w:rsid w:val="00E653B9"/>
    <w:rsid w:val="00E668EB"/>
    <w:rsid w:val="00E66BC6"/>
    <w:rsid w:val="00E67A75"/>
    <w:rsid w:val="00E67CFE"/>
    <w:rsid w:val="00E7115B"/>
    <w:rsid w:val="00E71162"/>
    <w:rsid w:val="00E715A9"/>
    <w:rsid w:val="00E725D5"/>
    <w:rsid w:val="00E72DF9"/>
    <w:rsid w:val="00E738E0"/>
    <w:rsid w:val="00E73A65"/>
    <w:rsid w:val="00E761B3"/>
    <w:rsid w:val="00E769D1"/>
    <w:rsid w:val="00E76BAB"/>
    <w:rsid w:val="00E770CD"/>
    <w:rsid w:val="00E77A62"/>
    <w:rsid w:val="00E77FA6"/>
    <w:rsid w:val="00E80BEF"/>
    <w:rsid w:val="00E80E11"/>
    <w:rsid w:val="00E81380"/>
    <w:rsid w:val="00E81ECB"/>
    <w:rsid w:val="00E835CE"/>
    <w:rsid w:val="00E8445C"/>
    <w:rsid w:val="00E84477"/>
    <w:rsid w:val="00E845E3"/>
    <w:rsid w:val="00E84EE6"/>
    <w:rsid w:val="00E85765"/>
    <w:rsid w:val="00E85767"/>
    <w:rsid w:val="00E85A95"/>
    <w:rsid w:val="00E873FC"/>
    <w:rsid w:val="00E87E4B"/>
    <w:rsid w:val="00E9017D"/>
    <w:rsid w:val="00E91D0C"/>
    <w:rsid w:val="00E92220"/>
    <w:rsid w:val="00E92665"/>
    <w:rsid w:val="00E94130"/>
    <w:rsid w:val="00E946D2"/>
    <w:rsid w:val="00E94BA4"/>
    <w:rsid w:val="00E96032"/>
    <w:rsid w:val="00E961EB"/>
    <w:rsid w:val="00E965D1"/>
    <w:rsid w:val="00E97034"/>
    <w:rsid w:val="00EA29B6"/>
    <w:rsid w:val="00EA48C5"/>
    <w:rsid w:val="00EA5589"/>
    <w:rsid w:val="00EA573C"/>
    <w:rsid w:val="00EA6A55"/>
    <w:rsid w:val="00EA6FD1"/>
    <w:rsid w:val="00EA7A30"/>
    <w:rsid w:val="00EB02C6"/>
    <w:rsid w:val="00EB0B3B"/>
    <w:rsid w:val="00EB3258"/>
    <w:rsid w:val="00EB437C"/>
    <w:rsid w:val="00EB4CB1"/>
    <w:rsid w:val="00EB551F"/>
    <w:rsid w:val="00EB5B34"/>
    <w:rsid w:val="00EB6B69"/>
    <w:rsid w:val="00EC0E96"/>
    <w:rsid w:val="00EC0F93"/>
    <w:rsid w:val="00EC1298"/>
    <w:rsid w:val="00EC1AA6"/>
    <w:rsid w:val="00EC298A"/>
    <w:rsid w:val="00EC3664"/>
    <w:rsid w:val="00EC4F7A"/>
    <w:rsid w:val="00EC5B3A"/>
    <w:rsid w:val="00EC5C09"/>
    <w:rsid w:val="00EC6888"/>
    <w:rsid w:val="00EC711B"/>
    <w:rsid w:val="00EC747E"/>
    <w:rsid w:val="00ED099D"/>
    <w:rsid w:val="00ED10C7"/>
    <w:rsid w:val="00ED1387"/>
    <w:rsid w:val="00ED211E"/>
    <w:rsid w:val="00ED2A76"/>
    <w:rsid w:val="00ED7572"/>
    <w:rsid w:val="00EE011C"/>
    <w:rsid w:val="00EE112A"/>
    <w:rsid w:val="00EE115B"/>
    <w:rsid w:val="00EE1A51"/>
    <w:rsid w:val="00EE1DDB"/>
    <w:rsid w:val="00EE2916"/>
    <w:rsid w:val="00EE465E"/>
    <w:rsid w:val="00EE662C"/>
    <w:rsid w:val="00EE668B"/>
    <w:rsid w:val="00EF0413"/>
    <w:rsid w:val="00EF1280"/>
    <w:rsid w:val="00EF1389"/>
    <w:rsid w:val="00EF19CF"/>
    <w:rsid w:val="00EF2359"/>
    <w:rsid w:val="00EF2E58"/>
    <w:rsid w:val="00EF55C4"/>
    <w:rsid w:val="00EF6913"/>
    <w:rsid w:val="00EF7296"/>
    <w:rsid w:val="00EF7E3F"/>
    <w:rsid w:val="00F0041A"/>
    <w:rsid w:val="00F0132F"/>
    <w:rsid w:val="00F018F8"/>
    <w:rsid w:val="00F02BE9"/>
    <w:rsid w:val="00F02FAA"/>
    <w:rsid w:val="00F03071"/>
    <w:rsid w:val="00F0408D"/>
    <w:rsid w:val="00F04D9A"/>
    <w:rsid w:val="00F04E57"/>
    <w:rsid w:val="00F055D2"/>
    <w:rsid w:val="00F068E8"/>
    <w:rsid w:val="00F07DEB"/>
    <w:rsid w:val="00F11D91"/>
    <w:rsid w:val="00F123C2"/>
    <w:rsid w:val="00F135BA"/>
    <w:rsid w:val="00F14F26"/>
    <w:rsid w:val="00F155D7"/>
    <w:rsid w:val="00F16316"/>
    <w:rsid w:val="00F1653C"/>
    <w:rsid w:val="00F16D91"/>
    <w:rsid w:val="00F20239"/>
    <w:rsid w:val="00F20B0B"/>
    <w:rsid w:val="00F23A4B"/>
    <w:rsid w:val="00F25217"/>
    <w:rsid w:val="00F26D1A"/>
    <w:rsid w:val="00F2743A"/>
    <w:rsid w:val="00F27CB5"/>
    <w:rsid w:val="00F31080"/>
    <w:rsid w:val="00F31AC2"/>
    <w:rsid w:val="00F33848"/>
    <w:rsid w:val="00F33E23"/>
    <w:rsid w:val="00F34AC2"/>
    <w:rsid w:val="00F3505E"/>
    <w:rsid w:val="00F3559B"/>
    <w:rsid w:val="00F3573B"/>
    <w:rsid w:val="00F3583F"/>
    <w:rsid w:val="00F37130"/>
    <w:rsid w:val="00F40626"/>
    <w:rsid w:val="00F4070F"/>
    <w:rsid w:val="00F42D9D"/>
    <w:rsid w:val="00F43040"/>
    <w:rsid w:val="00F446CC"/>
    <w:rsid w:val="00F44856"/>
    <w:rsid w:val="00F44CBE"/>
    <w:rsid w:val="00F44E8F"/>
    <w:rsid w:val="00F45F1F"/>
    <w:rsid w:val="00F461A8"/>
    <w:rsid w:val="00F46568"/>
    <w:rsid w:val="00F47462"/>
    <w:rsid w:val="00F500C5"/>
    <w:rsid w:val="00F5327D"/>
    <w:rsid w:val="00F53822"/>
    <w:rsid w:val="00F5425E"/>
    <w:rsid w:val="00F542F3"/>
    <w:rsid w:val="00F54D23"/>
    <w:rsid w:val="00F56353"/>
    <w:rsid w:val="00F574CC"/>
    <w:rsid w:val="00F57881"/>
    <w:rsid w:val="00F60228"/>
    <w:rsid w:val="00F60369"/>
    <w:rsid w:val="00F60380"/>
    <w:rsid w:val="00F60741"/>
    <w:rsid w:val="00F62097"/>
    <w:rsid w:val="00F62159"/>
    <w:rsid w:val="00F62563"/>
    <w:rsid w:val="00F62730"/>
    <w:rsid w:val="00F62ACD"/>
    <w:rsid w:val="00F62BC2"/>
    <w:rsid w:val="00F63A5A"/>
    <w:rsid w:val="00F643DD"/>
    <w:rsid w:val="00F652A5"/>
    <w:rsid w:val="00F66241"/>
    <w:rsid w:val="00F6719B"/>
    <w:rsid w:val="00F70763"/>
    <w:rsid w:val="00F70792"/>
    <w:rsid w:val="00F7082F"/>
    <w:rsid w:val="00F70887"/>
    <w:rsid w:val="00F71045"/>
    <w:rsid w:val="00F71273"/>
    <w:rsid w:val="00F71527"/>
    <w:rsid w:val="00F73853"/>
    <w:rsid w:val="00F74A8E"/>
    <w:rsid w:val="00F7577B"/>
    <w:rsid w:val="00F76738"/>
    <w:rsid w:val="00F76BAD"/>
    <w:rsid w:val="00F815F1"/>
    <w:rsid w:val="00F8181B"/>
    <w:rsid w:val="00F82C89"/>
    <w:rsid w:val="00F8318B"/>
    <w:rsid w:val="00F835E7"/>
    <w:rsid w:val="00F83AA3"/>
    <w:rsid w:val="00F840D8"/>
    <w:rsid w:val="00F8462C"/>
    <w:rsid w:val="00F854BE"/>
    <w:rsid w:val="00F85C08"/>
    <w:rsid w:val="00F866CC"/>
    <w:rsid w:val="00F86CD2"/>
    <w:rsid w:val="00F87409"/>
    <w:rsid w:val="00F874FD"/>
    <w:rsid w:val="00F87F7F"/>
    <w:rsid w:val="00F90FE3"/>
    <w:rsid w:val="00F9144F"/>
    <w:rsid w:val="00F92440"/>
    <w:rsid w:val="00F933E0"/>
    <w:rsid w:val="00F95621"/>
    <w:rsid w:val="00F95E4E"/>
    <w:rsid w:val="00F96D31"/>
    <w:rsid w:val="00F97831"/>
    <w:rsid w:val="00F97BDB"/>
    <w:rsid w:val="00FA0D40"/>
    <w:rsid w:val="00FA0FCB"/>
    <w:rsid w:val="00FA38AB"/>
    <w:rsid w:val="00FA508C"/>
    <w:rsid w:val="00FA6843"/>
    <w:rsid w:val="00FA6A8D"/>
    <w:rsid w:val="00FA72A5"/>
    <w:rsid w:val="00FA776C"/>
    <w:rsid w:val="00FB0084"/>
    <w:rsid w:val="00FB05C4"/>
    <w:rsid w:val="00FB1269"/>
    <w:rsid w:val="00FB137C"/>
    <w:rsid w:val="00FB14AC"/>
    <w:rsid w:val="00FB1C0E"/>
    <w:rsid w:val="00FB30AE"/>
    <w:rsid w:val="00FB33E9"/>
    <w:rsid w:val="00FB438E"/>
    <w:rsid w:val="00FB4EB7"/>
    <w:rsid w:val="00FB52F4"/>
    <w:rsid w:val="00FB53ED"/>
    <w:rsid w:val="00FB6C56"/>
    <w:rsid w:val="00FB7DB6"/>
    <w:rsid w:val="00FC237C"/>
    <w:rsid w:val="00FC26F3"/>
    <w:rsid w:val="00FC298B"/>
    <w:rsid w:val="00FC49C2"/>
    <w:rsid w:val="00FC4CDD"/>
    <w:rsid w:val="00FC6566"/>
    <w:rsid w:val="00FD0EAD"/>
    <w:rsid w:val="00FD3AC2"/>
    <w:rsid w:val="00FD3EA1"/>
    <w:rsid w:val="00FD5D6C"/>
    <w:rsid w:val="00FD6125"/>
    <w:rsid w:val="00FD6279"/>
    <w:rsid w:val="00FD6576"/>
    <w:rsid w:val="00FD7666"/>
    <w:rsid w:val="00FE0115"/>
    <w:rsid w:val="00FE0D5B"/>
    <w:rsid w:val="00FE11AC"/>
    <w:rsid w:val="00FE1868"/>
    <w:rsid w:val="00FE2ABD"/>
    <w:rsid w:val="00FE36F6"/>
    <w:rsid w:val="00FE4CC9"/>
    <w:rsid w:val="00FE73AF"/>
    <w:rsid w:val="00FE78F8"/>
    <w:rsid w:val="00FE7A74"/>
    <w:rsid w:val="00FF1A4A"/>
    <w:rsid w:val="00FF1B34"/>
    <w:rsid w:val="00FF21EE"/>
    <w:rsid w:val="00FF2B2A"/>
    <w:rsid w:val="00FF5880"/>
    <w:rsid w:val="00FF5889"/>
    <w:rsid w:val="00FF6A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B7"/>
    <w:pPr>
      <w:widowControl w:val="0"/>
    </w:pPr>
    <w:rPr>
      <w:szCs w:val="24"/>
    </w:rPr>
  </w:style>
  <w:style w:type="paragraph" w:styleId="Heading1">
    <w:name w:val="heading 1"/>
    <w:basedOn w:val="Normal"/>
    <w:next w:val="Normal"/>
    <w:link w:val="Heading1Char"/>
    <w:uiPriority w:val="99"/>
    <w:qFormat/>
    <w:rsid w:val="00772ACB"/>
    <w:pPr>
      <w:keepNext/>
      <w:numPr>
        <w:numId w:val="2"/>
      </w:numPr>
      <w:tabs>
        <w:tab w:val="clear" w:pos="720"/>
      </w:tabs>
      <w:ind w:left="360" w:hanging="360"/>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038"/>
    <w:rPr>
      <w:rFonts w:asciiTheme="majorHAnsi" w:eastAsiaTheme="majorEastAsia" w:hAnsiTheme="majorHAnsi" w:cstheme="majorBidi"/>
      <w:b/>
      <w:bCs/>
      <w:kern w:val="52"/>
      <w:sz w:val="52"/>
      <w:szCs w:val="52"/>
    </w:rPr>
  </w:style>
  <w:style w:type="paragraph" w:styleId="FootnoteText">
    <w:name w:val="footnote text"/>
    <w:basedOn w:val="Normal"/>
    <w:link w:val="FootnoteTextChar"/>
    <w:uiPriority w:val="99"/>
    <w:semiHidden/>
    <w:rsid w:val="003C588C"/>
    <w:pPr>
      <w:snapToGrid w:val="0"/>
    </w:pPr>
    <w:rPr>
      <w:sz w:val="20"/>
      <w:szCs w:val="20"/>
    </w:rPr>
  </w:style>
  <w:style w:type="character" w:customStyle="1" w:styleId="FootnoteTextChar">
    <w:name w:val="Footnote Text Char"/>
    <w:basedOn w:val="DefaultParagraphFont"/>
    <w:link w:val="FootnoteText"/>
    <w:uiPriority w:val="99"/>
    <w:semiHidden/>
    <w:rsid w:val="00D27038"/>
    <w:rPr>
      <w:sz w:val="20"/>
      <w:szCs w:val="20"/>
    </w:rPr>
  </w:style>
  <w:style w:type="character" w:styleId="FootnoteReference">
    <w:name w:val="footnote reference"/>
    <w:basedOn w:val="DefaultParagraphFont"/>
    <w:uiPriority w:val="99"/>
    <w:semiHidden/>
    <w:rsid w:val="003C588C"/>
    <w:rPr>
      <w:rFonts w:cs="Times New Roman"/>
      <w:vertAlign w:val="superscript"/>
    </w:rPr>
  </w:style>
  <w:style w:type="character" w:styleId="Strong">
    <w:name w:val="Strong"/>
    <w:basedOn w:val="DefaultParagraphFont"/>
    <w:uiPriority w:val="99"/>
    <w:qFormat/>
    <w:rsid w:val="00B73702"/>
    <w:rPr>
      <w:rFonts w:cs="Times New Roman"/>
      <w:b/>
      <w:bCs/>
    </w:rPr>
  </w:style>
  <w:style w:type="character" w:styleId="Hyperlink">
    <w:name w:val="Hyperlink"/>
    <w:basedOn w:val="DefaultParagraphFont"/>
    <w:uiPriority w:val="99"/>
    <w:rsid w:val="002147C0"/>
    <w:rPr>
      <w:rFonts w:cs="Times New Roman"/>
      <w:color w:val="0000FF"/>
      <w:u w:val="single"/>
    </w:rPr>
  </w:style>
  <w:style w:type="paragraph" w:styleId="Footer">
    <w:name w:val="footer"/>
    <w:basedOn w:val="Normal"/>
    <w:link w:val="FooterChar"/>
    <w:uiPriority w:val="99"/>
    <w:rsid w:val="0048044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D27038"/>
    <w:rPr>
      <w:sz w:val="20"/>
      <w:szCs w:val="20"/>
    </w:rPr>
  </w:style>
  <w:style w:type="character" w:styleId="PageNumber">
    <w:name w:val="page number"/>
    <w:basedOn w:val="DefaultParagraphFont"/>
    <w:uiPriority w:val="99"/>
    <w:rsid w:val="0048044A"/>
    <w:rPr>
      <w:rFonts w:cs="Times New Roman"/>
    </w:rPr>
  </w:style>
  <w:style w:type="table" w:styleId="TableGrid">
    <w:name w:val="Table Grid"/>
    <w:basedOn w:val="TableNormal"/>
    <w:uiPriority w:val="99"/>
    <w:rsid w:val="00BF5D4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uiPriority w:val="99"/>
    <w:rsid w:val="005E20B5"/>
    <w:pPr>
      <w:ind w:leftChars="200" w:left="480"/>
    </w:pPr>
  </w:style>
  <w:style w:type="paragraph" w:styleId="BalloonText">
    <w:name w:val="Balloon Text"/>
    <w:basedOn w:val="Normal"/>
    <w:link w:val="BalloonTextChar"/>
    <w:uiPriority w:val="99"/>
    <w:semiHidden/>
    <w:rsid w:val="0033227A"/>
    <w:rPr>
      <w:rFonts w:ascii="Arial" w:hAnsi="Arial"/>
      <w:sz w:val="18"/>
      <w:szCs w:val="18"/>
    </w:rPr>
  </w:style>
  <w:style w:type="character" w:customStyle="1" w:styleId="BalloonTextChar">
    <w:name w:val="Balloon Text Char"/>
    <w:basedOn w:val="DefaultParagraphFont"/>
    <w:link w:val="BalloonText"/>
    <w:uiPriority w:val="99"/>
    <w:semiHidden/>
    <w:rsid w:val="00D27038"/>
    <w:rPr>
      <w:rFonts w:asciiTheme="majorHAnsi" w:eastAsiaTheme="majorEastAsia" w:hAnsiTheme="majorHAnsi" w:cstheme="majorBidi"/>
      <w:sz w:val="0"/>
      <w:szCs w:val="0"/>
    </w:rPr>
  </w:style>
  <w:style w:type="paragraph" w:styleId="DocumentMap">
    <w:name w:val="Document Map"/>
    <w:basedOn w:val="Normal"/>
    <w:link w:val="DocumentMapChar"/>
    <w:uiPriority w:val="99"/>
    <w:semiHidden/>
    <w:rsid w:val="00C07910"/>
    <w:pPr>
      <w:shd w:val="clear" w:color="auto" w:fill="000080"/>
    </w:pPr>
    <w:rPr>
      <w:rFonts w:ascii="Arial" w:hAnsi="Arial"/>
    </w:rPr>
  </w:style>
  <w:style w:type="character" w:customStyle="1" w:styleId="DocumentMapChar">
    <w:name w:val="Document Map Char"/>
    <w:basedOn w:val="DefaultParagraphFont"/>
    <w:link w:val="DocumentMap"/>
    <w:uiPriority w:val="99"/>
    <w:semiHidden/>
    <w:rsid w:val="00D27038"/>
    <w:rPr>
      <w:sz w:val="0"/>
      <w:szCs w:val="0"/>
    </w:rPr>
  </w:style>
  <w:style w:type="character" w:styleId="CommentReference">
    <w:name w:val="annotation reference"/>
    <w:basedOn w:val="DefaultParagraphFont"/>
    <w:uiPriority w:val="99"/>
    <w:semiHidden/>
    <w:rsid w:val="00195C68"/>
    <w:rPr>
      <w:rFonts w:cs="Times New Roman"/>
      <w:sz w:val="16"/>
      <w:szCs w:val="16"/>
    </w:rPr>
  </w:style>
  <w:style w:type="paragraph" w:styleId="CommentText">
    <w:name w:val="annotation text"/>
    <w:basedOn w:val="Normal"/>
    <w:link w:val="CommentTextChar"/>
    <w:uiPriority w:val="99"/>
    <w:semiHidden/>
    <w:rsid w:val="00195C68"/>
    <w:rPr>
      <w:sz w:val="20"/>
      <w:szCs w:val="20"/>
    </w:rPr>
  </w:style>
  <w:style w:type="character" w:customStyle="1" w:styleId="CommentTextChar">
    <w:name w:val="Comment Text Char"/>
    <w:basedOn w:val="DefaultParagraphFont"/>
    <w:link w:val="CommentText"/>
    <w:uiPriority w:val="99"/>
    <w:semiHidden/>
    <w:rsid w:val="00D27038"/>
    <w:rPr>
      <w:szCs w:val="24"/>
    </w:rPr>
  </w:style>
  <w:style w:type="paragraph" w:styleId="CommentSubject">
    <w:name w:val="annotation subject"/>
    <w:basedOn w:val="CommentText"/>
    <w:next w:val="CommentText"/>
    <w:link w:val="CommentSubjectChar"/>
    <w:uiPriority w:val="99"/>
    <w:semiHidden/>
    <w:rsid w:val="00195C68"/>
    <w:rPr>
      <w:b/>
      <w:bCs/>
    </w:rPr>
  </w:style>
  <w:style w:type="character" w:customStyle="1" w:styleId="CommentSubjectChar">
    <w:name w:val="Comment Subject Char"/>
    <w:basedOn w:val="CommentTextChar"/>
    <w:link w:val="CommentSubject"/>
    <w:uiPriority w:val="99"/>
    <w:semiHidden/>
    <w:rsid w:val="00D27038"/>
    <w:rPr>
      <w:b/>
      <w:bCs/>
    </w:rPr>
  </w:style>
  <w:style w:type="paragraph" w:styleId="Header">
    <w:name w:val="header"/>
    <w:basedOn w:val="Normal"/>
    <w:link w:val="HeaderChar"/>
    <w:uiPriority w:val="99"/>
    <w:rsid w:val="00A6260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D27038"/>
    <w:rPr>
      <w:sz w:val="20"/>
      <w:szCs w:val="20"/>
    </w:rPr>
  </w:style>
  <w:style w:type="character" w:customStyle="1" w:styleId="contentj">
    <w:name w:val="contentj"/>
    <w:basedOn w:val="DefaultParagraphFont"/>
    <w:uiPriority w:val="99"/>
    <w:rsid w:val="008B7BA5"/>
    <w:rPr>
      <w:rFonts w:ascii="Times New Roman" w:hAnsi="Times New Roman" w:cs="Times New Roman"/>
      <w:sz w:val="22"/>
      <w:szCs w:val="22"/>
    </w:rPr>
  </w:style>
  <w:style w:type="paragraph" w:styleId="TOC1">
    <w:name w:val="toc 1"/>
    <w:basedOn w:val="Normal"/>
    <w:next w:val="Normal"/>
    <w:autoRedefine/>
    <w:uiPriority w:val="99"/>
    <w:semiHidden/>
    <w:rsid w:val="00C1231A"/>
  </w:style>
</w:styles>
</file>

<file path=word/webSettings.xml><?xml version="1.0" encoding="utf-8"?>
<w:webSettings xmlns:r="http://schemas.openxmlformats.org/officeDocument/2006/relationships" xmlns:w="http://schemas.openxmlformats.org/wordprocessingml/2006/main">
  <w:divs>
    <w:div w:id="16207184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g.selaw.com.tw/FLAWDOC01.asp?lsid=FL007009&amp;lno=22-2" TargetMode="External"/><Relationship Id="rId12" Type="http://schemas.openxmlformats.org/officeDocument/2006/relationships/image" Target="media/image3.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s>
</file>

<file path=word/_rels/footnotes.xml.rels><?xml version="1.0" encoding="UTF-8" standalone="yes"?>
<Relationships xmlns="http://schemas.openxmlformats.org/package/2006/relationships"><Relationship Id="rId2" Type="http://schemas.openxmlformats.org/officeDocument/2006/relationships/hyperlink" Target="http://www.tse.com.tw" TargetMode="External"/><Relationship Id="rId1" Type="http://schemas.openxmlformats.org/officeDocument/2006/relationships/hyperlink" Target="mailto:mtyu@pu.edu.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27</Pages>
  <Words>7914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Insider trading and exchange listings</dc:title>
  <dc:subject/>
  <dc:creator>user</dc:creator>
  <cp:keywords/>
  <dc:description/>
  <cp:lastModifiedBy>user</cp:lastModifiedBy>
  <cp:revision>2</cp:revision>
  <cp:lastPrinted>2008-12-09T03:26:00Z</cp:lastPrinted>
  <dcterms:created xsi:type="dcterms:W3CDTF">2008-12-30T02:31:00Z</dcterms:created>
  <dcterms:modified xsi:type="dcterms:W3CDTF">2008-12-30T02:31:00Z</dcterms:modified>
</cp:coreProperties>
</file>